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D306" w14:textId="060F2B58" w:rsidR="004A14F2" w:rsidRDefault="00EC67AA" w:rsidP="00EC67AA">
      <w:pPr>
        <w:spacing w:after="0" w:line="240" w:lineRule="auto"/>
        <w:rPr>
          <w:b/>
          <w:bCs/>
        </w:rPr>
      </w:pPr>
      <w:r w:rsidRPr="00EC67AA">
        <w:rPr>
          <w:b/>
          <w:bCs/>
        </w:rPr>
        <w:t>DĖL PRAŠYMO PAKEISTI TECHNINĘ SPECIFIKACIJĄ</w:t>
      </w:r>
    </w:p>
    <w:p w14:paraId="7066326A" w14:textId="77777777" w:rsidR="00EC67AA" w:rsidRDefault="00EC67AA" w:rsidP="00EC67AA">
      <w:pPr>
        <w:spacing w:after="0" w:line="240" w:lineRule="auto"/>
        <w:rPr>
          <w:b/>
          <w:bCs/>
        </w:rPr>
      </w:pPr>
    </w:p>
    <w:p w14:paraId="0F02DB4B" w14:textId="77777777" w:rsidR="00EC67AA" w:rsidRDefault="00EC67AA" w:rsidP="00EC67AA">
      <w:pPr>
        <w:tabs>
          <w:tab w:val="left" w:pos="567"/>
        </w:tabs>
        <w:spacing w:after="0" w:line="240" w:lineRule="auto"/>
        <w:ind w:firstLine="567"/>
        <w:rPr>
          <w:i/>
          <w:iCs/>
        </w:rPr>
      </w:pPr>
      <w:r w:rsidRPr="00AE4D92">
        <w:rPr>
          <w:i/>
          <w:iCs/>
        </w:rPr>
        <w:t xml:space="preserve">Informuojame pirkimo dalyvius, kad gautas prašymas </w:t>
      </w:r>
      <w:r>
        <w:rPr>
          <w:i/>
          <w:iCs/>
        </w:rPr>
        <w:t>pakeisti techninę specifikaciją, supažindiname su prašymo turiniu ir perkančiosios atsakymu į prašymą:</w:t>
      </w:r>
    </w:p>
    <w:tbl>
      <w:tblPr>
        <w:tblStyle w:val="TableGrid"/>
        <w:tblW w:w="5000" w:type="pct"/>
        <w:tblLook w:val="04A0" w:firstRow="1" w:lastRow="0" w:firstColumn="1" w:lastColumn="0" w:noHBand="0" w:noVBand="1"/>
      </w:tblPr>
      <w:tblGrid>
        <w:gridCol w:w="6715"/>
        <w:gridCol w:w="7233"/>
      </w:tblGrid>
      <w:tr w:rsidR="00EC67AA" w:rsidRPr="00370FA4" w14:paraId="67BB5908" w14:textId="77777777" w:rsidTr="00EC67AA">
        <w:tc>
          <w:tcPr>
            <w:tcW w:w="2407" w:type="pct"/>
          </w:tcPr>
          <w:p w14:paraId="4AF7676A"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2025-09-02 Išteklių agentūra prie Lietuvos Respublikos vidaus reikalų ministerijos (toliau – Perkančioji organizacija arba užsakovas) Centrinės viešųjų pirkimų informacinės sistemos priemonėmis paskelbė „Pusiau automatinis pistoletas (</w:t>
            </w:r>
            <w:proofErr w:type="spellStart"/>
            <w:r w:rsidRPr="00370FA4">
              <w:rPr>
                <w:rFonts w:ascii="Arial Narrow" w:hAnsi="Arial Narrow"/>
                <w:i/>
                <w:iCs/>
              </w:rPr>
              <w:t>Compact</w:t>
            </w:r>
            <w:proofErr w:type="spellEnd"/>
            <w:r w:rsidRPr="00370FA4">
              <w:rPr>
                <w:rFonts w:ascii="Arial Narrow" w:hAnsi="Arial Narrow"/>
                <w:i/>
                <w:iCs/>
              </w:rPr>
              <w:t xml:space="preserve"> klasės) su priedais (PPR-713) Gynybinis, supaprastintas atviras konkursas“, Nr. 4345395 (toliau – Pirkimas).</w:t>
            </w:r>
          </w:p>
          <w:p w14:paraId="104718AA"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&lt; Tiekėjas &gt; susipažinusi su Pirkimo sąlygomis, sprendžia, kad nustatyti reikalavimai yra ribojantis konkurenciją ir reikalavimai pritaikyti vienam gamintojui.</w:t>
            </w:r>
          </w:p>
          <w:p w14:paraId="1289EC5B" w14:textId="77777777" w:rsidR="00EC67AA" w:rsidRPr="00370FA4" w:rsidRDefault="00EC67AA" w:rsidP="00EC67AA">
            <w:pPr>
              <w:tabs>
                <w:tab w:val="left" w:pos="567"/>
              </w:tabs>
              <w:jc w:val="both"/>
              <w:rPr>
                <w:rFonts w:ascii="Arial Narrow" w:hAnsi="Arial Narrow"/>
                <w:i/>
                <w:iCs/>
              </w:rPr>
            </w:pPr>
          </w:p>
          <w:p w14:paraId="503D142F"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Todėl &lt; Tiekėjas &gt; vadovaujantis „Viešojo pirkimo, atliekamo gynybos ir saugumo srityje, dokumentų“ 10.2 p. prašo paaiškinti ir patikslinti „PUSIAU AUTOMATINIŲ PISTOLETŲ (COMPAKT KLASĖS) SU PRIEDAIS TECHNINĖ SPECIFIKACIJA“ šiuos punktus:</w:t>
            </w:r>
          </w:p>
        </w:tc>
        <w:tc>
          <w:tcPr>
            <w:tcW w:w="2593" w:type="pct"/>
          </w:tcPr>
          <w:p w14:paraId="523C2098" w14:textId="77777777" w:rsidR="00EC67AA" w:rsidRPr="00370FA4" w:rsidRDefault="00EC67AA" w:rsidP="00EC67AA">
            <w:pPr>
              <w:tabs>
                <w:tab w:val="left" w:pos="567"/>
              </w:tabs>
              <w:jc w:val="both"/>
              <w:rPr>
                <w:rFonts w:ascii="Arial Narrow" w:hAnsi="Arial Narrow"/>
                <w:i/>
                <w:iCs/>
              </w:rPr>
            </w:pPr>
            <w:r>
              <w:rPr>
                <w:rFonts w:ascii="Arial Narrow" w:hAnsi="Arial Narrow"/>
                <w:i/>
                <w:iCs/>
              </w:rPr>
              <w:t>Perkančioji organizacija išnagrinėjo Tiekėjo prašymą ir teikia savo atsakymą:</w:t>
            </w:r>
          </w:p>
        </w:tc>
      </w:tr>
      <w:tr w:rsidR="00EC67AA" w:rsidRPr="00370FA4" w14:paraId="0CB3C424" w14:textId="77777777" w:rsidTr="00EC67AA">
        <w:tc>
          <w:tcPr>
            <w:tcW w:w="2407" w:type="pct"/>
          </w:tcPr>
          <w:p w14:paraId="195384BD"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„8. Pistoleto rėmas“</w:t>
            </w:r>
          </w:p>
          <w:p w14:paraId="341811AA"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Klausimas – Ar užsakovas priims ginklą, kuriame keičiamas rėmas, o ne rankenų antdėklai. Toks sprendimas leidžia gerai pritaikyti konkrečiai šaulio rankai</w:t>
            </w:r>
          </w:p>
          <w:p w14:paraId="1A6A79C8" w14:textId="77777777" w:rsidR="00EC67AA" w:rsidRPr="00370FA4" w:rsidRDefault="00EC67AA" w:rsidP="00EC67AA">
            <w:pPr>
              <w:tabs>
                <w:tab w:val="left" w:pos="567"/>
              </w:tabs>
              <w:jc w:val="both"/>
              <w:rPr>
                <w:rFonts w:ascii="Arial Narrow" w:hAnsi="Arial Narrow"/>
                <w:i/>
                <w:iCs/>
              </w:rPr>
            </w:pPr>
          </w:p>
          <w:p w14:paraId="01CEAB07"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Jeigu bus atsakymas, kad nebus priimtas toks ginklas, tai &lt; Tiekėjas &gt; prašo patikslinti pirkimo dokumentus, kad toks ginklas būtų priimtas.</w:t>
            </w:r>
          </w:p>
        </w:tc>
        <w:tc>
          <w:tcPr>
            <w:tcW w:w="2593" w:type="pct"/>
          </w:tcPr>
          <w:p w14:paraId="7083D5F3"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Perkančioji organizacija laikys, kad tokia konstrukcija atitinka techninę specifikaciją, bet turės būti pridėti ne mažiau kaip 2 skirtingo dydžio rėmai ir kiekvienas šaulys, be specialaus apmokymo, specialių įrankių ir pilno pistoleto ardymo, galės tuos rėmus pakeisti, nes šauliai yra apmokami tik daliniam pistoleto ardymui, kuris reikalingas ginklo išvalymui. Pilną pistoletą ardymą gali atlikti tik specialius kursus išklausę ir sertifikatus turintys instruktoriai.</w:t>
            </w:r>
          </w:p>
        </w:tc>
      </w:tr>
      <w:tr w:rsidR="00EC67AA" w:rsidRPr="00370FA4" w14:paraId="40537D17" w14:textId="77777777" w:rsidTr="00EC67AA">
        <w:tc>
          <w:tcPr>
            <w:tcW w:w="2407" w:type="pct"/>
          </w:tcPr>
          <w:p w14:paraId="67786308"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11.2. Skeltuvo saugiklis, blokuojantis skeltuvą kai nespaudžiamas nuleistukas;“</w:t>
            </w:r>
          </w:p>
          <w:p w14:paraId="107C0E77"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Klausimas – Ar užsakovas sutiks su pistoletu be papildomo saugiklio sumontuoto nuleistuke? Mūsų siūlomas pistoletas garantuoja tokį pat saugumo lygį, nesumontavus saugiklio nuleistuke?</w:t>
            </w:r>
          </w:p>
          <w:p w14:paraId="02439592" w14:textId="77777777" w:rsidR="00EC67AA" w:rsidRPr="00370FA4" w:rsidRDefault="00EC67AA" w:rsidP="00EC67AA">
            <w:pPr>
              <w:tabs>
                <w:tab w:val="left" w:pos="567"/>
              </w:tabs>
              <w:jc w:val="both"/>
              <w:rPr>
                <w:rFonts w:ascii="Arial Narrow" w:hAnsi="Arial Narrow"/>
                <w:i/>
                <w:iCs/>
              </w:rPr>
            </w:pPr>
          </w:p>
          <w:p w14:paraId="75CDA733" w14:textId="77777777" w:rsidR="00EC67AA" w:rsidRDefault="00EC67AA" w:rsidP="00EC67AA">
            <w:pPr>
              <w:tabs>
                <w:tab w:val="left" w:pos="567"/>
              </w:tabs>
              <w:jc w:val="both"/>
              <w:rPr>
                <w:rFonts w:ascii="Arial Narrow" w:hAnsi="Arial Narrow"/>
                <w:i/>
                <w:iCs/>
                <w:color w:val="00241A"/>
                <w:shd w:val="clear" w:color="auto" w:fill="FFFFFF"/>
              </w:rPr>
            </w:pPr>
            <w:r w:rsidRPr="00370FA4">
              <w:rPr>
                <w:rFonts w:ascii="Arial Narrow" w:hAnsi="Arial Narrow"/>
                <w:i/>
                <w:iCs/>
                <w:color w:val="00241A"/>
                <w:shd w:val="clear" w:color="auto" w:fill="FFFFFF"/>
              </w:rPr>
              <w:t xml:space="preserve">Jeigu bus atsakymas, kad užsakovas nesutiks su pistoletu be papildomo saugiklio sumontuoto nuleistuke, tai </w:t>
            </w:r>
          </w:p>
          <w:p w14:paraId="6D945353" w14:textId="77777777" w:rsidR="00EC67AA" w:rsidRPr="00370FA4" w:rsidRDefault="00EC67AA" w:rsidP="00EC67AA">
            <w:pPr>
              <w:tabs>
                <w:tab w:val="left" w:pos="567"/>
              </w:tabs>
              <w:jc w:val="both"/>
              <w:rPr>
                <w:rFonts w:ascii="Arial Narrow" w:hAnsi="Arial Narrow"/>
                <w:i/>
                <w:iCs/>
              </w:rPr>
            </w:pPr>
            <w:r w:rsidRPr="001550C0">
              <w:rPr>
                <w:rFonts w:ascii="Arial Narrow" w:hAnsi="Arial Narrow"/>
                <w:i/>
                <w:iCs/>
                <w:color w:val="00241A"/>
                <w:shd w:val="clear" w:color="auto" w:fill="FFFFFF"/>
              </w:rPr>
              <w:t>&lt; Tiekėjas &gt;</w:t>
            </w:r>
            <w:r w:rsidRPr="00370FA4">
              <w:rPr>
                <w:rFonts w:ascii="Arial Narrow" w:hAnsi="Arial Narrow"/>
                <w:i/>
                <w:iCs/>
                <w:color w:val="00241A"/>
                <w:shd w:val="clear" w:color="auto" w:fill="FFFFFF"/>
              </w:rPr>
              <w:t xml:space="preserve"> prašo patikslinti pirkimo dokumentus, kad toks ginklas būtų tinkamas ir priimtas</w:t>
            </w:r>
          </w:p>
        </w:tc>
        <w:tc>
          <w:tcPr>
            <w:tcW w:w="2593" w:type="pct"/>
          </w:tcPr>
          <w:p w14:paraId="6E4D9B66"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Perkančioji organizacija nepriims pistoleto be papildomo saugiklio sumontuoto nuleistuke, nes tai neatitiks techninės specifikacijos.</w:t>
            </w:r>
          </w:p>
          <w:p w14:paraId="324F88D3" w14:textId="77777777" w:rsidR="00EC67AA" w:rsidRPr="00370FA4" w:rsidRDefault="00EC67AA" w:rsidP="00EC67AA">
            <w:pPr>
              <w:tabs>
                <w:tab w:val="left" w:pos="567"/>
              </w:tabs>
              <w:jc w:val="both"/>
              <w:rPr>
                <w:rFonts w:ascii="Arial Narrow" w:hAnsi="Arial Narrow"/>
                <w:i/>
                <w:iCs/>
              </w:rPr>
            </w:pPr>
          </w:p>
          <w:p w14:paraId="3040C85E"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Saugiklio ant nuleistuko nebuvimas mažina saugumo lygį, nes šis saugiklis yra labai svarbus išvengiant atsitiktinio šūvio atliekant veiksmus užtaisytu ginklu: dedant įdėklą, išimant iš dėklo, atliekant pratimus pratybų metu ir realiose ginklo panaudojimo situacijose – bet koks atsitiktinis nuleistuko užkabinimas įvykdytų nepageidaujamą šūvį, kuris gali sukelti tragiškas pasekmes. Saugiklio buvimas ant nuleistuko garantuoja, kad nuleistuką galima nuspausti tik jį spaudžiant pirštu ir atsitiktinis nuleistuko užkabinimas nėra pavojingas ir nesukelia nepageidaujamo šūvio.</w:t>
            </w:r>
          </w:p>
        </w:tc>
      </w:tr>
      <w:tr w:rsidR="00EC67AA" w:rsidRPr="00370FA4" w14:paraId="2D3738C4" w14:textId="77777777" w:rsidTr="00EC67AA">
        <w:tc>
          <w:tcPr>
            <w:tcW w:w="2407" w:type="pct"/>
          </w:tcPr>
          <w:p w14:paraId="5DF2A502"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„16. Vamzdžio ilgis kartu su šovinio lizdu“ „Nuo 99 mm iki 104 mm.“</w:t>
            </w:r>
          </w:p>
          <w:p w14:paraId="40B12CC5"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Klausimas – Ar užsakovas leis pistoletą su vamzdžio ilgiu 90 mm.? Kuris garantuos resursą ir taiklumą, kaip reikalauja užsakovas?</w:t>
            </w:r>
          </w:p>
          <w:p w14:paraId="680F62BF"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lastRenderedPageBreak/>
              <w:t xml:space="preserve">Jeigu bus atsakymas, kad užsakovas neleis su pistoletą su vamzdžio ilgiu 90 mm, tai </w:t>
            </w:r>
            <w:r w:rsidRPr="001550C0">
              <w:rPr>
                <w:rFonts w:ascii="Arial Narrow" w:hAnsi="Arial Narrow"/>
                <w:i/>
                <w:iCs/>
              </w:rPr>
              <w:t>&lt; Tiekėjas &gt;</w:t>
            </w:r>
            <w:r>
              <w:rPr>
                <w:rFonts w:ascii="Arial Narrow" w:hAnsi="Arial Narrow"/>
                <w:i/>
                <w:iCs/>
              </w:rPr>
              <w:t xml:space="preserve"> </w:t>
            </w:r>
            <w:r w:rsidRPr="00370FA4">
              <w:rPr>
                <w:rFonts w:ascii="Arial Narrow" w:hAnsi="Arial Narrow"/>
                <w:i/>
                <w:iCs/>
              </w:rPr>
              <w:t>prašo patikslinti pirkimo dokumentus, kad pistoletas gali būti su vamzdžio ilgiu 90 mm.</w:t>
            </w:r>
          </w:p>
        </w:tc>
        <w:tc>
          <w:tcPr>
            <w:tcW w:w="2593" w:type="pct"/>
          </w:tcPr>
          <w:p w14:paraId="314C29C8"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lastRenderedPageBreak/>
              <w:t>Perkančioji organizacija nepriims pistoleto su vamzdžio ilgiu 90 mm</w:t>
            </w:r>
          </w:p>
          <w:p w14:paraId="51EBA2D0" w14:textId="77777777" w:rsidR="00EC67AA" w:rsidRPr="00370FA4" w:rsidRDefault="00EC67AA" w:rsidP="00EC67AA">
            <w:pPr>
              <w:tabs>
                <w:tab w:val="left" w:pos="567"/>
              </w:tabs>
              <w:jc w:val="both"/>
              <w:rPr>
                <w:rFonts w:ascii="Arial Narrow" w:hAnsi="Arial Narrow"/>
                <w:i/>
                <w:iCs/>
              </w:rPr>
            </w:pPr>
          </w:p>
          <w:p w14:paraId="57D1F880"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lastRenderedPageBreak/>
              <w:t>Institucija , kuriai perkami ginklai, reikalauja nurodytų parametrų ginklo, atsižvelgiant į jiems keliamas užduotis ir ginklų naudojimo aplinkybes</w:t>
            </w:r>
            <w:r>
              <w:rPr>
                <w:rFonts w:ascii="Arial Narrow" w:hAnsi="Arial Narrow"/>
                <w:i/>
                <w:iCs/>
              </w:rPr>
              <w:t>.</w:t>
            </w:r>
            <w:r w:rsidRPr="00370FA4">
              <w:rPr>
                <w:rFonts w:ascii="Arial Narrow" w:hAnsi="Arial Narrow"/>
                <w:i/>
                <w:iCs/>
              </w:rPr>
              <w:t xml:space="preserve"> </w:t>
            </w:r>
            <w:r w:rsidRPr="001550C0">
              <w:rPr>
                <w:rFonts w:ascii="Arial Narrow" w:hAnsi="Arial Narrow"/>
                <w:i/>
                <w:iCs/>
              </w:rPr>
              <w:t>&lt; Tiekėj</w:t>
            </w:r>
            <w:r>
              <w:rPr>
                <w:rFonts w:ascii="Arial Narrow" w:hAnsi="Arial Narrow"/>
                <w:i/>
                <w:iCs/>
              </w:rPr>
              <w:t>o</w:t>
            </w:r>
            <w:r w:rsidRPr="001550C0">
              <w:rPr>
                <w:rFonts w:ascii="Arial Narrow" w:hAnsi="Arial Narrow"/>
                <w:i/>
                <w:iCs/>
              </w:rPr>
              <w:t xml:space="preserve"> &gt;</w:t>
            </w:r>
            <w:r>
              <w:rPr>
                <w:rFonts w:ascii="Arial Narrow" w:hAnsi="Arial Narrow"/>
                <w:i/>
                <w:iCs/>
              </w:rPr>
              <w:t xml:space="preserve"> </w:t>
            </w:r>
            <w:r w:rsidRPr="00370FA4">
              <w:rPr>
                <w:rFonts w:ascii="Arial Narrow" w:hAnsi="Arial Narrow"/>
                <w:i/>
                <w:iCs/>
              </w:rPr>
              <w:t xml:space="preserve">atstovaujamo ginklų gamintojo </w:t>
            </w:r>
            <w:proofErr w:type="spellStart"/>
            <w:r w:rsidRPr="00370FA4">
              <w:rPr>
                <w:rFonts w:ascii="Arial Narrow" w:hAnsi="Arial Narrow"/>
                <w:i/>
                <w:iCs/>
              </w:rPr>
              <w:t>Sig</w:t>
            </w:r>
            <w:proofErr w:type="spellEnd"/>
            <w:r w:rsidRPr="00370FA4">
              <w:rPr>
                <w:rFonts w:ascii="Arial Narrow" w:hAnsi="Arial Narrow"/>
                <w:i/>
                <w:iCs/>
              </w:rPr>
              <w:t xml:space="preserve"> </w:t>
            </w:r>
            <w:proofErr w:type="spellStart"/>
            <w:r w:rsidRPr="00370FA4">
              <w:rPr>
                <w:rFonts w:ascii="Arial Narrow" w:hAnsi="Arial Narrow"/>
                <w:i/>
                <w:iCs/>
              </w:rPr>
              <w:t>Sauer</w:t>
            </w:r>
            <w:proofErr w:type="spellEnd"/>
            <w:r w:rsidRPr="00370FA4">
              <w:rPr>
                <w:rFonts w:ascii="Arial Narrow" w:hAnsi="Arial Narrow"/>
                <w:i/>
                <w:iCs/>
              </w:rPr>
              <w:t xml:space="preserve"> modelis P320 </w:t>
            </w:r>
            <w:proofErr w:type="spellStart"/>
            <w:r w:rsidRPr="00370FA4">
              <w:rPr>
                <w:rFonts w:ascii="Arial Narrow" w:hAnsi="Arial Narrow"/>
                <w:i/>
                <w:iCs/>
              </w:rPr>
              <w:t>compact</w:t>
            </w:r>
            <w:proofErr w:type="spellEnd"/>
            <w:r w:rsidRPr="00370FA4">
              <w:rPr>
                <w:rFonts w:ascii="Arial Narrow" w:hAnsi="Arial Narrow"/>
                <w:i/>
                <w:iCs/>
              </w:rPr>
              <w:t xml:space="preserve"> pilnai atitinka šiuos parametrus.</w:t>
            </w:r>
          </w:p>
        </w:tc>
      </w:tr>
      <w:tr w:rsidR="00EC67AA" w:rsidRPr="00370FA4" w14:paraId="42E6E28D" w14:textId="77777777" w:rsidTr="00EC67AA">
        <w:tc>
          <w:tcPr>
            <w:tcW w:w="2407" w:type="pct"/>
          </w:tcPr>
          <w:p w14:paraId="3A89911E"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lastRenderedPageBreak/>
              <w:t>„18. Pistoleto aukštis be dėtuvės“ „Nuo 125 mm iki 132 mm.“</w:t>
            </w:r>
          </w:p>
          <w:p w14:paraId="4A91048A"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Klausimas – Ar užsakovas leis pistoletą su aukščiu su 134 mm.?</w:t>
            </w:r>
          </w:p>
          <w:p w14:paraId="3867F767"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 xml:space="preserve">Jeigu bus atsakymas, kad užsakovas neleis su aukščiu su 134 mm., tai </w:t>
            </w:r>
            <w:r w:rsidRPr="001550C0">
              <w:rPr>
                <w:rFonts w:ascii="Arial Narrow" w:hAnsi="Arial Narrow"/>
                <w:i/>
                <w:iCs/>
              </w:rPr>
              <w:t>&lt; Tiekėjas &gt;</w:t>
            </w:r>
            <w:r>
              <w:rPr>
                <w:rFonts w:ascii="Arial Narrow" w:hAnsi="Arial Narrow"/>
                <w:i/>
                <w:iCs/>
              </w:rPr>
              <w:t xml:space="preserve"> </w:t>
            </w:r>
            <w:r w:rsidRPr="00370FA4">
              <w:rPr>
                <w:rFonts w:ascii="Arial Narrow" w:hAnsi="Arial Narrow"/>
                <w:i/>
                <w:iCs/>
              </w:rPr>
              <w:t>prašo patikslinti pirkimo dokumentus, kad pistoleto aukštis gali būti 134 mm</w:t>
            </w:r>
          </w:p>
        </w:tc>
        <w:tc>
          <w:tcPr>
            <w:tcW w:w="2593" w:type="pct"/>
          </w:tcPr>
          <w:p w14:paraId="078AF906"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Perkančioji organizacija nepriims pistoleto su aukščiu su 134 mm.</w:t>
            </w:r>
          </w:p>
          <w:p w14:paraId="797FFD0B" w14:textId="77777777" w:rsidR="00EC67AA" w:rsidRPr="00370FA4" w:rsidRDefault="00EC67AA" w:rsidP="00EC67AA">
            <w:pPr>
              <w:tabs>
                <w:tab w:val="left" w:pos="567"/>
              </w:tabs>
              <w:jc w:val="both"/>
              <w:rPr>
                <w:rFonts w:ascii="Arial Narrow" w:hAnsi="Arial Narrow"/>
                <w:i/>
                <w:iCs/>
              </w:rPr>
            </w:pPr>
          </w:p>
          <w:p w14:paraId="3E1B9318"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Institucija, kuriai perkami ginklai, reikalauja nurodytų parametrų, atsižvelgiant į jiems keliamas užduotis ir ginklų naudojimo aplinkybes</w:t>
            </w:r>
            <w:r>
              <w:rPr>
                <w:rFonts w:ascii="Arial Narrow" w:hAnsi="Arial Narrow"/>
                <w:i/>
                <w:iCs/>
              </w:rPr>
              <w:t>.</w:t>
            </w:r>
            <w:r w:rsidRPr="00370FA4">
              <w:rPr>
                <w:rFonts w:ascii="Arial Narrow" w:hAnsi="Arial Narrow"/>
                <w:i/>
                <w:iCs/>
              </w:rPr>
              <w:t xml:space="preserve"> </w:t>
            </w:r>
            <w:r w:rsidRPr="001550C0">
              <w:rPr>
                <w:rFonts w:ascii="Arial Narrow" w:hAnsi="Arial Narrow"/>
                <w:i/>
                <w:iCs/>
              </w:rPr>
              <w:t>&lt; Tiekėj</w:t>
            </w:r>
            <w:r>
              <w:rPr>
                <w:rFonts w:ascii="Arial Narrow" w:hAnsi="Arial Narrow"/>
                <w:i/>
                <w:iCs/>
              </w:rPr>
              <w:t>o</w:t>
            </w:r>
            <w:r w:rsidRPr="001550C0">
              <w:rPr>
                <w:rFonts w:ascii="Arial Narrow" w:hAnsi="Arial Narrow"/>
                <w:i/>
                <w:iCs/>
              </w:rPr>
              <w:t xml:space="preserve"> &gt;</w:t>
            </w:r>
            <w:r>
              <w:rPr>
                <w:rFonts w:ascii="Arial Narrow" w:hAnsi="Arial Narrow"/>
                <w:i/>
                <w:iCs/>
              </w:rPr>
              <w:t xml:space="preserve"> </w:t>
            </w:r>
            <w:r w:rsidRPr="00370FA4">
              <w:rPr>
                <w:rFonts w:ascii="Arial Narrow" w:hAnsi="Arial Narrow"/>
                <w:i/>
                <w:iCs/>
              </w:rPr>
              <w:t xml:space="preserve">atstovaujamo ginklų gamintojo </w:t>
            </w:r>
            <w:proofErr w:type="spellStart"/>
            <w:r w:rsidRPr="00370FA4">
              <w:rPr>
                <w:rFonts w:ascii="Arial Narrow" w:hAnsi="Arial Narrow"/>
                <w:i/>
                <w:iCs/>
              </w:rPr>
              <w:t>Sig</w:t>
            </w:r>
            <w:proofErr w:type="spellEnd"/>
            <w:r w:rsidRPr="00370FA4">
              <w:rPr>
                <w:rFonts w:ascii="Arial Narrow" w:hAnsi="Arial Narrow"/>
                <w:i/>
                <w:iCs/>
              </w:rPr>
              <w:t xml:space="preserve"> </w:t>
            </w:r>
            <w:proofErr w:type="spellStart"/>
            <w:r w:rsidRPr="00370FA4">
              <w:rPr>
                <w:rFonts w:ascii="Arial Narrow" w:hAnsi="Arial Narrow"/>
                <w:i/>
                <w:iCs/>
              </w:rPr>
              <w:t>Sauer</w:t>
            </w:r>
            <w:proofErr w:type="spellEnd"/>
            <w:r w:rsidRPr="00370FA4">
              <w:rPr>
                <w:rFonts w:ascii="Arial Narrow" w:hAnsi="Arial Narrow"/>
                <w:i/>
                <w:iCs/>
              </w:rPr>
              <w:t xml:space="preserve"> modelis P320 </w:t>
            </w:r>
            <w:proofErr w:type="spellStart"/>
            <w:r w:rsidRPr="00370FA4">
              <w:rPr>
                <w:rFonts w:ascii="Arial Narrow" w:hAnsi="Arial Narrow"/>
                <w:i/>
                <w:iCs/>
              </w:rPr>
              <w:t>compact</w:t>
            </w:r>
            <w:proofErr w:type="spellEnd"/>
            <w:r w:rsidRPr="00370FA4">
              <w:rPr>
                <w:rFonts w:ascii="Arial Narrow" w:hAnsi="Arial Narrow"/>
                <w:i/>
                <w:iCs/>
              </w:rPr>
              <w:t xml:space="preserve"> pilnai atitinka šiuos parametrus.</w:t>
            </w:r>
          </w:p>
        </w:tc>
      </w:tr>
      <w:tr w:rsidR="00EC67AA" w:rsidRPr="00370FA4" w14:paraId="71DC35FB" w14:textId="77777777" w:rsidTr="00EC67AA">
        <w:tc>
          <w:tcPr>
            <w:tcW w:w="2407" w:type="pct"/>
          </w:tcPr>
          <w:p w14:paraId="2E8E051A"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„19. Pistoleto ilgis“ „Nuo 183 mm iki 190 mm.“</w:t>
            </w:r>
          </w:p>
          <w:p w14:paraId="19669409"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Klausimas – Ar užsakovas leis dalyvauti pistoletui, kurio ilgis 178 mm.?</w:t>
            </w:r>
          </w:p>
          <w:p w14:paraId="0F49CBBA"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 xml:space="preserve">Jeigu bus atsakymas, kad užsakovas neleis dalyvauti pistoletui, kurio ilgis 178 mm. tai </w:t>
            </w:r>
            <w:r w:rsidRPr="001550C0">
              <w:rPr>
                <w:rFonts w:ascii="Arial Narrow" w:hAnsi="Arial Narrow"/>
                <w:i/>
                <w:iCs/>
              </w:rPr>
              <w:t>&lt; Tiekėjas &gt;</w:t>
            </w:r>
            <w:r>
              <w:rPr>
                <w:rFonts w:ascii="Arial Narrow" w:hAnsi="Arial Narrow"/>
                <w:i/>
                <w:iCs/>
              </w:rPr>
              <w:t xml:space="preserve"> </w:t>
            </w:r>
            <w:r w:rsidRPr="00370FA4">
              <w:rPr>
                <w:rFonts w:ascii="Arial Narrow" w:hAnsi="Arial Narrow"/>
                <w:i/>
                <w:iCs/>
              </w:rPr>
              <w:t>prašo patikslinti pirkimo dokumentus, kad pistoleto ilgis gali būti 178 mm.</w:t>
            </w:r>
          </w:p>
        </w:tc>
        <w:tc>
          <w:tcPr>
            <w:tcW w:w="2593" w:type="pct"/>
          </w:tcPr>
          <w:p w14:paraId="1D1969BA" w14:textId="77777777" w:rsidR="00EC67AA" w:rsidRDefault="00EC67AA" w:rsidP="00EC67AA">
            <w:pPr>
              <w:tabs>
                <w:tab w:val="left" w:pos="567"/>
              </w:tabs>
              <w:jc w:val="both"/>
              <w:rPr>
                <w:rFonts w:ascii="Arial Narrow" w:hAnsi="Arial Narrow"/>
                <w:i/>
                <w:iCs/>
              </w:rPr>
            </w:pPr>
            <w:r w:rsidRPr="00370FA4">
              <w:rPr>
                <w:rFonts w:ascii="Arial Narrow" w:hAnsi="Arial Narrow"/>
                <w:i/>
                <w:iCs/>
              </w:rPr>
              <w:t>Perkančioji organizacija nepriims pistoleto</w:t>
            </w:r>
            <w:r>
              <w:rPr>
                <w:rFonts w:ascii="Arial Narrow" w:hAnsi="Arial Narrow"/>
                <w:i/>
                <w:iCs/>
              </w:rPr>
              <w:t>,</w:t>
            </w:r>
            <w:r w:rsidRPr="00370FA4">
              <w:rPr>
                <w:rFonts w:ascii="Arial Narrow" w:hAnsi="Arial Narrow"/>
                <w:i/>
                <w:iCs/>
              </w:rPr>
              <w:t xml:space="preserve"> kurio ilgis 178 mm</w:t>
            </w:r>
          </w:p>
          <w:p w14:paraId="72F9BF29" w14:textId="77777777" w:rsidR="00EC67AA" w:rsidRDefault="00EC67AA" w:rsidP="00EC67AA">
            <w:pPr>
              <w:tabs>
                <w:tab w:val="left" w:pos="567"/>
              </w:tabs>
              <w:jc w:val="both"/>
              <w:rPr>
                <w:rFonts w:ascii="Arial Narrow" w:hAnsi="Arial Narrow"/>
                <w:i/>
                <w:iCs/>
              </w:rPr>
            </w:pPr>
          </w:p>
          <w:p w14:paraId="722789BE"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Institucija , kuriai perkami ginklai, reikalauja nurodytų parametrų, atsižvelgiant į jiems keliamas užduotis ir ginklų naudojimo aplinkybes</w:t>
            </w:r>
            <w:r>
              <w:rPr>
                <w:rFonts w:ascii="Arial Narrow" w:hAnsi="Arial Narrow"/>
                <w:i/>
                <w:iCs/>
              </w:rPr>
              <w:t>.</w:t>
            </w:r>
            <w:r w:rsidRPr="00370FA4">
              <w:rPr>
                <w:rFonts w:ascii="Arial Narrow" w:hAnsi="Arial Narrow"/>
                <w:i/>
                <w:iCs/>
              </w:rPr>
              <w:t xml:space="preserve"> </w:t>
            </w:r>
            <w:r w:rsidRPr="001550C0">
              <w:rPr>
                <w:rFonts w:ascii="Arial Narrow" w:hAnsi="Arial Narrow"/>
                <w:i/>
                <w:iCs/>
              </w:rPr>
              <w:t>&lt; Tiekėjo &gt;</w:t>
            </w:r>
            <w:r w:rsidRPr="00370FA4">
              <w:rPr>
                <w:rFonts w:ascii="Arial Narrow" w:hAnsi="Arial Narrow"/>
                <w:i/>
                <w:iCs/>
              </w:rPr>
              <w:t xml:space="preserve"> atstovaujamo ginklų gamintojo </w:t>
            </w:r>
            <w:proofErr w:type="spellStart"/>
            <w:r w:rsidRPr="00370FA4">
              <w:rPr>
                <w:rFonts w:ascii="Arial Narrow" w:hAnsi="Arial Narrow"/>
                <w:i/>
                <w:iCs/>
              </w:rPr>
              <w:t>Sig</w:t>
            </w:r>
            <w:proofErr w:type="spellEnd"/>
            <w:r w:rsidRPr="00370FA4">
              <w:rPr>
                <w:rFonts w:ascii="Arial Narrow" w:hAnsi="Arial Narrow"/>
                <w:i/>
                <w:iCs/>
              </w:rPr>
              <w:t xml:space="preserve"> </w:t>
            </w:r>
            <w:proofErr w:type="spellStart"/>
            <w:r w:rsidRPr="00370FA4">
              <w:rPr>
                <w:rFonts w:ascii="Arial Narrow" w:hAnsi="Arial Narrow"/>
                <w:i/>
                <w:iCs/>
              </w:rPr>
              <w:t>Sauer</w:t>
            </w:r>
            <w:proofErr w:type="spellEnd"/>
            <w:r w:rsidRPr="00370FA4">
              <w:rPr>
                <w:rFonts w:ascii="Arial Narrow" w:hAnsi="Arial Narrow"/>
                <w:i/>
                <w:iCs/>
              </w:rPr>
              <w:t xml:space="preserve"> modelis P320 </w:t>
            </w:r>
            <w:proofErr w:type="spellStart"/>
            <w:r w:rsidRPr="00370FA4">
              <w:rPr>
                <w:rFonts w:ascii="Arial Narrow" w:hAnsi="Arial Narrow"/>
                <w:i/>
                <w:iCs/>
              </w:rPr>
              <w:t>compact</w:t>
            </w:r>
            <w:proofErr w:type="spellEnd"/>
            <w:r w:rsidRPr="00370FA4">
              <w:rPr>
                <w:rFonts w:ascii="Arial Narrow" w:hAnsi="Arial Narrow"/>
                <w:i/>
                <w:iCs/>
              </w:rPr>
              <w:t xml:space="preserve"> pilnai atitinka šiuos parametrus.</w:t>
            </w:r>
          </w:p>
        </w:tc>
      </w:tr>
      <w:tr w:rsidR="00EC67AA" w:rsidRPr="00370FA4" w14:paraId="67B25CAA" w14:textId="77777777" w:rsidTr="00EC67AA">
        <w:tc>
          <w:tcPr>
            <w:tcW w:w="2407" w:type="pct"/>
          </w:tcPr>
          <w:p w14:paraId="280FD70B"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„21. Pistoleto identifikacinis žymėjimas“ „Vamzdis, rėmas ir užraktas gamintojo turi būti paženklinti tuo pačiu, unikaliu identifikavimo numeriu.“</w:t>
            </w:r>
          </w:p>
          <w:p w14:paraId="02B99A64" w14:textId="77777777" w:rsidR="00EC67AA" w:rsidRPr="00370FA4" w:rsidRDefault="00EC67AA" w:rsidP="00EC67AA">
            <w:pPr>
              <w:tabs>
                <w:tab w:val="left" w:pos="567"/>
              </w:tabs>
              <w:jc w:val="both"/>
              <w:rPr>
                <w:rFonts w:ascii="Arial Narrow" w:hAnsi="Arial Narrow"/>
                <w:i/>
                <w:iCs/>
              </w:rPr>
            </w:pPr>
            <w:r w:rsidRPr="00370FA4">
              <w:rPr>
                <w:rFonts w:ascii="Arial Narrow" w:hAnsi="Arial Narrow"/>
                <w:i/>
                <w:iCs/>
              </w:rPr>
              <w:t>Klausimas – Ar užsakovas leis dalyvauti pistoletui, kuriame numeris yra ant vamzdžio, spynos ir šovos mechanizmo, kuris matomas per ginklo rėmo langą. Po ginklo rėmo pakeitimo, šis numeris bus visuomet matomas. Pagal ES reguliavimą rėmo modulis po išėmimo iš jo šovos mechanizmo, kuris nėra ginklo dalis reikalaujanti atskiro žymėjimo?</w:t>
            </w:r>
          </w:p>
          <w:p w14:paraId="25649631" w14:textId="77777777" w:rsidR="00EC67AA" w:rsidRDefault="00EC67AA" w:rsidP="00EC67AA">
            <w:pPr>
              <w:tabs>
                <w:tab w:val="left" w:pos="567"/>
              </w:tabs>
              <w:jc w:val="both"/>
              <w:rPr>
                <w:rFonts w:ascii="Arial Narrow" w:hAnsi="Arial Narrow"/>
                <w:i/>
                <w:iCs/>
              </w:rPr>
            </w:pPr>
            <w:r w:rsidRPr="00370FA4">
              <w:rPr>
                <w:rFonts w:ascii="Arial Narrow" w:hAnsi="Arial Narrow"/>
                <w:i/>
                <w:iCs/>
              </w:rPr>
              <w:t xml:space="preserve">Jeigu bus atsakymas, kad užsakovas neleis taip atlikti žymėjimo, tai </w:t>
            </w:r>
            <w:r w:rsidRPr="001550C0">
              <w:rPr>
                <w:rFonts w:ascii="Arial Narrow" w:hAnsi="Arial Narrow"/>
                <w:i/>
                <w:iCs/>
              </w:rPr>
              <w:t>&lt; Tiekėjas &gt;</w:t>
            </w:r>
            <w:r>
              <w:rPr>
                <w:rFonts w:ascii="Arial Narrow" w:hAnsi="Arial Narrow"/>
                <w:i/>
                <w:iCs/>
              </w:rPr>
              <w:t xml:space="preserve"> </w:t>
            </w:r>
            <w:r w:rsidRPr="00370FA4">
              <w:rPr>
                <w:rFonts w:ascii="Arial Narrow" w:hAnsi="Arial Narrow"/>
                <w:i/>
                <w:iCs/>
              </w:rPr>
              <w:t>prašo patikslinti pirkimo dokumentus, kad toks žymėjimas būtų tinkamas.</w:t>
            </w:r>
          </w:p>
          <w:p w14:paraId="1EE2A18F" w14:textId="77777777" w:rsidR="00EC67AA" w:rsidRDefault="00EC67AA" w:rsidP="00EC67AA">
            <w:pPr>
              <w:tabs>
                <w:tab w:val="left" w:pos="567"/>
              </w:tabs>
              <w:jc w:val="both"/>
              <w:rPr>
                <w:rFonts w:ascii="Arial Narrow" w:hAnsi="Arial Narrow"/>
                <w:i/>
                <w:iCs/>
              </w:rPr>
            </w:pPr>
          </w:p>
          <w:p w14:paraId="775CA790" w14:textId="77777777" w:rsidR="00EC67AA" w:rsidRDefault="00EC67AA" w:rsidP="00EC67AA">
            <w:pPr>
              <w:tabs>
                <w:tab w:val="left" w:pos="567"/>
              </w:tabs>
              <w:rPr>
                <w:rFonts w:ascii="Arial Narrow" w:hAnsi="Arial Narrow"/>
                <w:i/>
                <w:iCs/>
              </w:rPr>
            </w:pPr>
          </w:p>
          <w:p w14:paraId="38953D7E" w14:textId="77777777" w:rsidR="00EC67AA" w:rsidRDefault="00EC67AA" w:rsidP="00EC67AA">
            <w:pPr>
              <w:tabs>
                <w:tab w:val="left" w:pos="567"/>
              </w:tabs>
              <w:rPr>
                <w:rFonts w:ascii="Arial Narrow" w:hAnsi="Arial Narrow"/>
                <w:i/>
                <w:iCs/>
              </w:rPr>
            </w:pPr>
          </w:p>
          <w:p w14:paraId="5064E01E" w14:textId="77777777" w:rsidR="00EC67AA" w:rsidRDefault="00EC67AA" w:rsidP="00EC67AA">
            <w:pPr>
              <w:tabs>
                <w:tab w:val="left" w:pos="567"/>
              </w:tabs>
              <w:rPr>
                <w:rFonts w:ascii="Arial Narrow" w:hAnsi="Arial Narrow"/>
                <w:i/>
                <w:iCs/>
              </w:rPr>
            </w:pPr>
          </w:p>
          <w:p w14:paraId="48F6B477" w14:textId="77777777" w:rsidR="00EC67AA" w:rsidRDefault="00EC67AA" w:rsidP="00EC67AA">
            <w:pPr>
              <w:tabs>
                <w:tab w:val="left" w:pos="567"/>
              </w:tabs>
              <w:rPr>
                <w:rFonts w:ascii="Arial Narrow" w:hAnsi="Arial Narrow"/>
                <w:i/>
                <w:iCs/>
              </w:rPr>
            </w:pPr>
          </w:p>
          <w:p w14:paraId="3B7623B4" w14:textId="77777777" w:rsidR="00EC67AA" w:rsidRDefault="00EC67AA" w:rsidP="00EC67AA">
            <w:pPr>
              <w:tabs>
                <w:tab w:val="left" w:pos="567"/>
              </w:tabs>
              <w:rPr>
                <w:rFonts w:ascii="Arial Narrow" w:hAnsi="Arial Narrow"/>
                <w:i/>
                <w:iCs/>
              </w:rPr>
            </w:pPr>
          </w:p>
          <w:p w14:paraId="3E448E80" w14:textId="77777777" w:rsidR="00EC67AA" w:rsidRDefault="00EC67AA" w:rsidP="00EC67AA">
            <w:pPr>
              <w:tabs>
                <w:tab w:val="left" w:pos="567"/>
              </w:tabs>
              <w:rPr>
                <w:rFonts w:ascii="Arial Narrow" w:hAnsi="Arial Narrow"/>
                <w:i/>
                <w:iCs/>
              </w:rPr>
            </w:pPr>
          </w:p>
          <w:p w14:paraId="671BA3BB" w14:textId="77777777" w:rsidR="00EC67AA" w:rsidRDefault="00EC67AA" w:rsidP="00EC67AA">
            <w:pPr>
              <w:tabs>
                <w:tab w:val="left" w:pos="567"/>
              </w:tabs>
              <w:rPr>
                <w:rFonts w:ascii="Arial Narrow" w:hAnsi="Arial Narrow"/>
                <w:i/>
                <w:iCs/>
              </w:rPr>
            </w:pPr>
          </w:p>
          <w:p w14:paraId="2A6537F8" w14:textId="77777777" w:rsidR="00EC67AA" w:rsidRPr="00370FA4" w:rsidRDefault="00EC67AA" w:rsidP="00EC67AA">
            <w:pPr>
              <w:tabs>
                <w:tab w:val="left" w:pos="567"/>
              </w:tabs>
              <w:rPr>
                <w:rFonts w:ascii="Arial Narrow" w:hAnsi="Arial Narrow"/>
                <w:i/>
                <w:iCs/>
              </w:rPr>
            </w:pPr>
          </w:p>
        </w:tc>
        <w:tc>
          <w:tcPr>
            <w:tcW w:w="2593" w:type="pct"/>
          </w:tcPr>
          <w:p w14:paraId="0820E250" w14:textId="77777777" w:rsidR="00EC67AA" w:rsidRPr="00DC30E8" w:rsidRDefault="00EC67AA" w:rsidP="00EC67AA">
            <w:pPr>
              <w:tabs>
                <w:tab w:val="left" w:pos="567"/>
              </w:tabs>
              <w:rPr>
                <w:rFonts w:ascii="Arial Narrow" w:hAnsi="Arial Narrow"/>
                <w:i/>
                <w:iCs/>
              </w:rPr>
            </w:pPr>
            <w:r w:rsidRPr="00DC30E8">
              <w:rPr>
                <w:rFonts w:ascii="Arial Narrow" w:hAnsi="Arial Narrow"/>
                <w:i/>
                <w:iCs/>
              </w:rPr>
              <w:t>Pirkimo dokumentų techninės specifikacijos ir pasiūlymo formos dalis:</w:t>
            </w:r>
          </w:p>
          <w:p w14:paraId="7096D9E5" w14:textId="77777777" w:rsidR="00EC67AA" w:rsidRDefault="00EC67AA" w:rsidP="00EC67AA">
            <w:pPr>
              <w:tabs>
                <w:tab w:val="left" w:pos="567"/>
              </w:tabs>
              <w:rPr>
                <w:rFonts w:ascii="Arial Narrow" w:hAnsi="Arial Narrow"/>
                <w:i/>
                <w:iCs/>
                <w:highlight w:val="yellow"/>
              </w:rPr>
            </w:pPr>
          </w:p>
          <w:tbl>
            <w:tblPr>
              <w:tblStyle w:val="TableGrid"/>
              <w:tblpPr w:leftFromText="181" w:rightFromText="181" w:vertAnchor="text" w:horzAnchor="margin" w:tblpY="1"/>
              <w:tblOverlap w:val="never"/>
              <w:tblW w:w="5000" w:type="pct"/>
              <w:tblLook w:val="04A0" w:firstRow="1" w:lastRow="0" w:firstColumn="1" w:lastColumn="0" w:noHBand="0" w:noVBand="1"/>
            </w:tblPr>
            <w:tblGrid>
              <w:gridCol w:w="467"/>
              <w:gridCol w:w="1725"/>
              <w:gridCol w:w="4815"/>
            </w:tblGrid>
            <w:tr w:rsidR="00EC67AA" w:rsidRPr="00D810FF" w14:paraId="7A400FE5" w14:textId="77777777" w:rsidTr="00C67997">
              <w:trPr>
                <w:trHeight w:val="20"/>
              </w:trPr>
              <w:tc>
                <w:tcPr>
                  <w:tcW w:w="178" w:type="pct"/>
                  <w:tcBorders>
                    <w:top w:val="single" w:sz="4" w:space="0" w:color="auto"/>
                    <w:left w:val="single" w:sz="4" w:space="0" w:color="auto"/>
                    <w:bottom w:val="single" w:sz="4" w:space="0" w:color="auto"/>
                    <w:right w:val="single" w:sz="4" w:space="0" w:color="auto"/>
                  </w:tcBorders>
                  <w:hideMark/>
                </w:tcPr>
                <w:p w14:paraId="6632274A" w14:textId="77777777" w:rsidR="00EC67AA" w:rsidRPr="00D810FF" w:rsidRDefault="00EC67AA" w:rsidP="00EC67AA">
                  <w:pPr>
                    <w:jc w:val="center"/>
                    <w:rPr>
                      <w:rFonts w:ascii="Arial Narrow" w:hAnsi="Arial Narrow" w:cs="Calibri Light"/>
                      <w:i/>
                      <w:iCs/>
                    </w:rPr>
                  </w:pPr>
                  <w:r w:rsidRPr="00D810FF">
                    <w:rPr>
                      <w:rFonts w:ascii="Arial Narrow" w:hAnsi="Arial Narrow" w:cs="Calibri Light"/>
                      <w:i/>
                      <w:iCs/>
                    </w:rPr>
                    <w:t>21.</w:t>
                  </w:r>
                </w:p>
              </w:tc>
              <w:tc>
                <w:tcPr>
                  <w:tcW w:w="738" w:type="pct"/>
                  <w:tcBorders>
                    <w:top w:val="single" w:sz="4" w:space="0" w:color="auto"/>
                    <w:left w:val="single" w:sz="4" w:space="0" w:color="auto"/>
                    <w:bottom w:val="single" w:sz="4" w:space="0" w:color="auto"/>
                    <w:right w:val="single" w:sz="4" w:space="0" w:color="auto"/>
                  </w:tcBorders>
                  <w:hideMark/>
                </w:tcPr>
                <w:p w14:paraId="2D1A40E3" w14:textId="77777777" w:rsidR="00EC67AA" w:rsidRPr="00D810FF" w:rsidRDefault="00EC67AA" w:rsidP="00EC67AA">
                  <w:pPr>
                    <w:rPr>
                      <w:rFonts w:ascii="Arial Narrow" w:hAnsi="Arial Narrow" w:cs="Calibri Light"/>
                      <w:i/>
                      <w:iCs/>
                    </w:rPr>
                  </w:pPr>
                  <w:r w:rsidRPr="00D810FF">
                    <w:rPr>
                      <w:rFonts w:ascii="Arial Narrow" w:hAnsi="Arial Narrow" w:cs="Calibri Light"/>
                      <w:i/>
                      <w:iCs/>
                    </w:rPr>
                    <w:t>Pistoleto identifikacinis žymėjimas</w:t>
                  </w:r>
                </w:p>
              </w:tc>
              <w:tc>
                <w:tcPr>
                  <w:tcW w:w="2042" w:type="pct"/>
                  <w:tcBorders>
                    <w:top w:val="single" w:sz="4" w:space="0" w:color="auto"/>
                    <w:left w:val="single" w:sz="4" w:space="0" w:color="auto"/>
                    <w:bottom w:val="single" w:sz="4" w:space="0" w:color="auto"/>
                    <w:right w:val="single" w:sz="4" w:space="0" w:color="auto"/>
                  </w:tcBorders>
                  <w:hideMark/>
                </w:tcPr>
                <w:p w14:paraId="633819BB" w14:textId="77777777" w:rsidR="00EC67AA" w:rsidRPr="00D810FF" w:rsidRDefault="00EC67AA" w:rsidP="00EC67AA">
                  <w:pPr>
                    <w:rPr>
                      <w:rFonts w:ascii="Arial Narrow" w:hAnsi="Arial Narrow" w:cs="Calibri Light"/>
                      <w:i/>
                      <w:iCs/>
                    </w:rPr>
                  </w:pPr>
                  <w:r w:rsidRPr="00D810FF">
                    <w:rPr>
                      <w:rFonts w:ascii="Arial Narrow" w:hAnsi="Arial Narrow" w:cs="Calibri Light"/>
                      <w:i/>
                      <w:iCs/>
                    </w:rPr>
                    <w:t>Vamzdis, rėmas ir užraktas gamintojo turi būti paženklinti tuo pačiu, unikaliu identifikavimo numeriu.</w:t>
                  </w:r>
                </w:p>
              </w:tc>
            </w:tr>
          </w:tbl>
          <w:p w14:paraId="06AEB2CA" w14:textId="77777777" w:rsidR="00EC67AA" w:rsidRDefault="00EC67AA" w:rsidP="00EC67AA">
            <w:pPr>
              <w:tabs>
                <w:tab w:val="left" w:pos="567"/>
              </w:tabs>
              <w:rPr>
                <w:rFonts w:ascii="Arial Narrow" w:hAnsi="Arial Narrow"/>
                <w:i/>
                <w:iCs/>
                <w:highlight w:val="yellow"/>
              </w:rPr>
            </w:pPr>
          </w:p>
          <w:p w14:paraId="770DA6C0" w14:textId="77777777" w:rsidR="00EC67AA" w:rsidRPr="00DC30E8" w:rsidRDefault="00EC67AA" w:rsidP="00EC67AA">
            <w:pPr>
              <w:tabs>
                <w:tab w:val="left" w:pos="567"/>
              </w:tabs>
              <w:rPr>
                <w:rFonts w:ascii="Arial Narrow" w:hAnsi="Arial Narrow"/>
                <w:i/>
                <w:iCs/>
              </w:rPr>
            </w:pPr>
            <w:r w:rsidRPr="00DC30E8">
              <w:rPr>
                <w:rFonts w:ascii="Arial Narrow" w:hAnsi="Arial Narrow"/>
                <w:i/>
                <w:iCs/>
              </w:rPr>
              <w:t>Išdėstoma taip:</w:t>
            </w:r>
          </w:p>
          <w:p w14:paraId="61C31CDE" w14:textId="77777777" w:rsidR="00EC67AA" w:rsidRDefault="00EC67AA" w:rsidP="00EC67AA">
            <w:pPr>
              <w:tabs>
                <w:tab w:val="left" w:pos="567"/>
              </w:tabs>
              <w:rPr>
                <w:rFonts w:ascii="Arial Narrow" w:hAnsi="Arial Narrow"/>
                <w:i/>
                <w:iCs/>
                <w:highlight w:val="yellow"/>
              </w:rPr>
            </w:pPr>
          </w:p>
          <w:tbl>
            <w:tblPr>
              <w:tblStyle w:val="TableGrid"/>
              <w:tblpPr w:leftFromText="181" w:rightFromText="181" w:vertAnchor="text" w:horzAnchor="margin" w:tblpY="1"/>
              <w:tblOverlap w:val="never"/>
              <w:tblW w:w="5000" w:type="pct"/>
              <w:tblLook w:val="04A0" w:firstRow="1" w:lastRow="0" w:firstColumn="1" w:lastColumn="0" w:noHBand="0" w:noVBand="1"/>
            </w:tblPr>
            <w:tblGrid>
              <w:gridCol w:w="688"/>
              <w:gridCol w:w="1900"/>
              <w:gridCol w:w="4419"/>
            </w:tblGrid>
            <w:tr w:rsidR="00EC67AA" w:rsidRPr="00D810FF" w14:paraId="617B8237" w14:textId="77777777" w:rsidTr="00C67997">
              <w:trPr>
                <w:trHeight w:val="20"/>
              </w:trPr>
              <w:tc>
                <w:tcPr>
                  <w:tcW w:w="491" w:type="pct"/>
                  <w:tcBorders>
                    <w:top w:val="single" w:sz="4" w:space="0" w:color="auto"/>
                    <w:left w:val="single" w:sz="4" w:space="0" w:color="auto"/>
                    <w:bottom w:val="single" w:sz="4" w:space="0" w:color="auto"/>
                    <w:right w:val="single" w:sz="4" w:space="0" w:color="auto"/>
                  </w:tcBorders>
                  <w:hideMark/>
                </w:tcPr>
                <w:p w14:paraId="15375A13" w14:textId="77777777" w:rsidR="00EC67AA" w:rsidRPr="00D810FF" w:rsidRDefault="00EC67AA" w:rsidP="00EC67AA">
                  <w:pPr>
                    <w:jc w:val="center"/>
                    <w:rPr>
                      <w:rFonts w:ascii="Arial Narrow" w:hAnsi="Arial Narrow" w:cs="Calibri Light"/>
                      <w:i/>
                      <w:iCs/>
                    </w:rPr>
                  </w:pPr>
                  <w:r w:rsidRPr="00D810FF">
                    <w:rPr>
                      <w:rFonts w:ascii="Arial Narrow" w:hAnsi="Arial Narrow" w:cs="Calibri Light"/>
                      <w:i/>
                      <w:iCs/>
                    </w:rPr>
                    <w:t>21.</w:t>
                  </w:r>
                </w:p>
              </w:tc>
              <w:tc>
                <w:tcPr>
                  <w:tcW w:w="1356" w:type="pct"/>
                  <w:tcBorders>
                    <w:top w:val="single" w:sz="4" w:space="0" w:color="auto"/>
                    <w:left w:val="single" w:sz="4" w:space="0" w:color="auto"/>
                    <w:bottom w:val="single" w:sz="4" w:space="0" w:color="auto"/>
                    <w:right w:val="single" w:sz="4" w:space="0" w:color="auto"/>
                  </w:tcBorders>
                  <w:hideMark/>
                </w:tcPr>
                <w:p w14:paraId="07875430" w14:textId="77777777" w:rsidR="00EC67AA" w:rsidRPr="00D810FF" w:rsidRDefault="00EC67AA" w:rsidP="00EC67AA">
                  <w:pPr>
                    <w:rPr>
                      <w:rFonts w:ascii="Arial Narrow" w:hAnsi="Arial Narrow" w:cs="Calibri Light"/>
                      <w:i/>
                      <w:iCs/>
                    </w:rPr>
                  </w:pPr>
                  <w:r w:rsidRPr="00D810FF">
                    <w:rPr>
                      <w:rFonts w:ascii="Arial Narrow" w:hAnsi="Arial Narrow" w:cs="Calibri Light"/>
                      <w:i/>
                      <w:iCs/>
                    </w:rPr>
                    <w:t>Pistoleto identifikacinis žymėjimas</w:t>
                  </w:r>
                </w:p>
              </w:tc>
              <w:tc>
                <w:tcPr>
                  <w:tcW w:w="3152" w:type="pct"/>
                  <w:tcBorders>
                    <w:top w:val="single" w:sz="4" w:space="0" w:color="auto"/>
                    <w:left w:val="single" w:sz="4" w:space="0" w:color="auto"/>
                    <w:bottom w:val="single" w:sz="4" w:space="0" w:color="auto"/>
                    <w:right w:val="single" w:sz="4" w:space="0" w:color="auto"/>
                  </w:tcBorders>
                  <w:hideMark/>
                </w:tcPr>
                <w:p w14:paraId="6DB55B46" w14:textId="77777777" w:rsidR="00EC67AA" w:rsidRPr="00D810FF" w:rsidRDefault="00EC67AA" w:rsidP="00EC67AA">
                  <w:pPr>
                    <w:rPr>
                      <w:rFonts w:ascii="Arial Narrow" w:hAnsi="Arial Narrow" w:cs="Calibri Light"/>
                      <w:i/>
                      <w:iCs/>
                    </w:rPr>
                  </w:pPr>
                  <w:r w:rsidRPr="00D810FF">
                    <w:rPr>
                      <w:rFonts w:ascii="Arial Narrow" w:hAnsi="Arial Narrow" w:cs="Calibri Light"/>
                      <w:i/>
                      <w:iCs/>
                    </w:rPr>
                    <w:t>Ginklo dalys turi būti paženklintos tuo pačiu unikaliu identifikavimo numeriu ir ženklinimas turi atitikti Lietuvos Respublikos teisės aktų reikalavimus, keliamus civilinėje apyvartoje naudojamiems ginklams.</w:t>
                  </w:r>
                </w:p>
              </w:tc>
            </w:tr>
          </w:tbl>
          <w:p w14:paraId="5A3F6680" w14:textId="77777777" w:rsidR="00EC67AA" w:rsidRDefault="00EC67AA" w:rsidP="00EC67AA">
            <w:pPr>
              <w:tabs>
                <w:tab w:val="left" w:pos="567"/>
              </w:tabs>
              <w:rPr>
                <w:rFonts w:ascii="Arial Narrow" w:hAnsi="Arial Narrow"/>
                <w:i/>
                <w:iCs/>
              </w:rPr>
            </w:pPr>
          </w:p>
          <w:p w14:paraId="4D4C1344" w14:textId="77777777" w:rsidR="00EC67AA" w:rsidRDefault="00EC67AA" w:rsidP="00EC67AA">
            <w:pPr>
              <w:tabs>
                <w:tab w:val="left" w:pos="567"/>
              </w:tabs>
              <w:rPr>
                <w:rFonts w:ascii="Arial Narrow" w:hAnsi="Arial Narrow"/>
                <w:i/>
                <w:iCs/>
              </w:rPr>
            </w:pPr>
            <w:r>
              <w:rPr>
                <w:rFonts w:ascii="Arial Narrow" w:hAnsi="Arial Narrow"/>
                <w:i/>
                <w:iCs/>
              </w:rPr>
              <w:t>Pridedami patikslinti dokumentai, žr.:</w:t>
            </w:r>
          </w:p>
          <w:p w14:paraId="7A8BFE94" w14:textId="77777777" w:rsidR="00EC67AA" w:rsidRPr="00370FA4" w:rsidRDefault="00EC67AA" w:rsidP="00EC67AA">
            <w:pPr>
              <w:tabs>
                <w:tab w:val="left" w:pos="567"/>
              </w:tabs>
              <w:rPr>
                <w:rFonts w:ascii="Arial Narrow" w:hAnsi="Arial Narrow"/>
                <w:i/>
                <w:iCs/>
              </w:rPr>
            </w:pPr>
            <w:r>
              <w:rPr>
                <w:rFonts w:ascii="Arial Narrow" w:hAnsi="Arial Narrow"/>
                <w:i/>
                <w:iCs/>
              </w:rPr>
              <w:t>„</w:t>
            </w:r>
            <w:r w:rsidRPr="00F11403">
              <w:rPr>
                <w:rFonts w:ascii="Arial Narrow" w:hAnsi="Arial Narrow"/>
                <w:i/>
                <w:iCs/>
              </w:rPr>
              <w:t>3_IAGS_PD_TS_PPR-713</w:t>
            </w:r>
            <w:r>
              <w:rPr>
                <w:rFonts w:ascii="Arial Narrow" w:hAnsi="Arial Narrow"/>
                <w:i/>
                <w:iCs/>
              </w:rPr>
              <w:t>_v2“</w:t>
            </w:r>
            <w:r>
              <w:rPr>
                <w:rFonts w:ascii="Arial Narrow" w:hAnsi="Arial Narrow"/>
                <w:i/>
                <w:iCs/>
              </w:rPr>
              <w:br/>
              <w:t>„</w:t>
            </w:r>
            <w:r w:rsidRPr="00DC30E8">
              <w:rPr>
                <w:rFonts w:ascii="Arial Narrow" w:hAnsi="Arial Narrow"/>
                <w:i/>
                <w:iCs/>
              </w:rPr>
              <w:t>4_IAGS_PD_PF_PPR-713</w:t>
            </w:r>
            <w:r>
              <w:rPr>
                <w:rFonts w:ascii="Arial Narrow" w:hAnsi="Arial Narrow"/>
                <w:i/>
                <w:iCs/>
              </w:rPr>
              <w:t>_v2“</w:t>
            </w:r>
          </w:p>
        </w:tc>
      </w:tr>
      <w:tr w:rsidR="00EC67AA" w:rsidRPr="00370FA4" w14:paraId="7AF5D061" w14:textId="77777777" w:rsidTr="00EC67AA">
        <w:tc>
          <w:tcPr>
            <w:tcW w:w="2407" w:type="pct"/>
          </w:tcPr>
          <w:p w14:paraId="4099CAFC" w14:textId="77777777" w:rsidR="00EC67AA" w:rsidRPr="00370FA4" w:rsidRDefault="00EC67AA" w:rsidP="00EC67AA">
            <w:pPr>
              <w:tabs>
                <w:tab w:val="left" w:pos="567"/>
              </w:tabs>
              <w:rPr>
                <w:rFonts w:ascii="Arial Narrow" w:hAnsi="Arial Narrow"/>
                <w:i/>
                <w:iCs/>
              </w:rPr>
            </w:pPr>
            <w:r w:rsidRPr="001550C0">
              <w:rPr>
                <w:rFonts w:ascii="Arial Narrow" w:hAnsi="Arial Narrow"/>
                <w:i/>
                <w:iCs/>
              </w:rPr>
              <w:t>&lt; Tiekėjas &gt;</w:t>
            </w:r>
            <w:r>
              <w:rPr>
                <w:rFonts w:ascii="Arial Narrow" w:hAnsi="Arial Narrow"/>
                <w:i/>
                <w:iCs/>
              </w:rPr>
              <w:t xml:space="preserve"> </w:t>
            </w:r>
            <w:r w:rsidRPr="00370FA4">
              <w:rPr>
                <w:rFonts w:ascii="Arial Narrow" w:hAnsi="Arial Narrow"/>
                <w:i/>
                <w:iCs/>
              </w:rPr>
              <w:t>prašo perkančiosios organizacijos atsakyti į pateiktus klausimus, patikslinti pirkimo sąlygų reikalavimus, kad būtų užtikrinti viešųjų pirkimų principai ir nebūtų pažeidžiama tiekėjų konkurencija.</w:t>
            </w:r>
          </w:p>
        </w:tc>
        <w:tc>
          <w:tcPr>
            <w:tcW w:w="2593" w:type="pct"/>
          </w:tcPr>
          <w:p w14:paraId="670D0E98" w14:textId="77777777" w:rsidR="00EC67AA" w:rsidRPr="00370FA4" w:rsidRDefault="00EC67AA" w:rsidP="00EC67AA">
            <w:pPr>
              <w:tabs>
                <w:tab w:val="left" w:pos="567"/>
              </w:tabs>
              <w:rPr>
                <w:rFonts w:ascii="Arial Narrow" w:hAnsi="Arial Narrow"/>
                <w:i/>
                <w:iCs/>
              </w:rPr>
            </w:pPr>
            <w:r w:rsidRPr="001550C0">
              <w:rPr>
                <w:rFonts w:ascii="Arial Narrow" w:hAnsi="Arial Narrow"/>
                <w:i/>
                <w:iCs/>
              </w:rPr>
              <w:t xml:space="preserve">Perkančiosios organizacijos vertinimu, Tiekėjas yra klaidingai identifikavęs galimą pasiūlyti modelį. </w:t>
            </w:r>
            <w:r>
              <w:rPr>
                <w:rFonts w:ascii="Arial Narrow" w:hAnsi="Arial Narrow"/>
                <w:i/>
                <w:iCs/>
              </w:rPr>
              <w:t>Perkančiosios organizacijos vertinimu</w:t>
            </w:r>
            <w:r w:rsidRPr="001550C0">
              <w:rPr>
                <w:rFonts w:ascii="Arial Narrow" w:hAnsi="Arial Narrow"/>
                <w:i/>
                <w:iCs/>
              </w:rPr>
              <w:t xml:space="preserve"> šiuos reikalavimus atitinka ne vienas gamintojas ir ne vienas modelis</w:t>
            </w:r>
            <w:r>
              <w:rPr>
                <w:rFonts w:ascii="Arial Narrow" w:hAnsi="Arial Narrow"/>
                <w:i/>
                <w:iCs/>
              </w:rPr>
              <w:t>.</w:t>
            </w:r>
          </w:p>
        </w:tc>
      </w:tr>
    </w:tbl>
    <w:p w14:paraId="3FCF4E7D" w14:textId="4CA8E118" w:rsidR="00EC67AA" w:rsidRDefault="00EC67AA" w:rsidP="00EC67AA">
      <w:pPr>
        <w:spacing w:after="0" w:line="240" w:lineRule="auto"/>
        <w:rPr>
          <w:b/>
          <w:bCs/>
        </w:rPr>
      </w:pPr>
    </w:p>
    <w:p w14:paraId="20BCFB9A" w14:textId="6006080F" w:rsidR="00EC67AA" w:rsidRDefault="00EC67AA" w:rsidP="00EC67AA">
      <w:pPr>
        <w:spacing w:after="0" w:line="240" w:lineRule="auto"/>
        <w:rPr>
          <w:b/>
        </w:rPr>
      </w:pPr>
      <w:r w:rsidRPr="00EC67AA">
        <w:rPr>
          <w:b/>
        </w:rPr>
        <w:lastRenderedPageBreak/>
        <w:t>DĖL PRAŠYMO PAKEISTI PRISTATYMO TERMINĄ</w:t>
      </w:r>
    </w:p>
    <w:p w14:paraId="7B618987" w14:textId="77777777" w:rsidR="00EC67AA" w:rsidRPr="00EC67AA" w:rsidRDefault="00EC67AA" w:rsidP="00EC67AA">
      <w:pPr>
        <w:spacing w:after="0" w:line="240" w:lineRule="auto"/>
        <w:rPr>
          <w:b/>
          <w:bCs/>
        </w:rPr>
      </w:pPr>
    </w:p>
    <w:p w14:paraId="70C753E2" w14:textId="77777777" w:rsidR="00EC67AA" w:rsidRPr="00EC67AA" w:rsidRDefault="00EC67AA" w:rsidP="00EC67AA">
      <w:pPr>
        <w:tabs>
          <w:tab w:val="left" w:pos="567"/>
        </w:tabs>
        <w:spacing w:after="0" w:line="240" w:lineRule="auto"/>
        <w:ind w:firstLine="567"/>
      </w:pPr>
      <w:r w:rsidRPr="00EC67AA">
        <w:t>Informuojame pirkimo dalyvius, kad gautas prašymas pakeisti pristatymo terminą, supažindiname su prašymo turiniu ir perkančiosios atsakymu į prašymą:</w:t>
      </w:r>
    </w:p>
    <w:p w14:paraId="7BB2F914" w14:textId="77777777" w:rsidR="00EC67AA" w:rsidRDefault="00EC67AA" w:rsidP="00EC67AA">
      <w:pPr>
        <w:tabs>
          <w:tab w:val="left" w:pos="567"/>
        </w:tabs>
        <w:spacing w:after="0" w:line="240" w:lineRule="auto"/>
        <w:ind w:firstLine="567"/>
        <w:rPr>
          <w:i/>
          <w:iCs/>
        </w:rPr>
      </w:pPr>
    </w:p>
    <w:tbl>
      <w:tblPr>
        <w:tblStyle w:val="TableGrid"/>
        <w:tblW w:w="5000" w:type="pct"/>
        <w:tblLook w:val="04A0" w:firstRow="1" w:lastRow="0" w:firstColumn="1" w:lastColumn="0" w:noHBand="0" w:noVBand="1"/>
      </w:tblPr>
      <w:tblGrid>
        <w:gridCol w:w="6974"/>
        <w:gridCol w:w="6974"/>
      </w:tblGrid>
      <w:tr w:rsidR="00EC67AA" w:rsidRPr="00370FA4" w14:paraId="626F5353" w14:textId="77777777" w:rsidTr="00EC67AA">
        <w:tc>
          <w:tcPr>
            <w:tcW w:w="2500" w:type="pct"/>
          </w:tcPr>
          <w:p w14:paraId="0DC6E1F5" w14:textId="57C415AF" w:rsidR="00EC67AA" w:rsidRPr="00D2103B" w:rsidRDefault="00EC67AA" w:rsidP="00EC67AA">
            <w:pPr>
              <w:tabs>
                <w:tab w:val="left" w:pos="567"/>
              </w:tabs>
              <w:jc w:val="both"/>
              <w:rPr>
                <w:rFonts w:ascii="Arial Narrow" w:hAnsi="Arial Narrow"/>
                <w:i/>
                <w:iCs/>
              </w:rPr>
            </w:pPr>
            <w:r>
              <w:rPr>
                <w:rFonts w:ascii="Arial Narrow" w:hAnsi="Arial Narrow"/>
                <w:i/>
                <w:iCs/>
              </w:rPr>
              <w:t>E</w:t>
            </w:r>
            <w:r w:rsidRPr="00D2103B">
              <w:rPr>
                <w:rFonts w:ascii="Arial Narrow" w:hAnsi="Arial Narrow"/>
                <w:i/>
                <w:iCs/>
              </w:rPr>
              <w:t>same pareiškę interesą pusiau automatinių pistoletų (</w:t>
            </w:r>
            <w:proofErr w:type="spellStart"/>
            <w:r w:rsidRPr="00D2103B">
              <w:rPr>
                <w:rFonts w:ascii="Arial Narrow" w:hAnsi="Arial Narrow"/>
                <w:i/>
                <w:iCs/>
              </w:rPr>
              <w:t>Compact</w:t>
            </w:r>
            <w:proofErr w:type="spellEnd"/>
            <w:r w:rsidRPr="00D2103B">
              <w:rPr>
                <w:rFonts w:ascii="Arial Narrow" w:hAnsi="Arial Narrow"/>
                <w:i/>
                <w:iCs/>
              </w:rPr>
              <w:t xml:space="preserve"> klasės) su priedais (PPR-713) supaprastinto atviro pirkimo procedūroje (toliau ir – Pirkimas).</w:t>
            </w:r>
          </w:p>
          <w:p w14:paraId="21D726CF" w14:textId="77777777" w:rsidR="00EC67AA" w:rsidRPr="00D2103B" w:rsidRDefault="00EC67AA" w:rsidP="00EC67AA">
            <w:pPr>
              <w:tabs>
                <w:tab w:val="left" w:pos="567"/>
              </w:tabs>
              <w:jc w:val="both"/>
              <w:rPr>
                <w:rFonts w:ascii="Arial Narrow" w:hAnsi="Arial Narrow"/>
                <w:i/>
                <w:iCs/>
              </w:rPr>
            </w:pPr>
          </w:p>
          <w:p w14:paraId="55F88C85" w14:textId="77777777" w:rsidR="00EC67AA" w:rsidRPr="00D2103B" w:rsidRDefault="00EC67AA" w:rsidP="00EC67AA">
            <w:pPr>
              <w:tabs>
                <w:tab w:val="left" w:pos="567"/>
              </w:tabs>
              <w:jc w:val="both"/>
              <w:rPr>
                <w:rFonts w:ascii="Arial Narrow" w:hAnsi="Arial Narrow"/>
                <w:i/>
                <w:iCs/>
              </w:rPr>
            </w:pPr>
            <w:r w:rsidRPr="00D2103B">
              <w:rPr>
                <w:rFonts w:ascii="Arial Narrow" w:hAnsi="Arial Narrow"/>
                <w:i/>
                <w:iCs/>
              </w:rPr>
              <w:t>Atsižvelgdami į dabartinę tiekimo grandinių situaciją laike, žaliavų tiekimo ir gamybos terminus, manome, jog prekių viešojo pirkimo-pardavimo sutarties projekto (toliau ir – Sutarties projektas) 3.1.2. nuostatoje numatytas prekių pristatymo terminas – 120 (vieno šimto dvidešimt) dienų nuo užsakymo pateikimo dienos, objektyviai riboja konkurenciją Pirkimo procedūroje, kadangi minėtas terminas būtų realus tik esant pirkėjo iš anksto suderintoms ir/ar iš anksto užsakytoms ir/ar sandėliuose jau laikomoms prekėms, tačiau ne individualiai pagal techninės specifikacijos reikalavimus gaminamoms prekėms.</w:t>
            </w:r>
          </w:p>
          <w:p w14:paraId="3B33A26F" w14:textId="77777777" w:rsidR="00EC67AA" w:rsidRPr="00D2103B" w:rsidRDefault="00EC67AA" w:rsidP="00EC67AA">
            <w:pPr>
              <w:tabs>
                <w:tab w:val="left" w:pos="567"/>
              </w:tabs>
              <w:jc w:val="both"/>
              <w:rPr>
                <w:rFonts w:ascii="Arial Narrow" w:hAnsi="Arial Narrow"/>
                <w:i/>
                <w:iCs/>
              </w:rPr>
            </w:pPr>
          </w:p>
          <w:p w14:paraId="46EB472D" w14:textId="77777777" w:rsidR="00EC67AA" w:rsidRPr="00D2103B" w:rsidRDefault="00EC67AA" w:rsidP="00EC67AA">
            <w:pPr>
              <w:tabs>
                <w:tab w:val="left" w:pos="567"/>
              </w:tabs>
              <w:jc w:val="both"/>
              <w:rPr>
                <w:rFonts w:ascii="Arial Narrow" w:hAnsi="Arial Narrow"/>
                <w:i/>
                <w:iCs/>
              </w:rPr>
            </w:pPr>
            <w:r w:rsidRPr="00D2103B">
              <w:rPr>
                <w:rFonts w:ascii="Arial Narrow" w:hAnsi="Arial Narrow"/>
                <w:i/>
                <w:iCs/>
              </w:rPr>
              <w:t>Viešieji pirkimai turi būti atliekami laikantis proporcingumo, skaidrumo, lygiateisiškumo bei racionalaus lėšų naudojimo principų.</w:t>
            </w:r>
          </w:p>
          <w:p w14:paraId="4B1674CB" w14:textId="77777777" w:rsidR="00EC67AA" w:rsidRPr="00D2103B" w:rsidRDefault="00EC67AA" w:rsidP="00EC67AA">
            <w:pPr>
              <w:tabs>
                <w:tab w:val="left" w:pos="567"/>
              </w:tabs>
              <w:jc w:val="both"/>
              <w:rPr>
                <w:rFonts w:ascii="Arial Narrow" w:hAnsi="Arial Narrow"/>
                <w:i/>
                <w:iCs/>
              </w:rPr>
            </w:pPr>
          </w:p>
          <w:p w14:paraId="378B7BB8" w14:textId="77777777" w:rsidR="00EC67AA" w:rsidRPr="00370FA4" w:rsidRDefault="00EC67AA" w:rsidP="00EC67AA">
            <w:pPr>
              <w:tabs>
                <w:tab w:val="left" w:pos="567"/>
              </w:tabs>
              <w:jc w:val="both"/>
              <w:rPr>
                <w:rFonts w:ascii="Arial Narrow" w:hAnsi="Arial Narrow"/>
                <w:i/>
                <w:iCs/>
              </w:rPr>
            </w:pPr>
            <w:r w:rsidRPr="00D2103B">
              <w:rPr>
                <w:rFonts w:ascii="Arial Narrow" w:hAnsi="Arial Narrow"/>
                <w:i/>
                <w:iCs/>
              </w:rPr>
              <w:t>Nepažeidžiant proporcingumo, skaidrumo, lygiateisiškumo bei racionalaus lėšų naudojimo principų bei nekeičiant pirkimo objekto esmės ar apimties, prašome peržiūrėti ir pakeisti Sutarties projekto 3.1.2. nuostatą, kurioje numatytas prekių pristatymo terminas – ne vėliau kaip per 120 (vieną šimtą dvidešimt) dienų nuo užsakymo pateikimo dienos, ir pratęsti šį terminą numatant, jog prekes galima pristatyti ne vėliau kaip per 180 (vieną šimtą aštuoniasdešimt) dienų nuo užsakymo pateikimo dienos.</w:t>
            </w:r>
          </w:p>
        </w:tc>
        <w:tc>
          <w:tcPr>
            <w:tcW w:w="2500" w:type="pct"/>
          </w:tcPr>
          <w:p w14:paraId="7D1611DD" w14:textId="77777777" w:rsidR="00EC67AA" w:rsidRDefault="00EC67AA" w:rsidP="00EC67AA">
            <w:pPr>
              <w:tabs>
                <w:tab w:val="left" w:pos="567"/>
              </w:tabs>
              <w:jc w:val="both"/>
              <w:rPr>
                <w:rFonts w:ascii="Arial Narrow" w:hAnsi="Arial Narrow"/>
                <w:i/>
                <w:iCs/>
              </w:rPr>
            </w:pPr>
            <w:r>
              <w:rPr>
                <w:rFonts w:ascii="Arial Narrow" w:hAnsi="Arial Narrow"/>
                <w:i/>
                <w:iCs/>
              </w:rPr>
              <w:t>Nepaisant to, kad prašymo terminas yra pateiktas praleidus nustatytus terminus, perkančioji organizacija įvertinus prašymą nesutinka jo tenkinti ir nustatyto pristatymo termino nekeičia.</w:t>
            </w:r>
          </w:p>
          <w:p w14:paraId="52B84B30" w14:textId="77777777" w:rsidR="00EC67AA" w:rsidRDefault="00EC67AA" w:rsidP="00EC67AA">
            <w:pPr>
              <w:tabs>
                <w:tab w:val="left" w:pos="567"/>
              </w:tabs>
              <w:jc w:val="both"/>
              <w:rPr>
                <w:rFonts w:ascii="Arial Narrow" w:hAnsi="Arial Narrow"/>
                <w:i/>
                <w:iCs/>
              </w:rPr>
            </w:pPr>
          </w:p>
          <w:p w14:paraId="03294CAE" w14:textId="77777777" w:rsidR="00EC67AA" w:rsidRPr="00370FA4" w:rsidRDefault="00EC67AA" w:rsidP="00EC67AA">
            <w:pPr>
              <w:tabs>
                <w:tab w:val="left" w:pos="567"/>
              </w:tabs>
              <w:jc w:val="both"/>
              <w:rPr>
                <w:rFonts w:ascii="Arial Narrow" w:hAnsi="Arial Narrow"/>
                <w:i/>
                <w:iCs/>
              </w:rPr>
            </w:pPr>
            <w:r>
              <w:rPr>
                <w:rFonts w:ascii="Arial Narrow" w:hAnsi="Arial Narrow"/>
                <w:i/>
                <w:iCs/>
              </w:rPr>
              <w:t>P</w:t>
            </w:r>
            <w:r w:rsidRPr="0001084D">
              <w:rPr>
                <w:rFonts w:ascii="Arial Narrow" w:hAnsi="Arial Narrow"/>
                <w:i/>
                <w:iCs/>
              </w:rPr>
              <w:t>ateiktame prašyme nėra nurodyti konkretūs motyvai ar argumentai, pagrindžiantys pristatymo termino keitimo būtinumą. Išdėstyti teiginiai yra bendro, deklaratyvaus pobūdžio ir nėra tiesiogiai susiję su Pirkimo objektu</w:t>
            </w:r>
          </w:p>
        </w:tc>
      </w:tr>
    </w:tbl>
    <w:p w14:paraId="0BBC2A21" w14:textId="77777777" w:rsidR="00EC67AA" w:rsidRPr="00EC67AA" w:rsidRDefault="00EC67AA" w:rsidP="00EC67AA">
      <w:pPr>
        <w:spacing w:after="0" w:line="240" w:lineRule="auto"/>
        <w:rPr>
          <w:b/>
          <w:bCs/>
        </w:rPr>
      </w:pPr>
    </w:p>
    <w:sectPr w:rsidR="00EC67AA" w:rsidRPr="00EC67AA" w:rsidSect="00EC67AA">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F6"/>
    <w:rsid w:val="00330F3D"/>
    <w:rsid w:val="004220CF"/>
    <w:rsid w:val="004A14F2"/>
    <w:rsid w:val="008D78AC"/>
    <w:rsid w:val="00BD34FA"/>
    <w:rsid w:val="00E96AB7"/>
    <w:rsid w:val="00E97FEE"/>
    <w:rsid w:val="00EC67AA"/>
    <w:rsid w:val="00F476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9B139"/>
  <w15:chartTrackingRefBased/>
  <w15:docId w15:val="{13704E7A-990D-44BF-A789-5EFAC74C2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6F6"/>
    <w:rPr>
      <w:rFonts w:eastAsiaTheme="majorEastAsia" w:cstheme="majorBidi"/>
      <w:color w:val="272727" w:themeColor="text1" w:themeTint="D8"/>
    </w:rPr>
  </w:style>
  <w:style w:type="paragraph" w:styleId="Title">
    <w:name w:val="Title"/>
    <w:basedOn w:val="Normal"/>
    <w:next w:val="Normal"/>
    <w:link w:val="TitleChar"/>
    <w:uiPriority w:val="10"/>
    <w:qFormat/>
    <w:rsid w:val="00F47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6F6"/>
    <w:pPr>
      <w:spacing w:before="160"/>
      <w:jc w:val="center"/>
    </w:pPr>
    <w:rPr>
      <w:i/>
      <w:iCs/>
      <w:color w:val="404040" w:themeColor="text1" w:themeTint="BF"/>
    </w:rPr>
  </w:style>
  <w:style w:type="character" w:customStyle="1" w:styleId="QuoteChar">
    <w:name w:val="Quote Char"/>
    <w:basedOn w:val="DefaultParagraphFont"/>
    <w:link w:val="Quote"/>
    <w:uiPriority w:val="29"/>
    <w:rsid w:val="00F476F6"/>
    <w:rPr>
      <w:i/>
      <w:iCs/>
      <w:color w:val="404040" w:themeColor="text1" w:themeTint="BF"/>
    </w:rPr>
  </w:style>
  <w:style w:type="paragraph" w:styleId="ListParagraph">
    <w:name w:val="List Paragraph"/>
    <w:basedOn w:val="Normal"/>
    <w:uiPriority w:val="34"/>
    <w:qFormat/>
    <w:rsid w:val="00F476F6"/>
    <w:pPr>
      <w:ind w:left="720"/>
      <w:contextualSpacing/>
    </w:pPr>
  </w:style>
  <w:style w:type="character" w:styleId="IntenseEmphasis">
    <w:name w:val="Intense Emphasis"/>
    <w:basedOn w:val="DefaultParagraphFont"/>
    <w:uiPriority w:val="21"/>
    <w:qFormat/>
    <w:rsid w:val="00F476F6"/>
    <w:rPr>
      <w:i/>
      <w:iCs/>
      <w:color w:val="0F4761" w:themeColor="accent1" w:themeShade="BF"/>
    </w:rPr>
  </w:style>
  <w:style w:type="paragraph" w:styleId="IntenseQuote">
    <w:name w:val="Intense Quote"/>
    <w:basedOn w:val="Normal"/>
    <w:next w:val="Normal"/>
    <w:link w:val="IntenseQuoteChar"/>
    <w:uiPriority w:val="30"/>
    <w:qFormat/>
    <w:rsid w:val="00F47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6F6"/>
    <w:rPr>
      <w:i/>
      <w:iCs/>
      <w:color w:val="0F4761" w:themeColor="accent1" w:themeShade="BF"/>
    </w:rPr>
  </w:style>
  <w:style w:type="character" w:styleId="IntenseReference">
    <w:name w:val="Intense Reference"/>
    <w:basedOn w:val="DefaultParagraphFont"/>
    <w:uiPriority w:val="32"/>
    <w:qFormat/>
    <w:rsid w:val="00F476F6"/>
    <w:rPr>
      <w:b/>
      <w:bCs/>
      <w:smallCaps/>
      <w:color w:val="0F4761" w:themeColor="accent1" w:themeShade="BF"/>
      <w:spacing w:val="5"/>
    </w:rPr>
  </w:style>
  <w:style w:type="table" w:styleId="TableGrid">
    <w:name w:val="Table Grid"/>
    <w:basedOn w:val="TableNormal"/>
    <w:uiPriority w:val="39"/>
    <w:rsid w:val="00EC67AA"/>
    <w:pPr>
      <w:spacing w:after="0" w:line="240" w:lineRule="auto"/>
    </w:pPr>
    <w:rPr>
      <w:rFonts w:eastAsiaTheme="minorEastAsia"/>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5444</Words>
  <Characters>3104</Characters>
  <Application>Microsoft Office Word</Application>
  <DocSecurity>0</DocSecurity>
  <Lines>25</Lines>
  <Paragraphs>17</Paragraphs>
  <ScaleCrop>false</ScaleCrop>
  <Company>IRD prie VRM</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Evaldas Stadalius</cp:lastModifiedBy>
  <cp:revision>2</cp:revision>
  <dcterms:created xsi:type="dcterms:W3CDTF">2025-09-12T11:17:00Z</dcterms:created>
  <dcterms:modified xsi:type="dcterms:W3CDTF">2025-09-12T11:19:00Z</dcterms:modified>
</cp:coreProperties>
</file>