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B58D" w14:textId="38183891" w:rsidR="006E1EEC" w:rsidRPr="006E1EEC" w:rsidRDefault="00924019" w:rsidP="006E1EEC">
      <w:pPr>
        <w:jc w:val="right"/>
        <w:rPr>
          <w:sz w:val="18"/>
          <w:szCs w:val="18"/>
        </w:rPr>
      </w:pPr>
      <w:r>
        <w:rPr>
          <w:sz w:val="18"/>
          <w:szCs w:val="18"/>
        </w:rPr>
        <w:t>Minimalūs kvalifikaciniai r</w:t>
      </w:r>
      <w:r w:rsidR="006E1EEC" w:rsidRPr="006E1EEC">
        <w:rPr>
          <w:sz w:val="18"/>
          <w:szCs w:val="18"/>
        </w:rPr>
        <w:t>e</w:t>
      </w:r>
      <w:r>
        <w:rPr>
          <w:sz w:val="18"/>
          <w:szCs w:val="18"/>
        </w:rPr>
        <w:t>i</w:t>
      </w:r>
      <w:r w:rsidR="006E1EEC" w:rsidRPr="006E1EEC">
        <w:rPr>
          <w:sz w:val="18"/>
          <w:szCs w:val="18"/>
        </w:rPr>
        <w:t xml:space="preserve">kalavimai </w:t>
      </w:r>
      <w:r w:rsidR="00666A20">
        <w:rPr>
          <w:sz w:val="18"/>
          <w:szCs w:val="18"/>
        </w:rPr>
        <w:t xml:space="preserve">LIFE </w:t>
      </w:r>
      <w:r w:rsidR="006E1EEC" w:rsidRPr="006E1EEC">
        <w:rPr>
          <w:sz w:val="18"/>
          <w:szCs w:val="18"/>
        </w:rPr>
        <w:t>programos tikrintojui</w:t>
      </w:r>
    </w:p>
    <w:p w14:paraId="76E3AE18" w14:textId="26FF0B36" w:rsidR="00DF535E" w:rsidRDefault="00DF535E" w:rsidP="00DF535E">
      <w:pPr>
        <w:ind w:left="7776"/>
        <w:jc w:val="right"/>
        <w:rPr>
          <w:sz w:val="20"/>
          <w:szCs w:val="20"/>
        </w:rPr>
      </w:pPr>
    </w:p>
    <w:p w14:paraId="179AD704" w14:textId="7E11600C" w:rsidR="00DF535E" w:rsidRPr="00490EF2" w:rsidRDefault="00DF535E" w:rsidP="00DF535E">
      <w:pPr>
        <w:tabs>
          <w:tab w:val="left" w:pos="810"/>
          <w:tab w:val="left" w:pos="990"/>
        </w:tabs>
        <w:spacing w:line="276" w:lineRule="auto"/>
        <w:jc w:val="center"/>
        <w:rPr>
          <w:b/>
          <w:sz w:val="20"/>
          <w:szCs w:val="20"/>
        </w:rPr>
      </w:pPr>
      <w:r w:rsidRPr="00490EF2">
        <w:rPr>
          <w:b/>
          <w:sz w:val="20"/>
          <w:szCs w:val="20"/>
        </w:rPr>
        <w:t xml:space="preserve">MINIMALŪS KVALIFIKACINIAI REIKALAVIMAI </w:t>
      </w:r>
      <w:r w:rsidR="00666A20">
        <w:rPr>
          <w:b/>
          <w:sz w:val="20"/>
          <w:szCs w:val="20"/>
        </w:rPr>
        <w:t>LIFE</w:t>
      </w:r>
      <w:r w:rsidRPr="00490EF2">
        <w:rPr>
          <w:b/>
          <w:sz w:val="20"/>
          <w:szCs w:val="20"/>
        </w:rPr>
        <w:t xml:space="preserve"> PROGRAMOS TIKRINTOJUI</w:t>
      </w:r>
    </w:p>
    <w:p w14:paraId="2A377784" w14:textId="77777777" w:rsidR="00DF535E" w:rsidRPr="00490EF2" w:rsidRDefault="00DF535E" w:rsidP="00DF535E">
      <w:pPr>
        <w:tabs>
          <w:tab w:val="left" w:pos="810"/>
          <w:tab w:val="left" w:pos="990"/>
        </w:tabs>
        <w:spacing w:line="276" w:lineRule="auto"/>
        <w:rPr>
          <w:b/>
          <w:sz w:val="20"/>
          <w:szCs w:val="20"/>
        </w:rPr>
      </w:pPr>
    </w:p>
    <w:p w14:paraId="2CF0CC3C" w14:textId="12A693BF" w:rsidR="00DF20A0" w:rsidRPr="00490EF2" w:rsidRDefault="00DF20A0" w:rsidP="00C211F8">
      <w:pPr>
        <w:tabs>
          <w:tab w:val="left" w:pos="810"/>
          <w:tab w:val="left" w:pos="990"/>
        </w:tabs>
        <w:spacing w:line="276" w:lineRule="auto"/>
        <w:ind w:firstLine="709"/>
        <w:jc w:val="both"/>
        <w:rPr>
          <w:b/>
          <w:sz w:val="20"/>
          <w:szCs w:val="20"/>
          <w:highlight w:val="yellow"/>
        </w:rPr>
      </w:pPr>
      <w:r w:rsidRPr="00490EF2">
        <w:rPr>
          <w:b/>
          <w:bCs/>
          <w:color w:val="000000"/>
          <w:sz w:val="20"/>
          <w:szCs w:val="20"/>
        </w:rPr>
        <w:t>Tikrintojas</w:t>
      </w:r>
      <w:r w:rsidRPr="00490EF2">
        <w:rPr>
          <w:color w:val="000000"/>
          <w:sz w:val="20"/>
          <w:szCs w:val="20"/>
        </w:rPr>
        <w:t> – audito įmonė, įrašyta į Lietuvos Respublikos audito įmonių sąrašą, atliekanti Lietuvos partnerių ir Lietuvos programos įgyvendinančiųjų institucijų deklaruotų išlaidų teisėtumo ir panaudojimo teisingumo patikras.</w:t>
      </w:r>
    </w:p>
    <w:p w14:paraId="2CD7E600" w14:textId="77777777" w:rsidR="00351001" w:rsidRPr="00490EF2" w:rsidRDefault="00351001" w:rsidP="007D0D0D">
      <w:pPr>
        <w:ind w:firstLine="709"/>
        <w:jc w:val="both"/>
        <w:rPr>
          <w:rFonts w:eastAsia="Times New Roman"/>
          <w:color w:val="000000"/>
          <w:sz w:val="20"/>
          <w:szCs w:val="20"/>
        </w:rPr>
      </w:pPr>
      <w:bookmarkStart w:id="0" w:name="part_493b5d21c1b14c47965605a2828485c9"/>
      <w:bookmarkEnd w:id="0"/>
      <w:r w:rsidRPr="00490EF2">
        <w:rPr>
          <w:b/>
          <w:sz w:val="20"/>
          <w:szCs w:val="20"/>
        </w:rPr>
        <w:t>Tikrintojas</w:t>
      </w:r>
      <w:r w:rsidRPr="00490EF2">
        <w:rPr>
          <w:sz w:val="20"/>
          <w:szCs w:val="20"/>
        </w:rPr>
        <w:t xml:space="preserve"> </w:t>
      </w:r>
      <w:r w:rsidR="007D0D0D" w:rsidRPr="00490EF2">
        <w:rPr>
          <w:sz w:val="20"/>
          <w:szCs w:val="20"/>
        </w:rPr>
        <w:t>visą t</w:t>
      </w:r>
      <w:r w:rsidR="00D7095F" w:rsidRPr="00490EF2">
        <w:rPr>
          <w:rFonts w:eastAsia="Times New Roman"/>
          <w:color w:val="000000"/>
          <w:sz w:val="20"/>
          <w:szCs w:val="20"/>
        </w:rPr>
        <w:t xml:space="preserve">ikrintojo paslaugos teikimo laikotarpį turi atitikti </w:t>
      </w:r>
      <w:r w:rsidRPr="00490EF2">
        <w:rPr>
          <w:rFonts w:eastAsia="Times New Roman"/>
          <w:color w:val="000000"/>
          <w:sz w:val="20"/>
          <w:szCs w:val="20"/>
        </w:rPr>
        <w:t>šiuos minimalius kvalifikacinius reikalavimus nustatytus:</w:t>
      </w:r>
    </w:p>
    <w:p w14:paraId="719F5D6C" w14:textId="77777777" w:rsidR="00351001" w:rsidRPr="00490EF2" w:rsidRDefault="00351001" w:rsidP="007D0D0D">
      <w:pPr>
        <w:ind w:firstLine="709"/>
        <w:jc w:val="both"/>
        <w:rPr>
          <w:rFonts w:eastAsia="Times New Roman"/>
          <w:color w:val="000000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351001" w:rsidRPr="00490EF2" w14:paraId="2CB8D388" w14:textId="77777777" w:rsidTr="0043376C">
        <w:trPr>
          <w:trHeight w:val="2515"/>
        </w:trPr>
        <w:tc>
          <w:tcPr>
            <w:tcW w:w="1696" w:type="dxa"/>
          </w:tcPr>
          <w:p w14:paraId="09CFE6C2" w14:textId="04736B24" w:rsidR="00351001" w:rsidRPr="00490EF2" w:rsidRDefault="001003ED" w:rsidP="007D0D0D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</w:t>
            </w:r>
            <w:r w:rsidRPr="001003ED">
              <w:rPr>
                <w:rFonts w:eastAsia="Times New Roman"/>
                <w:sz w:val="20"/>
                <w:szCs w:val="20"/>
              </w:rPr>
              <w:t>eisinė ir profesinė kvalifikacija</w:t>
            </w:r>
          </w:p>
        </w:tc>
        <w:tc>
          <w:tcPr>
            <w:tcW w:w="8789" w:type="dxa"/>
          </w:tcPr>
          <w:p w14:paraId="07D450F5" w14:textId="72E3F735" w:rsidR="00351001" w:rsidRPr="002A7B16" w:rsidRDefault="00351001" w:rsidP="002A7B16">
            <w:pPr>
              <w:pStyle w:val="ListParagraph"/>
              <w:numPr>
                <w:ilvl w:val="0"/>
                <w:numId w:val="17"/>
              </w:numPr>
              <w:ind w:left="459"/>
              <w:jc w:val="both"/>
              <w:outlineLvl w:val="1"/>
              <w:rPr>
                <w:sz w:val="20"/>
                <w:szCs w:val="20"/>
              </w:rPr>
            </w:pPr>
            <w:r w:rsidRPr="002A7B16">
              <w:rPr>
                <w:sz w:val="20"/>
                <w:szCs w:val="20"/>
              </w:rPr>
              <w:t>būti nacionalinės buhalterių arba audito įstaigos ar institucijos, kuri savo ruožtu priklausytų Tarptautinei buhalterių federacijai (toliau – IFAC), nariai</w:t>
            </w:r>
            <w:r w:rsidR="00FC45A1">
              <w:rPr>
                <w:sz w:val="20"/>
                <w:szCs w:val="20"/>
              </w:rPr>
              <w:t>s</w:t>
            </w:r>
            <w:r w:rsidRPr="002A7B16">
              <w:rPr>
                <w:sz w:val="20"/>
                <w:szCs w:val="20"/>
              </w:rPr>
              <w:t>;</w:t>
            </w:r>
            <w:r w:rsidR="001003ED">
              <w:rPr>
                <w:sz w:val="20"/>
                <w:szCs w:val="20"/>
              </w:rPr>
              <w:t xml:space="preserve"> arba</w:t>
            </w:r>
          </w:p>
          <w:p w14:paraId="77328E7C" w14:textId="02E4060A" w:rsidR="00351001" w:rsidRPr="002A7B16" w:rsidRDefault="00351001" w:rsidP="002A7B16">
            <w:pPr>
              <w:pStyle w:val="ListParagraph"/>
              <w:numPr>
                <w:ilvl w:val="0"/>
                <w:numId w:val="17"/>
              </w:numPr>
              <w:ind w:left="459"/>
              <w:jc w:val="both"/>
              <w:rPr>
                <w:sz w:val="20"/>
                <w:szCs w:val="20"/>
              </w:rPr>
            </w:pPr>
            <w:r w:rsidRPr="002A7B16">
              <w:rPr>
                <w:sz w:val="20"/>
                <w:szCs w:val="20"/>
              </w:rPr>
              <w:t xml:space="preserve">būti nacionalinės buhalterių arba audito įstaigos ar institucijos, kuri nėra IFAC narė, tačiau įsipareigoja </w:t>
            </w:r>
            <w:r w:rsidR="002A7B16" w:rsidRPr="002A7B16">
              <w:rPr>
                <w:sz w:val="20"/>
                <w:szCs w:val="20"/>
              </w:rPr>
              <w:t xml:space="preserve">        </w:t>
            </w:r>
            <w:r w:rsidRPr="002A7B16">
              <w:rPr>
                <w:sz w:val="20"/>
                <w:szCs w:val="20"/>
              </w:rPr>
              <w:t>atlikti valdymo patikrinimus pagal IFAC standartus bei etiką, nariai</w:t>
            </w:r>
            <w:r w:rsidR="00FC45A1">
              <w:rPr>
                <w:sz w:val="20"/>
                <w:szCs w:val="20"/>
              </w:rPr>
              <w:t>s</w:t>
            </w:r>
            <w:r w:rsidRPr="002A7B16">
              <w:rPr>
                <w:sz w:val="20"/>
                <w:szCs w:val="20"/>
              </w:rPr>
              <w:t>;</w:t>
            </w:r>
            <w:r w:rsidR="001003ED">
              <w:rPr>
                <w:sz w:val="20"/>
                <w:szCs w:val="20"/>
              </w:rPr>
              <w:t xml:space="preserve"> arba</w:t>
            </w:r>
          </w:p>
          <w:p w14:paraId="69910FD3" w14:textId="5AE1F48E" w:rsidR="00FC45A1" w:rsidRDefault="00351001" w:rsidP="002A7B16">
            <w:pPr>
              <w:pStyle w:val="ListParagraph"/>
              <w:numPr>
                <w:ilvl w:val="0"/>
                <w:numId w:val="17"/>
              </w:numPr>
              <w:ind w:left="459"/>
              <w:jc w:val="both"/>
              <w:rPr>
                <w:sz w:val="20"/>
                <w:szCs w:val="20"/>
              </w:rPr>
            </w:pPr>
            <w:r w:rsidRPr="002A7B16">
              <w:rPr>
                <w:sz w:val="20"/>
                <w:szCs w:val="20"/>
              </w:rPr>
              <w:t>būti registruoti kaip teisės aktų nustatytą auditą atliekantys auditoriai valstybėje narėje veikiančios viešosios priežiūros įstaigos tvarkomame viešame registre, nustatytais viešosios priežiūros pr</w:t>
            </w:r>
            <w:r w:rsidR="00C53AFD" w:rsidRPr="002A7B16">
              <w:rPr>
                <w:sz w:val="20"/>
                <w:szCs w:val="20"/>
              </w:rPr>
              <w:t>incipais, arba</w:t>
            </w:r>
          </w:p>
          <w:p w14:paraId="7D18F754" w14:textId="2D0C377A" w:rsidR="00351001" w:rsidRPr="002A7B16" w:rsidRDefault="00351001" w:rsidP="002A7B16">
            <w:pPr>
              <w:pStyle w:val="ListParagraph"/>
              <w:numPr>
                <w:ilvl w:val="0"/>
                <w:numId w:val="17"/>
              </w:numPr>
              <w:ind w:left="459"/>
              <w:jc w:val="both"/>
              <w:rPr>
                <w:sz w:val="20"/>
                <w:szCs w:val="20"/>
              </w:rPr>
            </w:pPr>
            <w:r w:rsidRPr="002A7B16">
              <w:rPr>
                <w:sz w:val="20"/>
                <w:szCs w:val="20"/>
              </w:rPr>
              <w:t xml:space="preserve">būti registruoti kaip teisės aktų nustatytą auditą atliekantys auditoriai trečiojoje valstybėje, valstybėje partnerėje ar </w:t>
            </w:r>
            <w:r w:rsidR="00B4041B" w:rsidRPr="00B4041B">
              <w:rPr>
                <w:sz w:val="20"/>
                <w:szCs w:val="20"/>
              </w:rPr>
              <w:t>užjūrio šal</w:t>
            </w:r>
            <w:r w:rsidR="00B4041B">
              <w:rPr>
                <w:sz w:val="20"/>
                <w:szCs w:val="20"/>
              </w:rPr>
              <w:t>yje</w:t>
            </w:r>
            <w:r w:rsidR="00B4041B" w:rsidRPr="00B4041B">
              <w:rPr>
                <w:sz w:val="20"/>
                <w:szCs w:val="20"/>
              </w:rPr>
              <w:t xml:space="preserve"> bei teritorijo</w:t>
            </w:r>
            <w:r w:rsidR="00B4041B">
              <w:rPr>
                <w:sz w:val="20"/>
                <w:szCs w:val="20"/>
              </w:rPr>
              <w:t xml:space="preserve">je </w:t>
            </w:r>
            <w:r w:rsidRPr="002A7B16">
              <w:rPr>
                <w:sz w:val="20"/>
                <w:szCs w:val="20"/>
              </w:rPr>
              <w:t>veikiančios viešosios priežiūros įstaigos tvarkomame viešame registre su sąlyga, kad tam registrui taikomi atitinkamos valstybės teisės aktuose nustatyti viešosios priežiūros principai.</w:t>
            </w:r>
          </w:p>
          <w:p w14:paraId="41D53E03" w14:textId="77777777" w:rsidR="00351001" w:rsidRPr="00490EF2" w:rsidRDefault="00351001" w:rsidP="007D0D0D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1001" w:rsidRPr="00490EF2" w14:paraId="7BAE5450" w14:textId="77777777" w:rsidTr="0043376C">
        <w:tc>
          <w:tcPr>
            <w:tcW w:w="1696" w:type="dxa"/>
          </w:tcPr>
          <w:p w14:paraId="4997C519" w14:textId="77777777" w:rsidR="00351001" w:rsidRPr="00490EF2" w:rsidRDefault="00351001" w:rsidP="007D0D0D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490EF2">
              <w:rPr>
                <w:rFonts w:eastAsia="Times New Roman"/>
                <w:color w:val="000000"/>
                <w:sz w:val="20"/>
                <w:szCs w:val="20"/>
              </w:rPr>
              <w:t>Įgyvendinimo taisyklėse</w:t>
            </w:r>
          </w:p>
        </w:tc>
        <w:tc>
          <w:tcPr>
            <w:tcW w:w="8789" w:type="dxa"/>
          </w:tcPr>
          <w:p w14:paraId="5E712EDD" w14:textId="77777777" w:rsidR="00351001" w:rsidRPr="00490EF2" w:rsidRDefault="00351001" w:rsidP="00235E9A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59"/>
              <w:jc w:val="both"/>
              <w:rPr>
                <w:sz w:val="20"/>
                <w:szCs w:val="20"/>
              </w:rPr>
            </w:pPr>
            <w:r w:rsidRPr="00490EF2">
              <w:rPr>
                <w:sz w:val="20"/>
                <w:szCs w:val="20"/>
              </w:rPr>
              <w:t>turi teisę verstis audito veikla;</w:t>
            </w:r>
          </w:p>
          <w:p w14:paraId="371FCBDF" w14:textId="77777777" w:rsidR="00351001" w:rsidRPr="00490EF2" w:rsidRDefault="00351001" w:rsidP="00351001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55"/>
              <w:jc w:val="both"/>
              <w:rPr>
                <w:sz w:val="20"/>
                <w:szCs w:val="20"/>
              </w:rPr>
            </w:pPr>
            <w:r w:rsidRPr="00490EF2">
              <w:rPr>
                <w:sz w:val="20"/>
                <w:szCs w:val="20"/>
              </w:rPr>
              <w:t>per pastaruosius 3 (trejus) finansinius metus arba per laiką nuo paslaugų teikėjo įregistravimo dienos (jeigu paslaugų teikėjas vykdė veiklą mažiau nei 3 (trejus) finansinius metus) turi būti įvykdęs bent vieną panašią sutartį, t. y. kurios dalykas ir įvykdymo sąlygos panašios kaip pirkimo</w:t>
            </w:r>
            <w:r w:rsidRPr="00490EF2">
              <w:rPr>
                <w:b/>
                <w:sz w:val="20"/>
                <w:szCs w:val="20"/>
              </w:rPr>
              <w:t xml:space="preserve"> </w:t>
            </w:r>
            <w:r w:rsidRPr="00490EF2">
              <w:rPr>
                <w:sz w:val="20"/>
                <w:szCs w:val="20"/>
              </w:rPr>
              <w:t>objekto;</w:t>
            </w:r>
          </w:p>
          <w:p w14:paraId="59DCFFF4" w14:textId="77777777" w:rsidR="00351001" w:rsidRPr="00490EF2" w:rsidRDefault="00351001" w:rsidP="00351001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55"/>
              <w:jc w:val="both"/>
              <w:rPr>
                <w:b/>
                <w:bCs/>
                <w:sz w:val="20"/>
                <w:szCs w:val="20"/>
              </w:rPr>
            </w:pPr>
            <w:r w:rsidRPr="00490EF2">
              <w:rPr>
                <w:sz w:val="20"/>
                <w:szCs w:val="20"/>
              </w:rPr>
              <w:t xml:space="preserve">turi turėti ne mažiau kaip 1 nuolatinį darbuotoją, </w:t>
            </w:r>
            <w:r w:rsidRPr="00490EF2">
              <w:rPr>
                <w:bCs/>
                <w:sz w:val="20"/>
                <w:szCs w:val="20"/>
              </w:rPr>
              <w:t>turintį auditoriaus pažymėjimą ir kurio anglų kalbos žinios pakankamos perskaityti ir suprasti reikiamus dokumentus bei užpildyti kontrolės dokumentaciją;</w:t>
            </w:r>
          </w:p>
          <w:p w14:paraId="0E541A98" w14:textId="2D78774E" w:rsidR="00351001" w:rsidRPr="00490EF2" w:rsidRDefault="00351001" w:rsidP="00235E9A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spacing w:line="276" w:lineRule="auto"/>
              <w:ind w:left="459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490EF2">
              <w:rPr>
                <w:bCs/>
                <w:sz w:val="20"/>
                <w:szCs w:val="20"/>
              </w:rPr>
              <w:t>būti nepriklausomu nuo tikrinamo Lietuvos partnerio pagal Tarptautinės buhalterių federacijos Buhalterių profesionalų etikos kodekse ir Lietuvos Respublikos finansinių ataskaitų audito įstatyme išdėstytus nepriklausomum</w:t>
            </w:r>
            <w:r w:rsidR="00235E9A" w:rsidRPr="00490EF2">
              <w:rPr>
                <w:bCs/>
                <w:sz w:val="20"/>
                <w:szCs w:val="20"/>
              </w:rPr>
              <w:t>o ir objektyvumo reikalavimus ir pateikęs Lietuvos partneri</w:t>
            </w:r>
            <w:r w:rsidR="00666A20">
              <w:rPr>
                <w:bCs/>
                <w:sz w:val="20"/>
                <w:szCs w:val="20"/>
              </w:rPr>
              <w:t>ams</w:t>
            </w:r>
            <w:r w:rsidR="00235E9A" w:rsidRPr="00490EF2">
              <w:rPr>
                <w:bCs/>
                <w:sz w:val="20"/>
                <w:szCs w:val="20"/>
              </w:rPr>
              <w:t xml:space="preserve"> atitinkamas deklaracijas (1 priedas</w:t>
            </w:r>
            <w:r w:rsidR="00C53AFD" w:rsidRPr="00490EF2">
              <w:rPr>
                <w:bCs/>
                <w:sz w:val="20"/>
                <w:szCs w:val="20"/>
              </w:rPr>
              <w:t xml:space="preserve"> </w:t>
            </w:r>
            <w:r w:rsidR="00C53AFD" w:rsidRPr="00490EF2">
              <w:rPr>
                <w:sz w:val="20"/>
                <w:szCs w:val="20"/>
              </w:rPr>
              <w:t>–</w:t>
            </w:r>
            <w:r w:rsidR="00C53AFD" w:rsidRPr="00490EF2">
              <w:rPr>
                <w:bCs/>
                <w:sz w:val="20"/>
                <w:szCs w:val="20"/>
              </w:rPr>
              <w:t xml:space="preserve"> Tikrintojo nepriklausomumo deklaracijos forma</w:t>
            </w:r>
            <w:r w:rsidR="00235E9A" w:rsidRPr="00490EF2">
              <w:rPr>
                <w:bCs/>
                <w:sz w:val="20"/>
                <w:szCs w:val="20"/>
              </w:rPr>
              <w:t xml:space="preserve"> ir 2 priedas</w:t>
            </w:r>
            <w:r w:rsidR="00C53AFD" w:rsidRPr="00490EF2">
              <w:rPr>
                <w:bCs/>
                <w:sz w:val="20"/>
                <w:szCs w:val="20"/>
              </w:rPr>
              <w:t xml:space="preserve"> </w:t>
            </w:r>
            <w:r w:rsidR="00C53AFD" w:rsidRPr="00490EF2">
              <w:rPr>
                <w:sz w:val="20"/>
                <w:szCs w:val="20"/>
              </w:rPr>
              <w:t xml:space="preserve">– </w:t>
            </w:r>
            <w:r w:rsidR="00C53AFD" w:rsidRPr="00490EF2">
              <w:rPr>
                <w:bCs/>
                <w:sz w:val="20"/>
                <w:szCs w:val="20"/>
              </w:rPr>
              <w:t>Auditoriaus nepriklausomumo deklaracijos forma)</w:t>
            </w:r>
            <w:r w:rsidR="00235E9A" w:rsidRPr="00490EF2">
              <w:rPr>
                <w:bCs/>
                <w:sz w:val="20"/>
                <w:szCs w:val="20"/>
              </w:rPr>
              <w:t>;</w:t>
            </w:r>
          </w:p>
          <w:p w14:paraId="4B8D02B9" w14:textId="77777777" w:rsidR="00235E9A" w:rsidRPr="00490EF2" w:rsidRDefault="00235E9A" w:rsidP="00235E9A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spacing w:line="276" w:lineRule="auto"/>
              <w:ind w:left="459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490EF2">
              <w:rPr>
                <w:color w:val="000000"/>
                <w:sz w:val="20"/>
                <w:szCs w:val="20"/>
              </w:rPr>
              <w:t>būti apsidraudusiam civilinės atsakomybės draudimu Lietuvos Respublikos finansinių ataskaitų audito įstatymo nustatytomis sąlygomis ir tvarka; metinė civilinės atsakomybės draudimo suma yra ne mažesnė kaip nustatyta Lietuvos Respublikos finansinių ataskaitų audito įstatymo 21 straipsnyje; civilinės atsakomybės draudimo objektas yra paslaugos teikėjo civilinė atsakomybė už žalą, kuri padaryta Lietuvos partneriui ir (arba) tretiesiems asmenims teikiant projekto tikrinimo paslaugą</w:t>
            </w:r>
            <w:r w:rsidR="00C53AFD" w:rsidRPr="00490EF2">
              <w:rPr>
                <w:color w:val="000000"/>
                <w:sz w:val="20"/>
                <w:szCs w:val="20"/>
              </w:rPr>
              <w:t>.</w:t>
            </w:r>
          </w:p>
        </w:tc>
      </w:tr>
      <w:tr w:rsidR="00351001" w:rsidRPr="00490EF2" w14:paraId="73590E2D" w14:textId="77777777" w:rsidTr="0043376C">
        <w:tc>
          <w:tcPr>
            <w:tcW w:w="1696" w:type="dxa"/>
          </w:tcPr>
          <w:p w14:paraId="69E56A7C" w14:textId="77777777" w:rsidR="00351001" w:rsidRPr="00490EF2" w:rsidRDefault="00235E9A" w:rsidP="007D0D0D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490EF2">
              <w:rPr>
                <w:rFonts w:eastAsia="Times New Roman"/>
                <w:color w:val="000000"/>
                <w:sz w:val="20"/>
                <w:szCs w:val="20"/>
              </w:rPr>
              <w:t>Programos reikalavimuose</w:t>
            </w:r>
          </w:p>
        </w:tc>
        <w:tc>
          <w:tcPr>
            <w:tcW w:w="8789" w:type="dxa"/>
          </w:tcPr>
          <w:p w14:paraId="5F8D7CB3" w14:textId="00EF3704" w:rsidR="00A308FE" w:rsidRPr="00A308FE" w:rsidRDefault="00A308FE" w:rsidP="00A308FE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48"/>
              <w:jc w:val="both"/>
              <w:rPr>
                <w:color w:val="000000"/>
                <w:sz w:val="20"/>
                <w:szCs w:val="20"/>
              </w:rPr>
            </w:pPr>
            <w:r w:rsidRPr="00A308FE">
              <w:rPr>
                <w:color w:val="000000"/>
                <w:sz w:val="20"/>
                <w:szCs w:val="20"/>
              </w:rPr>
              <w:t>būti nepriklausomas nuo projekto partneri</w:t>
            </w:r>
            <w:r w:rsidR="00666A20">
              <w:rPr>
                <w:color w:val="000000"/>
                <w:sz w:val="20"/>
                <w:szCs w:val="20"/>
              </w:rPr>
              <w:t>ų</w:t>
            </w:r>
            <w:r w:rsidRPr="00A308FE">
              <w:rPr>
                <w:color w:val="000000"/>
                <w:sz w:val="20"/>
                <w:szCs w:val="20"/>
              </w:rPr>
              <w:t>;</w:t>
            </w:r>
          </w:p>
          <w:p w14:paraId="51F5BD96" w14:textId="77777777" w:rsidR="00A308FE" w:rsidRPr="00A308FE" w:rsidRDefault="00A308FE" w:rsidP="00A308FE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448" w:hanging="371"/>
              <w:jc w:val="both"/>
              <w:rPr>
                <w:color w:val="000000"/>
                <w:sz w:val="20"/>
                <w:szCs w:val="20"/>
              </w:rPr>
            </w:pPr>
            <w:r w:rsidRPr="00A308FE">
              <w:rPr>
                <w:color w:val="000000"/>
                <w:sz w:val="20"/>
                <w:szCs w:val="20"/>
              </w:rPr>
              <w:t>būti kvalifikuotas atlikti tikrinimo paslaugas pagal šalies nustatytą tvarką</w:t>
            </w:r>
          </w:p>
          <w:p w14:paraId="5B77062C" w14:textId="77777777" w:rsidR="00A308FE" w:rsidRPr="00A308FE" w:rsidRDefault="00A308FE" w:rsidP="00A308FE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448"/>
              <w:jc w:val="both"/>
              <w:rPr>
                <w:color w:val="000000"/>
                <w:sz w:val="20"/>
                <w:szCs w:val="20"/>
              </w:rPr>
            </w:pPr>
            <w:r w:rsidRPr="00A308FE">
              <w:rPr>
                <w:color w:val="000000"/>
                <w:sz w:val="20"/>
                <w:szCs w:val="20"/>
              </w:rPr>
              <w:t>atitikti ES reglamentavimo sistemoje ir nacionalinėje teisinėje sistemoje nustatytus reikalavimus.</w:t>
            </w:r>
          </w:p>
          <w:p w14:paraId="0034A84B" w14:textId="77777777" w:rsidR="00A308FE" w:rsidRPr="00A308FE" w:rsidRDefault="00A308FE" w:rsidP="00A308FE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7F2904B5" w14:textId="77777777" w:rsidR="00A308FE" w:rsidRPr="00A308FE" w:rsidRDefault="00A308FE" w:rsidP="00A308FE">
            <w:pPr>
              <w:ind w:left="175"/>
              <w:rPr>
                <w:color w:val="000000"/>
                <w:sz w:val="20"/>
                <w:szCs w:val="20"/>
              </w:rPr>
            </w:pPr>
            <w:r w:rsidRPr="00A308FE">
              <w:rPr>
                <w:color w:val="000000"/>
                <w:sz w:val="20"/>
                <w:szCs w:val="20"/>
              </w:rPr>
              <w:t>Tikrintojai, taip pat, turi būti susipažinę su:</w:t>
            </w:r>
          </w:p>
          <w:p w14:paraId="63A68E30" w14:textId="77777777" w:rsidR="00A308FE" w:rsidRPr="00A308FE" w:rsidRDefault="00A308FE" w:rsidP="00A308FE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z w:val="20"/>
                <w:szCs w:val="20"/>
              </w:rPr>
            </w:pPr>
            <w:r w:rsidRPr="00A308FE">
              <w:rPr>
                <w:color w:val="000000"/>
                <w:sz w:val="20"/>
                <w:szCs w:val="20"/>
              </w:rPr>
              <w:t>ES reglamentais ir direktyvomis, įskaitant:</w:t>
            </w:r>
          </w:p>
          <w:p w14:paraId="4A619A28" w14:textId="51D17C2C" w:rsidR="001003ED" w:rsidRDefault="001003ED" w:rsidP="00A308FE">
            <w:pPr>
              <w:pStyle w:val="ListParagraph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z w:val="20"/>
                <w:szCs w:val="20"/>
              </w:rPr>
            </w:pPr>
            <w:r w:rsidRPr="001003ED">
              <w:rPr>
                <w:color w:val="000000"/>
                <w:sz w:val="20"/>
                <w:szCs w:val="20"/>
              </w:rPr>
              <w:t>Europos Parlamento ir Tarybos reglamentą (ES) 2021/78 (LIFE),</w:t>
            </w:r>
          </w:p>
          <w:p w14:paraId="28BC825D" w14:textId="77777777" w:rsidR="001003ED" w:rsidRDefault="001003ED" w:rsidP="001003ED">
            <w:pPr>
              <w:pStyle w:val="ListParagraph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z w:val="20"/>
                <w:szCs w:val="20"/>
              </w:rPr>
            </w:pPr>
            <w:r w:rsidRPr="001003ED">
              <w:rPr>
                <w:color w:val="000000"/>
                <w:sz w:val="20"/>
                <w:szCs w:val="20"/>
              </w:rPr>
              <w:t>Europos Parlamento ir Tarybos reglamentą (ES, Euratom) 2018/1046 dėl Europos Sąjungos bendrojo biudžeto finansinių taisyklių (Finansinis reglamentas)</w:t>
            </w:r>
          </w:p>
          <w:p w14:paraId="123F137C" w14:textId="77777777" w:rsidR="001003ED" w:rsidRPr="001003ED" w:rsidRDefault="001003ED" w:rsidP="001003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080"/>
              <w:rPr>
                <w:color w:val="000000"/>
                <w:sz w:val="20"/>
                <w:szCs w:val="20"/>
              </w:rPr>
            </w:pPr>
          </w:p>
          <w:p w14:paraId="11CFD2C8" w14:textId="62E1F9F5" w:rsidR="00A308FE" w:rsidRPr="001003ED" w:rsidRDefault="00A308FE" w:rsidP="001003ED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z w:val="20"/>
                <w:szCs w:val="20"/>
              </w:rPr>
            </w:pPr>
            <w:r w:rsidRPr="001003ED">
              <w:rPr>
                <w:color w:val="000000"/>
                <w:sz w:val="20"/>
                <w:szCs w:val="20"/>
              </w:rPr>
              <w:t>ES direktyvomis dėl viešųjų pirkimų,</w:t>
            </w:r>
          </w:p>
          <w:p w14:paraId="6CD60C3C" w14:textId="4E16013F" w:rsidR="00A308FE" w:rsidRDefault="00A308FE" w:rsidP="00A308FE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z w:val="20"/>
                <w:szCs w:val="20"/>
              </w:rPr>
            </w:pPr>
            <w:r w:rsidRPr="00A308FE">
              <w:rPr>
                <w:color w:val="000000"/>
                <w:sz w:val="20"/>
                <w:szCs w:val="20"/>
              </w:rPr>
              <w:t>kitomis šalies taisyklėmis ir gairėmis (pvz., nacionalinėmis viešųjų pirkimų taisyklėmis),</w:t>
            </w:r>
          </w:p>
          <w:p w14:paraId="3D3ABE5B" w14:textId="00B44759" w:rsidR="001003ED" w:rsidRPr="00A308FE" w:rsidRDefault="001003ED" w:rsidP="00A308FE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z w:val="20"/>
                <w:szCs w:val="20"/>
              </w:rPr>
            </w:pPr>
            <w:r w:rsidRPr="001003ED">
              <w:rPr>
                <w:color w:val="000000"/>
                <w:sz w:val="20"/>
                <w:szCs w:val="20"/>
              </w:rPr>
              <w:t>Bendrojo finansavimo lėšų skyrimo Aplinkos ir klimato politikos programos (LIFE) projektams tvarkos aprašu (LR aplinkos ministro įsakymas Nr. D1‑696),</w:t>
            </w:r>
          </w:p>
          <w:p w14:paraId="6AA041DF" w14:textId="77777777" w:rsidR="00A308FE" w:rsidRPr="00A308FE" w:rsidRDefault="00A308FE" w:rsidP="00A308FE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z w:val="20"/>
                <w:szCs w:val="20"/>
              </w:rPr>
            </w:pPr>
            <w:r w:rsidRPr="00A308FE">
              <w:rPr>
                <w:color w:val="000000"/>
                <w:sz w:val="20"/>
                <w:szCs w:val="20"/>
              </w:rPr>
              <w:t>programos vadovu,</w:t>
            </w:r>
          </w:p>
          <w:p w14:paraId="210BED64" w14:textId="77777777" w:rsidR="00A308FE" w:rsidRPr="00A308FE" w:rsidRDefault="00A308FE" w:rsidP="00A308FE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z w:val="20"/>
                <w:szCs w:val="20"/>
              </w:rPr>
            </w:pPr>
            <w:r w:rsidRPr="00A308FE">
              <w:rPr>
                <w:color w:val="000000"/>
                <w:sz w:val="20"/>
                <w:szCs w:val="20"/>
              </w:rPr>
              <w:t>projekto duomenimis,</w:t>
            </w:r>
          </w:p>
          <w:p w14:paraId="119F4EE9" w14:textId="0762135E" w:rsidR="00A308FE" w:rsidRPr="00A308FE" w:rsidRDefault="001003ED" w:rsidP="00A308FE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dotacijos sutartimi (Grant Agreement)</w:t>
            </w:r>
            <w:r w:rsidR="00A308FE" w:rsidRPr="00A308FE">
              <w:rPr>
                <w:color w:val="000000"/>
                <w:sz w:val="20"/>
                <w:szCs w:val="20"/>
              </w:rPr>
              <w:t>,</w:t>
            </w:r>
          </w:p>
          <w:p w14:paraId="3D976060" w14:textId="1EA095CB" w:rsidR="00351001" w:rsidRPr="00490EF2" w:rsidRDefault="00A308FE" w:rsidP="00A308FE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Times New Roman"/>
                <w:color w:val="000000"/>
                <w:sz w:val="20"/>
                <w:szCs w:val="20"/>
              </w:rPr>
            </w:pPr>
            <w:r w:rsidRPr="00A308FE">
              <w:rPr>
                <w:color w:val="000000"/>
                <w:sz w:val="20"/>
                <w:szCs w:val="20"/>
              </w:rPr>
              <w:t>projekto partnerystės sutartimi.</w:t>
            </w:r>
          </w:p>
        </w:tc>
      </w:tr>
    </w:tbl>
    <w:p w14:paraId="35D53AA6" w14:textId="54C00E68" w:rsidR="00F51BAB" w:rsidRPr="00490EF2" w:rsidRDefault="00F51BAB" w:rsidP="0043376C">
      <w:pPr>
        <w:rPr>
          <w:b/>
          <w:color w:val="000000"/>
          <w:sz w:val="20"/>
          <w:szCs w:val="20"/>
        </w:rPr>
      </w:pPr>
      <w:bookmarkStart w:id="1" w:name="part_8dc76797842d415f9871cae1091302b1"/>
      <w:bookmarkStart w:id="2" w:name="part_5a050fbf9b4c4ebaa20965642a0f4730"/>
      <w:bookmarkStart w:id="3" w:name="part_01a09c8475a24c889b12887218e116d5"/>
      <w:bookmarkStart w:id="4" w:name="part_c1966c4586fc4e4ba30c1a6daf0f9913"/>
      <w:bookmarkEnd w:id="1"/>
      <w:bookmarkEnd w:id="2"/>
      <w:bookmarkEnd w:id="3"/>
      <w:bookmarkEnd w:id="4"/>
    </w:p>
    <w:sectPr w:rsidR="00F51BAB" w:rsidRPr="00490EF2" w:rsidSect="0043376C">
      <w:footerReference w:type="default" r:id="rId11"/>
      <w:footerReference w:type="first" r:id="rId12"/>
      <w:pgSz w:w="11907" w:h="16839" w:code="9"/>
      <w:pgMar w:top="567" w:right="567" w:bottom="567" w:left="1021" w:header="454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D0B44" w14:textId="77777777" w:rsidR="008248B8" w:rsidRDefault="008248B8" w:rsidP="00DA0D0E">
      <w:r>
        <w:separator/>
      </w:r>
    </w:p>
  </w:endnote>
  <w:endnote w:type="continuationSeparator" w:id="0">
    <w:p w14:paraId="312A5C0E" w14:textId="77777777" w:rsidR="008248B8" w:rsidRDefault="008248B8" w:rsidP="00DA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1287449"/>
      <w:docPartObj>
        <w:docPartGallery w:val="Page Numbers (Bottom of Page)"/>
        <w:docPartUnique/>
      </w:docPartObj>
    </w:sdtPr>
    <w:sdtEndPr/>
    <w:sdtContent>
      <w:p w14:paraId="31E041E8" w14:textId="77777777" w:rsidR="00490EF2" w:rsidRDefault="00C211F8">
        <w:pPr>
          <w:pStyle w:val="Footer"/>
          <w:jc w:val="center"/>
        </w:pPr>
      </w:p>
    </w:sdtContent>
  </w:sdt>
  <w:p w14:paraId="034D235F" w14:textId="77777777" w:rsidR="00490EF2" w:rsidRDefault="00490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4637261"/>
      <w:docPartObj>
        <w:docPartGallery w:val="Page Numbers (Bottom of Page)"/>
        <w:docPartUnique/>
      </w:docPartObj>
    </w:sdtPr>
    <w:sdtEndPr/>
    <w:sdtContent>
      <w:p w14:paraId="1C0DBBE1" w14:textId="2942FFA4" w:rsidR="00490EF2" w:rsidRDefault="00490E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EAF">
          <w:rPr>
            <w:noProof/>
          </w:rPr>
          <w:t>1</w:t>
        </w:r>
        <w:r>
          <w:fldChar w:fldCharType="end"/>
        </w:r>
      </w:p>
    </w:sdtContent>
  </w:sdt>
  <w:p w14:paraId="55ED61EE" w14:textId="77777777" w:rsidR="00490EF2" w:rsidRDefault="00490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38A7" w14:textId="77777777" w:rsidR="008248B8" w:rsidRDefault="008248B8" w:rsidP="00DA0D0E">
      <w:r>
        <w:separator/>
      </w:r>
    </w:p>
  </w:footnote>
  <w:footnote w:type="continuationSeparator" w:id="0">
    <w:p w14:paraId="36B7B345" w14:textId="77777777" w:rsidR="008248B8" w:rsidRDefault="008248B8" w:rsidP="00DA0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1F56"/>
    <w:multiLevelType w:val="hybridMultilevel"/>
    <w:tmpl w:val="9EACC59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D21CE"/>
    <w:multiLevelType w:val="hybridMultilevel"/>
    <w:tmpl w:val="91D4F0F8"/>
    <w:lvl w:ilvl="0" w:tplc="AB124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550D6"/>
    <w:multiLevelType w:val="hybridMultilevel"/>
    <w:tmpl w:val="3EDAA2C6"/>
    <w:lvl w:ilvl="0" w:tplc="FB383F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2001D"/>
    <w:multiLevelType w:val="hybridMultilevel"/>
    <w:tmpl w:val="A958109A"/>
    <w:lvl w:ilvl="0" w:tplc="D2AEF3A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51FD9"/>
    <w:multiLevelType w:val="hybridMultilevel"/>
    <w:tmpl w:val="5428E258"/>
    <w:lvl w:ilvl="0" w:tplc="B58E80F2">
      <w:numFmt w:val="bullet"/>
      <w:lvlText w:val="–"/>
      <w:lvlJc w:val="left"/>
      <w:pPr>
        <w:ind w:left="1176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5" w15:restartNumberingAfterBreak="0">
    <w:nsid w:val="29D04B27"/>
    <w:multiLevelType w:val="hybridMultilevel"/>
    <w:tmpl w:val="5E1012B6"/>
    <w:lvl w:ilvl="0" w:tplc="FA6E1498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312B6"/>
    <w:multiLevelType w:val="hybridMultilevel"/>
    <w:tmpl w:val="64D82FCC"/>
    <w:lvl w:ilvl="0" w:tplc="AA0AE2A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00CE4"/>
    <w:multiLevelType w:val="hybridMultilevel"/>
    <w:tmpl w:val="9E524A8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D1118"/>
    <w:multiLevelType w:val="hybridMultilevel"/>
    <w:tmpl w:val="60087BAC"/>
    <w:lvl w:ilvl="0" w:tplc="D6C499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31D68"/>
    <w:multiLevelType w:val="hybridMultilevel"/>
    <w:tmpl w:val="BC2C6B1C"/>
    <w:lvl w:ilvl="0" w:tplc="E7F43236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1F497D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70B66"/>
    <w:multiLevelType w:val="hybridMultilevel"/>
    <w:tmpl w:val="75966B82"/>
    <w:lvl w:ilvl="0" w:tplc="D0144D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3065B"/>
    <w:multiLevelType w:val="hybridMultilevel"/>
    <w:tmpl w:val="6C264EFE"/>
    <w:lvl w:ilvl="0" w:tplc="0427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36159C4"/>
    <w:multiLevelType w:val="hybridMultilevel"/>
    <w:tmpl w:val="09ECEA6E"/>
    <w:lvl w:ilvl="0" w:tplc="08585310">
      <w:start w:val="2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1F497D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AA5BB5"/>
    <w:multiLevelType w:val="hybridMultilevel"/>
    <w:tmpl w:val="5BD6772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6028F"/>
    <w:multiLevelType w:val="hybridMultilevel"/>
    <w:tmpl w:val="6C264EFE"/>
    <w:lvl w:ilvl="0" w:tplc="04270011">
      <w:start w:val="1"/>
      <w:numFmt w:val="decimal"/>
      <w:lvlText w:val="%1)"/>
      <w:lvlJc w:val="left"/>
      <w:pPr>
        <w:ind w:left="3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40" w:hanging="360"/>
      </w:pPr>
    </w:lvl>
    <w:lvl w:ilvl="2" w:tplc="0427001B" w:tentative="1">
      <w:start w:val="1"/>
      <w:numFmt w:val="lowerRoman"/>
      <w:lvlText w:val="%3."/>
      <w:lvlJc w:val="right"/>
      <w:pPr>
        <w:ind w:left="5060" w:hanging="180"/>
      </w:pPr>
    </w:lvl>
    <w:lvl w:ilvl="3" w:tplc="0427000F" w:tentative="1">
      <w:start w:val="1"/>
      <w:numFmt w:val="decimal"/>
      <w:lvlText w:val="%4."/>
      <w:lvlJc w:val="left"/>
      <w:pPr>
        <w:ind w:left="5780" w:hanging="360"/>
      </w:pPr>
    </w:lvl>
    <w:lvl w:ilvl="4" w:tplc="04270019" w:tentative="1">
      <w:start w:val="1"/>
      <w:numFmt w:val="lowerLetter"/>
      <w:lvlText w:val="%5."/>
      <w:lvlJc w:val="left"/>
      <w:pPr>
        <w:ind w:left="6500" w:hanging="360"/>
      </w:pPr>
    </w:lvl>
    <w:lvl w:ilvl="5" w:tplc="0427001B" w:tentative="1">
      <w:start w:val="1"/>
      <w:numFmt w:val="lowerRoman"/>
      <w:lvlText w:val="%6."/>
      <w:lvlJc w:val="right"/>
      <w:pPr>
        <w:ind w:left="7220" w:hanging="180"/>
      </w:pPr>
    </w:lvl>
    <w:lvl w:ilvl="6" w:tplc="0427000F" w:tentative="1">
      <w:start w:val="1"/>
      <w:numFmt w:val="decimal"/>
      <w:lvlText w:val="%7."/>
      <w:lvlJc w:val="left"/>
      <w:pPr>
        <w:ind w:left="7940" w:hanging="360"/>
      </w:pPr>
    </w:lvl>
    <w:lvl w:ilvl="7" w:tplc="04270019" w:tentative="1">
      <w:start w:val="1"/>
      <w:numFmt w:val="lowerLetter"/>
      <w:lvlText w:val="%8."/>
      <w:lvlJc w:val="left"/>
      <w:pPr>
        <w:ind w:left="8660" w:hanging="360"/>
      </w:pPr>
    </w:lvl>
    <w:lvl w:ilvl="8" w:tplc="0427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5" w15:restartNumberingAfterBreak="0">
    <w:nsid w:val="6CC21770"/>
    <w:multiLevelType w:val="hybridMultilevel"/>
    <w:tmpl w:val="B61270CC"/>
    <w:lvl w:ilvl="0" w:tplc="C9684AA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75C38"/>
    <w:multiLevelType w:val="hybridMultilevel"/>
    <w:tmpl w:val="CB68CA4C"/>
    <w:lvl w:ilvl="0" w:tplc="B02ABA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BC0F3D"/>
    <w:multiLevelType w:val="hybridMultilevel"/>
    <w:tmpl w:val="DED2C18C"/>
    <w:lvl w:ilvl="0" w:tplc="04270017">
      <w:start w:val="1"/>
      <w:numFmt w:val="lowerLetter"/>
      <w:lvlText w:val="%1)"/>
      <w:lvlJc w:val="left"/>
      <w:pPr>
        <w:ind w:left="535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103EA"/>
    <w:multiLevelType w:val="hybridMultilevel"/>
    <w:tmpl w:val="3B967BF8"/>
    <w:lvl w:ilvl="0" w:tplc="BA76F11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182768">
    <w:abstractNumId w:val="14"/>
  </w:num>
  <w:num w:numId="2" w16cid:durableId="1951625930">
    <w:abstractNumId w:val="2"/>
  </w:num>
  <w:num w:numId="3" w16cid:durableId="1389761385">
    <w:abstractNumId w:val="12"/>
  </w:num>
  <w:num w:numId="4" w16cid:durableId="871186145">
    <w:abstractNumId w:val="9"/>
  </w:num>
  <w:num w:numId="5" w16cid:durableId="1439524807">
    <w:abstractNumId w:val="10"/>
  </w:num>
  <w:num w:numId="6" w16cid:durableId="921186286">
    <w:abstractNumId w:val="11"/>
  </w:num>
  <w:num w:numId="7" w16cid:durableId="2066294328">
    <w:abstractNumId w:val="18"/>
  </w:num>
  <w:num w:numId="8" w16cid:durableId="1844276045">
    <w:abstractNumId w:val="4"/>
  </w:num>
  <w:num w:numId="9" w16cid:durableId="1303463257">
    <w:abstractNumId w:val="3"/>
  </w:num>
  <w:num w:numId="10" w16cid:durableId="1445884406">
    <w:abstractNumId w:val="16"/>
  </w:num>
  <w:num w:numId="11" w16cid:durableId="1214387174">
    <w:abstractNumId w:val="8"/>
  </w:num>
  <w:num w:numId="12" w16cid:durableId="1000305773">
    <w:abstractNumId w:val="1"/>
  </w:num>
  <w:num w:numId="13" w16cid:durableId="1298148139">
    <w:abstractNumId w:val="15"/>
  </w:num>
  <w:num w:numId="14" w16cid:durableId="1483619772">
    <w:abstractNumId w:val="6"/>
  </w:num>
  <w:num w:numId="15" w16cid:durableId="369455962">
    <w:abstractNumId w:val="5"/>
  </w:num>
  <w:num w:numId="16" w16cid:durableId="977606574">
    <w:abstractNumId w:val="13"/>
  </w:num>
  <w:num w:numId="17" w16cid:durableId="385687796">
    <w:abstractNumId w:val="7"/>
  </w:num>
  <w:num w:numId="18" w16cid:durableId="1452554173">
    <w:abstractNumId w:val="0"/>
  </w:num>
  <w:num w:numId="19" w16cid:durableId="1551945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25"/>
    <w:rsid w:val="000111D5"/>
    <w:rsid w:val="00020086"/>
    <w:rsid w:val="00050986"/>
    <w:rsid w:val="0005317D"/>
    <w:rsid w:val="00055CBD"/>
    <w:rsid w:val="000F71CF"/>
    <w:rsid w:val="001003ED"/>
    <w:rsid w:val="00100F9B"/>
    <w:rsid w:val="0010549F"/>
    <w:rsid w:val="00111788"/>
    <w:rsid w:val="00112B21"/>
    <w:rsid w:val="00183327"/>
    <w:rsid w:val="001D4AA1"/>
    <w:rsid w:val="001F1961"/>
    <w:rsid w:val="00202E26"/>
    <w:rsid w:val="00214E72"/>
    <w:rsid w:val="00235E9A"/>
    <w:rsid w:val="00244BA4"/>
    <w:rsid w:val="00265BE0"/>
    <w:rsid w:val="00267325"/>
    <w:rsid w:val="00292068"/>
    <w:rsid w:val="0029596A"/>
    <w:rsid w:val="002A6F05"/>
    <w:rsid w:val="002A7B16"/>
    <w:rsid w:val="002B3A82"/>
    <w:rsid w:val="002D5E29"/>
    <w:rsid w:val="002F2EAF"/>
    <w:rsid w:val="003022B6"/>
    <w:rsid w:val="00351001"/>
    <w:rsid w:val="003B6B5E"/>
    <w:rsid w:val="003C7D17"/>
    <w:rsid w:val="003E0C91"/>
    <w:rsid w:val="003E2F7D"/>
    <w:rsid w:val="003F1BF3"/>
    <w:rsid w:val="004021D7"/>
    <w:rsid w:val="0043376C"/>
    <w:rsid w:val="00467DF1"/>
    <w:rsid w:val="00490EF2"/>
    <w:rsid w:val="00494A2C"/>
    <w:rsid w:val="004A3E65"/>
    <w:rsid w:val="004B33CA"/>
    <w:rsid w:val="004B544F"/>
    <w:rsid w:val="004D2248"/>
    <w:rsid w:val="005168F4"/>
    <w:rsid w:val="00521EDB"/>
    <w:rsid w:val="00533D41"/>
    <w:rsid w:val="0054430E"/>
    <w:rsid w:val="00545CD2"/>
    <w:rsid w:val="005514E5"/>
    <w:rsid w:val="005B56BF"/>
    <w:rsid w:val="005B73EF"/>
    <w:rsid w:val="005C49B3"/>
    <w:rsid w:val="005E0CBC"/>
    <w:rsid w:val="005F5E80"/>
    <w:rsid w:val="0064172E"/>
    <w:rsid w:val="00664426"/>
    <w:rsid w:val="00664D95"/>
    <w:rsid w:val="00666A20"/>
    <w:rsid w:val="00676BD5"/>
    <w:rsid w:val="006A3EA4"/>
    <w:rsid w:val="006D3858"/>
    <w:rsid w:val="006E1EEC"/>
    <w:rsid w:val="006E466F"/>
    <w:rsid w:val="007403A8"/>
    <w:rsid w:val="00752DA5"/>
    <w:rsid w:val="00770219"/>
    <w:rsid w:val="00781F1A"/>
    <w:rsid w:val="00796D6B"/>
    <w:rsid w:val="007A5358"/>
    <w:rsid w:val="007B088C"/>
    <w:rsid w:val="007C4AEB"/>
    <w:rsid w:val="007D0D0D"/>
    <w:rsid w:val="007D2AD6"/>
    <w:rsid w:val="007E6804"/>
    <w:rsid w:val="008123FB"/>
    <w:rsid w:val="008206AC"/>
    <w:rsid w:val="008248B8"/>
    <w:rsid w:val="00831D1D"/>
    <w:rsid w:val="008631B2"/>
    <w:rsid w:val="008973F1"/>
    <w:rsid w:val="008C7294"/>
    <w:rsid w:val="008E4B3F"/>
    <w:rsid w:val="008E69ED"/>
    <w:rsid w:val="008F7B3C"/>
    <w:rsid w:val="00924019"/>
    <w:rsid w:val="009440A6"/>
    <w:rsid w:val="0095136E"/>
    <w:rsid w:val="00964ED2"/>
    <w:rsid w:val="00977DC6"/>
    <w:rsid w:val="009817DF"/>
    <w:rsid w:val="009B6EDE"/>
    <w:rsid w:val="009F08C9"/>
    <w:rsid w:val="00A24966"/>
    <w:rsid w:val="00A267AD"/>
    <w:rsid w:val="00A308FE"/>
    <w:rsid w:val="00A32BAD"/>
    <w:rsid w:val="00A36E5E"/>
    <w:rsid w:val="00A56DCD"/>
    <w:rsid w:val="00A76EC4"/>
    <w:rsid w:val="00AB3F24"/>
    <w:rsid w:val="00AB7853"/>
    <w:rsid w:val="00AD237E"/>
    <w:rsid w:val="00AD549A"/>
    <w:rsid w:val="00B309BD"/>
    <w:rsid w:val="00B4041B"/>
    <w:rsid w:val="00B443D6"/>
    <w:rsid w:val="00B55FA6"/>
    <w:rsid w:val="00B763CB"/>
    <w:rsid w:val="00B83071"/>
    <w:rsid w:val="00B8537F"/>
    <w:rsid w:val="00BA390A"/>
    <w:rsid w:val="00BE3FCF"/>
    <w:rsid w:val="00BE7B3A"/>
    <w:rsid w:val="00C104BD"/>
    <w:rsid w:val="00C211F8"/>
    <w:rsid w:val="00C21616"/>
    <w:rsid w:val="00C43DE8"/>
    <w:rsid w:val="00C53AFD"/>
    <w:rsid w:val="00C610C8"/>
    <w:rsid w:val="00C64067"/>
    <w:rsid w:val="00C67D34"/>
    <w:rsid w:val="00C91542"/>
    <w:rsid w:val="00CA2A27"/>
    <w:rsid w:val="00CB73FC"/>
    <w:rsid w:val="00CB7524"/>
    <w:rsid w:val="00CD0546"/>
    <w:rsid w:val="00D05203"/>
    <w:rsid w:val="00D10522"/>
    <w:rsid w:val="00D169AE"/>
    <w:rsid w:val="00D569CA"/>
    <w:rsid w:val="00D706B0"/>
    <w:rsid w:val="00D7095F"/>
    <w:rsid w:val="00D818D3"/>
    <w:rsid w:val="00D8229C"/>
    <w:rsid w:val="00DA0D0E"/>
    <w:rsid w:val="00DB7472"/>
    <w:rsid w:val="00DC2F20"/>
    <w:rsid w:val="00DD540B"/>
    <w:rsid w:val="00DF20A0"/>
    <w:rsid w:val="00DF535E"/>
    <w:rsid w:val="00E206DD"/>
    <w:rsid w:val="00E43448"/>
    <w:rsid w:val="00E5448C"/>
    <w:rsid w:val="00E67796"/>
    <w:rsid w:val="00E74FA3"/>
    <w:rsid w:val="00E94E85"/>
    <w:rsid w:val="00EA7511"/>
    <w:rsid w:val="00F23D8B"/>
    <w:rsid w:val="00F352B3"/>
    <w:rsid w:val="00F50966"/>
    <w:rsid w:val="00F51BAB"/>
    <w:rsid w:val="00F64FB9"/>
    <w:rsid w:val="00F83074"/>
    <w:rsid w:val="00F850E0"/>
    <w:rsid w:val="00F923B9"/>
    <w:rsid w:val="00FA32DE"/>
    <w:rsid w:val="00FA46FC"/>
    <w:rsid w:val="00FB12BE"/>
    <w:rsid w:val="00FC0E53"/>
    <w:rsid w:val="00FC45A1"/>
    <w:rsid w:val="00FD0295"/>
    <w:rsid w:val="00FE1936"/>
    <w:rsid w:val="00F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BD9A"/>
  <w15:chartTrackingRefBased/>
  <w15:docId w15:val="{4B4AA150-0499-4C90-B1EA-35E2735E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25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267325"/>
    <w:pPr>
      <w:keepNext/>
      <w:tabs>
        <w:tab w:val="left" w:pos="810"/>
        <w:tab w:val="left" w:pos="990"/>
      </w:tabs>
      <w:jc w:val="both"/>
      <w:outlineLvl w:val="7"/>
    </w:pPr>
    <w:rPr>
      <w:rFonts w:eastAsia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7325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rsid w:val="0026732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ipersaitas1">
    <w:name w:val="Hipersaitas1"/>
    <w:rsid w:val="00267325"/>
    <w:rPr>
      <w:color w:val="744FB0"/>
      <w:sz w:val="13"/>
      <w:szCs w:val="13"/>
      <w:u w:val="single"/>
    </w:rPr>
  </w:style>
  <w:style w:type="paragraph" w:customStyle="1" w:styleId="Pagrindinistekstas1">
    <w:name w:val="Pagrindinis tekstas1"/>
    <w:rsid w:val="0026732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817DF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C43DE8"/>
    <w:pPr>
      <w:ind w:left="720"/>
      <w:contextualSpacing/>
    </w:pPr>
  </w:style>
  <w:style w:type="paragraph" w:customStyle="1" w:styleId="xmsonormal">
    <w:name w:val="x_msonormal"/>
    <w:basedOn w:val="Normal"/>
    <w:rsid w:val="00C43DE8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3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3B9"/>
    <w:rPr>
      <w:rFonts w:ascii="Segoe UI" w:hAnsi="Segoe UI" w:cs="Segoe UI"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8E4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B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B3F"/>
    <w:rPr>
      <w:rFonts w:ascii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B3F"/>
    <w:rPr>
      <w:rFonts w:ascii="Times New Roman" w:hAnsi="Times New Roman" w:cs="Times New Roman"/>
      <w:b/>
      <w:bCs/>
      <w:sz w:val="20"/>
      <w:szCs w:val="20"/>
      <w:lang w:eastAsia="lt-LT"/>
    </w:rPr>
  </w:style>
  <w:style w:type="table" w:styleId="TableGrid">
    <w:name w:val="Table Grid"/>
    <w:basedOn w:val="TableNormal"/>
    <w:uiPriority w:val="39"/>
    <w:rsid w:val="00C64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0D0E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D0E"/>
    <w:rPr>
      <w:rFonts w:ascii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DA0D0E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D0E"/>
    <w:rPr>
      <w:rFonts w:ascii="Times New Roman" w:hAnsi="Times New Roman" w:cs="Times New Roman"/>
      <w:sz w:val="24"/>
      <w:szCs w:val="24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A308FE"/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1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1A0AD120E90E14A92E37EA1A2B7BBF7" ma:contentTypeVersion="14" ma:contentTypeDescription="Kurkite naują dokumentą." ma:contentTypeScope="" ma:versionID="4f9f59c4b58bb7de1fe403e131489fb4">
  <xsd:schema xmlns:xsd="http://www.w3.org/2001/XMLSchema" xmlns:xs="http://www.w3.org/2001/XMLSchema" xmlns:p="http://schemas.microsoft.com/office/2006/metadata/properties" xmlns:ns3="76b0db7b-bfe3-4821-8c9b-5002f0285337" xmlns:ns4="e10b4ae4-2cef-4154-92e1-ee2ceda305ab" targetNamespace="http://schemas.microsoft.com/office/2006/metadata/properties" ma:root="true" ma:fieldsID="5621f356bf273a2db99305149b5c6c9e" ns3:_="" ns4:_="">
    <xsd:import namespace="76b0db7b-bfe3-4821-8c9b-5002f0285337"/>
    <xsd:import namespace="e10b4ae4-2cef-4154-92e1-ee2ceda305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db7b-bfe3-4821-8c9b-5002f0285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b4ae4-2cef-4154-92e1-ee2ceda30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b0db7b-bfe3-4821-8c9b-5002f0285337" xsi:nil="true"/>
  </documentManagement>
</p:properties>
</file>

<file path=customXml/itemProps1.xml><?xml version="1.0" encoding="utf-8"?>
<ds:datastoreItem xmlns:ds="http://schemas.openxmlformats.org/officeDocument/2006/customXml" ds:itemID="{3F9DE2AD-FED0-495F-ADF0-E918153A83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DD7427-4452-4659-9C4F-DB74BDF4B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0db7b-bfe3-4821-8c9b-5002f0285337"/>
    <ds:schemaRef ds:uri="e10b4ae4-2cef-4154-92e1-ee2ceda30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7EF24-FEBC-4084-8AD2-4391CE7E89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80C13C-427A-4291-B0AA-81F7DBADCEB2}">
  <ds:schemaRefs>
    <ds:schemaRef ds:uri="http://schemas.microsoft.com/office/2006/metadata/properties"/>
    <ds:schemaRef ds:uri="http://schemas.microsoft.com/office/infopath/2007/PartnerControls"/>
    <ds:schemaRef ds:uri="76b0db7b-bfe3-4821-8c9b-5002f02853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Smetonienė</dc:creator>
  <cp:keywords/>
  <dc:description/>
  <cp:lastModifiedBy>Edita Baltrėnaitė</cp:lastModifiedBy>
  <cp:revision>4</cp:revision>
  <cp:lastPrinted>2024-01-22T09:06:00Z</cp:lastPrinted>
  <dcterms:created xsi:type="dcterms:W3CDTF">2025-09-11T09:32:00Z</dcterms:created>
  <dcterms:modified xsi:type="dcterms:W3CDTF">2025-09-12T11:41:00Z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0x01010081A0AD120E90E14A92E37EA1A2B7BBF7</vt:lpwstr>
  </property>
</Properties>
</file>