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package.relationships+xml" PartName="/customXml/_rels/item1.xml.rels"/>
  <Override ContentType="application/vnd.openxmlformats-package.relationships+xml" PartName="/customXml/_rels/item2.xml.rels"/>
  <Override ContentType="application/vnd.openxmlformats-package.relationships+xml" PartName="/customXml/_rels/item3.xml.rels"/>
  <Override ContentType="application/vnd.openxmlformats-package.relationships+xml" PartName="/customXml/_rels/item4.xml.rels"/>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296"/>
          <w:tab w:val="left" w:pos="7692" w:leader="none"/>
        </w:tabs>
        <w:textAlignment w:val="center"/>
        <w:rPr>
          <w:szCs w:val="24"/>
        </w:rPr>
      </w:pPr>
      <w:r>
        <w:rPr>
          <w:szCs w:val="24"/>
        </w:rPr>
      </w:r>
    </w:p>
    <w:p>
      <w:pPr>
        <w:pStyle w:val="Normal"/>
        <w:tabs>
          <w:tab w:val="clear" w:pos="1296"/>
          <w:tab w:val="left" w:pos="5400" w:leader="none"/>
        </w:tabs>
        <w:textAlignment w:val="center"/>
        <w:rPr>
          <w:szCs w:val="24"/>
        </w:rPr>
      </w:pPr>
      <w:r>
        <w:rPr>
          <w:szCs w:val="24"/>
        </w:rPr>
      </w:r>
    </w:p>
    <w:p>
      <w:pPr>
        <w:pStyle w:val="Normal"/>
        <w:tabs>
          <w:tab w:val="clear" w:pos="1296"/>
          <w:tab w:val="left" w:pos="5400" w:leader="none"/>
        </w:tabs>
        <w:textAlignment w:val="center"/>
        <w:rPr>
          <w:szCs w:val="24"/>
        </w:rPr>
      </w:pPr>
      <w:r>
        <w:rPr>
          <w:szCs w:val="24"/>
        </w:rPr>
      </w:r>
    </w:p>
    <w:p>
      <w:pPr>
        <w:pStyle w:val="Normal"/>
        <w:widowControl w:val="false"/>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jc w:val="center"/>
        <w:rPr>
          <w:szCs w:val="24"/>
        </w:rPr>
      </w:pPr>
      <w:r>
        <w:rPr>
          <w:szCs w:val="24"/>
        </w:rPr>
      </w:r>
    </w:p>
    <w:tbl>
      <w:tblPr>
        <w:tblW w:w="955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46"/>
        <w:gridCol w:w="2180"/>
        <w:gridCol w:w="2360"/>
        <w:gridCol w:w="2571"/>
      </w:tblGrid>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t xml:space="preserve">Nuotolinių konsultacijų paslaugos 2025 metams (pagal kvalifikacijos tobulinimo prioritetus mokyklų veiklos tobulinimo ir ugdymo turinio bei proceso vadybos klausimais) (tema </w:t>
            </w:r>
            <w:r>
              <w:rPr>
                <w:rFonts w:eastAsia="NSimSun"/>
                <w:color w:themeColor="text1" w:val="000000"/>
                <w:kern w:val="2"/>
                <w:szCs w:val="24"/>
                <w:lang w:eastAsia="zh-CN" w:bidi="hi-IN"/>
              </w:rPr>
              <w:t>„Teisiniai klausimai švietimo įstaigoje“</w:t>
            </w:r>
            <w:r>
              <w:rPr/>
              <w:t>) paslaugų pirkimo – pardavimo sutartis</w:t>
            </w:r>
          </w:p>
        </w:tc>
      </w:tr>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Pirkimo būdas</w:t>
            </w:r>
          </w:p>
        </w:tc>
        <w:tc>
          <w:tcPr>
            <w:tcW w:w="2180"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Pirkimo numeris:</w:t>
            </w:r>
          </w:p>
        </w:tc>
        <w:tc>
          <w:tcPr>
            <w:tcW w:w="2180"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BVPŽ kodas (-ai):</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Nacionalinė švietimo agentūra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305238040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K. Kalinausko g. 7, LT-03107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a. s. LT694040063610001631</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Lietuvos Respublikos finansų ministerija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+370 658 18504</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info@nsa.smsm.lt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Simonas Šabanovas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t>Nacionalinės švietimo agentūros nuostatai, patvirtinti Lietuvos Respublikos švietimo, mokslo ir sporto ministro 2023 m. balandžio 20 d. įsakymu Nr. V-573 „Dėl Nacionalinės švietimo agentūros nuostatų patvirtinimo</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1.2. Tiekėjas</w:t>
            </w:r>
          </w:p>
          <w:p>
            <w:pPr>
              <w:pStyle w:val="Normal"/>
              <w:rPr>
                <w:color w:val="4472C4"/>
                <w:kern w:val="2"/>
                <w:szCs w:val="24"/>
              </w:rPr>
            </w:pPr>
            <w:r>
              <w:rPr>
                <w:color w:val="4472C4"/>
                <w:kern w:val="2"/>
                <w:szCs w:val="24"/>
              </w:rPr>
              <w:t>(jei Tiekėjas yra fizinis asmuo, skiltys atitinkamai pakoreguojamos.</w:t>
            </w:r>
          </w:p>
          <w:p>
            <w:pPr>
              <w:pStyle w:val="Normal"/>
              <w:rPr>
                <w:color w:val="4472C4"/>
                <w:kern w:val="2"/>
                <w:szCs w:val="24"/>
              </w:rPr>
            </w:pPr>
            <w:r>
              <w:rPr>
                <w:color w:val="4472C4"/>
                <w:kern w:val="2"/>
                <w:szCs w:val="24"/>
              </w:rPr>
              <w:t>Jei Tiekėjas yra tiekėjų grupė, skiltys pildomos įterpiant kiekvieno grupės nario informaciją)</w:t>
            </w:r>
          </w:p>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56"/>
        <w:gridCol w:w="39"/>
        <w:gridCol w:w="2130"/>
        <w:gridCol w:w="4309"/>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pPr>
            <w:r>
              <w:rPr>
                <w:kern w:val="2"/>
                <w:szCs w:val="24"/>
              </w:rPr>
              <w:t>Edita Linkevičiūtė</w:t>
            </w:r>
          </w:p>
          <w:p>
            <w:pPr>
              <w:pStyle w:val="Normal"/>
              <w:rPr/>
            </w:pPr>
            <w:r>
              <w:rPr>
                <w:kern w:val="2"/>
                <w:szCs w:val="24"/>
              </w:rPr>
              <w:t>Projekto „Tęsk: ateik, tobulėk, prisidėk!" specialistė</w:t>
            </w:r>
          </w:p>
          <w:p>
            <w:pPr>
              <w:pStyle w:val="Normal"/>
              <w:rPr/>
            </w:pPr>
            <w:r>
              <w:rPr>
                <w:kern w:val="2"/>
                <w:szCs w:val="24"/>
              </w:rPr>
              <w:t>Tel. nr. +370 62035696</w:t>
            </w:r>
          </w:p>
          <w:p>
            <w:pPr>
              <w:pStyle w:val="Normal"/>
              <w:rPr>
                <w:color w:val="4472C4"/>
                <w:kern w:val="2"/>
                <w:szCs w:val="24"/>
              </w:rPr>
            </w:pPr>
            <w:r>
              <w:rPr>
                <w:i/>
                <w:iCs/>
                <w:kern w:val="2"/>
                <w:szCs w:val="24"/>
              </w:rPr>
              <w:t>Elektroninis paštas: edita.linkeviciute@nsa.smsm.lt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t xml:space="preserve">Nuotolinių konsultacijų paslaugos 2025 metams (pagal kvalifikacijos tobulinimo prioritetus mokyklų veiklos tobulinimo ir ugdymo turinio bei proceso vadybos klausimais) (tema „Teisiniai klausimai švietimo įstaigoje“) </w:t>
            </w:r>
            <w:r>
              <w:rPr>
                <w:color w:val="000000"/>
                <w:kern w:val="2"/>
              </w:rPr>
              <w:t>(toliau – Paslaugos). Nuotolinės konsultacijos „Teisiniai klausimai švietimo įstaigoje“ (</w:t>
            </w:r>
            <w:r>
              <w:rPr/>
              <w:t xml:space="preserve">6 konsultacijos po 4 akad. val., iš viso 24 akad. val.) yra </w:t>
            </w:r>
            <w:r>
              <w:rPr>
                <w:color w:val="000000"/>
                <w:kern w:val="2"/>
              </w:rPr>
              <w:t xml:space="preserve">skirtos </w:t>
            </w:r>
            <w:r>
              <w:rPr/>
              <w:t xml:space="preserve">švietimo įstaigų (išskyrus aukštąsias mokyklas) vadovams. </w:t>
            </w:r>
            <w:r>
              <w:rPr>
                <w:color w:val="000000"/>
                <w:kern w:val="2"/>
              </w:rPr>
              <w:t xml:space="preserve">Išsamus </w:t>
            </w:r>
            <w:r>
              <w:rPr>
                <w:color w:val="000000"/>
              </w:rPr>
              <w:t>Paslaugų</w:t>
            </w:r>
            <w:r>
              <w:rPr>
                <w:color w:val="000000"/>
                <w:kern w:val="2"/>
              </w:rPr>
              <w:t xml:space="preserve"> aprašymas ir kiti reikalavimai teikiamoms </w:t>
            </w:r>
            <w:r>
              <w:rPr>
                <w:color w:val="000000"/>
              </w:rPr>
              <w:t>Paslaugoms</w:t>
            </w:r>
            <w:r>
              <w:rPr>
                <w:color w:val="000000"/>
                <w:kern w:val="2"/>
              </w:rPr>
              <w:t xml:space="preserve"> nustatyti Sutarties priede Nr. 1 „Techninė specifikacija“ (toliau – Techninė specifikacija) ir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t>Nuotolinių konsultacijų „Teisiniai klausimai švietimo įstaigoje“ paslaugos 2025 metams (pagal kvalifikacijos tobulinimo prioritetus mokyklų veiklos tobulinimo ir ugdymo turinio bei procesų vadybos klausimais), CVP IS ID</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t>Paslaugos perkamos įgyvendinant</w:t>
            </w:r>
            <w:bookmarkStart w:id="0" w:name="_Hlk171590957"/>
            <w:r>
              <w:rP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Standard"/>
              <w:tabs>
                <w:tab w:val="clear" w:pos="1296"/>
                <w:tab w:val="left" w:pos="1418" w:leader="none"/>
              </w:tabs>
              <w:jc w:val="both"/>
              <w:rPr>
                <w:lang w:val="lt-LT" w:eastAsia="en-US"/>
              </w:rPr>
            </w:pPr>
            <w:r>
              <w:rPr>
                <w:rStyle w:val="BodyTextChar"/>
                <w:rFonts w:eastAsia="Arial Unicode MS"/>
                <w:lang w:val="lt-LT"/>
              </w:rPr>
              <w:t>Tiekėjas privalo suteikti Paslaugas pagal Techninėje specifikac</w:t>
            </w:r>
            <w:r>
              <w:rPr>
                <w:rStyle w:val="BodyTextChar"/>
                <w:rFonts w:eastAsia="Arial Unicode MS"/>
                <w:shd w:fill="FFFFFF" w:val="clear"/>
                <w:lang w:val="lt-LT"/>
              </w:rPr>
              <w:t xml:space="preserve">ijoje nustatytą terminą - </w:t>
            </w:r>
            <w:r>
              <w:rPr>
                <w:shd w:fill="FFFFFF" w:val="clear"/>
                <w:lang w:val="lt-LT" w:eastAsia="en-US"/>
              </w:rPr>
              <w:t>visos paslaugos turi būti suteiktos per 8 mėn. nu</w:t>
            </w:r>
            <w:r>
              <w:rPr>
                <w:lang w:val="lt-LT" w:eastAsia="en-US"/>
              </w:rPr>
              <w:t>o sutarties įsigaliojimo dienos.</w:t>
            </w:r>
          </w:p>
          <w:p>
            <w:pPr>
              <w:pStyle w:val="Normal"/>
              <w:rPr>
                <w:color w:val="4472C4"/>
                <w:szCs w:val="24"/>
              </w:rPr>
            </w:pPr>
            <w:r>
              <w:rPr>
                <w:color w:val="4472C4"/>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rFonts w:eastAsia="Arial Unicode MS"/>
                <w:szCs w:val="24"/>
                <w:lang w:eastAsia="lt-LT"/>
              </w:rPr>
              <w:t>Paslaugų tiekėjas privalo suteikti Paslaugas per Techninėje specifikacijoje (arba nurodyti terminus šiame punkte, jeigu tai nenumatyta Techninėje specifikacijoje) numatytus terminus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Konsultacijų grafikas derinamas su Pirkėju. Pirkėjas pastabas bei pasiūlymus dėl siūlomo Konsultacijų grafiko pateikia ne vėliau kaip per 3 (tris) darbo dienas. Konsultacijų grafikas turi atitikti švietimo įstaigų vadovų galimybes dalyvauti Konsultacijose, atsižvelgiant į Konsultacijų dažnumą ir mokslo metų sezoniškumą.</w:t>
              <w:br/>
              <w:t>Konsultacijos vykdomos naudojant Pirkėjo suderintą nuotolinio mokymo platformą. Pirkėjas sukuria prisijungimo į Konsultaciją nuorodą ir išsiunčia ją konsultacijos dalyviams.</w:t>
            </w:r>
          </w:p>
        </w:tc>
      </w:tr>
      <w:tr>
        <w:trPr>
          <w:trHeight w:val="3341"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Spacing"/>
              <w:ind w:hanging="0"/>
              <w:rPr>
                <w:rFonts w:ascii="Times New Roman" w:hAnsi="Times New Roman"/>
                <w:sz w:val="24"/>
                <w:szCs w:val="24"/>
              </w:rPr>
            </w:pPr>
            <w:r>
              <w:rPr>
                <w:rFonts w:ascii="Times New Roman" w:hAnsi="Times New Roman"/>
                <w:sz w:val="24"/>
                <w:szCs w:val="24"/>
              </w:rPr>
              <w:t>Nuotolinio mokymo platformos ekrano nuotraukas, fiksuojančias konsultacijos dalyvių sąrašą (konsultacijos pradžioje, eigoje ir pabaigoje), bei 2 (dvi) nuotraukas įrodymui per 2 darbo dienas po konsultacijos.</w:t>
            </w:r>
          </w:p>
          <w:p>
            <w:pPr>
              <w:pStyle w:val="NoSpacing"/>
              <w:ind w:hanging="0"/>
              <w:rPr>
                <w:rFonts w:ascii="Times New Roman" w:hAnsi="Times New Roman"/>
                <w:sz w:val="24"/>
                <w:szCs w:val="24"/>
              </w:rPr>
            </w:pPr>
            <w:r>
              <w:rPr>
                <w:rFonts w:ascii="Times New Roman" w:hAnsi="Times New Roman"/>
                <w:sz w:val="24"/>
                <w:szCs w:val="24"/>
              </w:rPr>
              <w:t>Konsultacijos medžiagą (pateiktį) su projekto viešinimo ženklais;</w:t>
            </w:r>
          </w:p>
          <w:p>
            <w:pPr>
              <w:pStyle w:val="NoSpacing"/>
              <w:ind w:hanging="0"/>
              <w:rPr>
                <w:rFonts w:ascii="Times New Roman" w:hAnsi="Times New Roman"/>
                <w:sz w:val="24"/>
                <w:szCs w:val="24"/>
              </w:rPr>
            </w:pPr>
            <w:r>
              <w:rPr>
                <w:rFonts w:ascii="Times New Roman" w:hAnsi="Times New Roman"/>
                <w:sz w:val="24"/>
                <w:szCs w:val="24"/>
              </w:rPr>
              <w:t>Įvykdžius visas konsultacijas – lektorių atsiliepimus apie įvykusias konsultacijas.</w:t>
            </w:r>
          </w:p>
          <w:p>
            <w:pPr>
              <w:pStyle w:val="NoSpacing"/>
              <w:ind w:hanging="0"/>
              <w:rPr>
                <w:rFonts w:ascii="Times New Roman" w:hAnsi="Times New Roman"/>
                <w:sz w:val="24"/>
                <w:szCs w:val="24"/>
              </w:rPr>
            </w:pPr>
            <w:r>
              <w:rPr>
                <w:rFonts w:ascii="Times New Roman" w:hAnsi="Times New Roman"/>
                <w:sz w:val="24"/>
                <w:szCs w:val="24"/>
              </w:rPr>
              <w:t>Atsiskaitydamas už suteiktas paslaugas Tiekėjas turi pateikti Paslaugų priėmimo - perdavimo aktą, kuriame turi būti nurodyta konsultacijų suteik</w:t>
            </w:r>
            <w:r>
              <w:rPr>
                <w:rFonts w:ascii="Times New Roman" w:hAnsi="Times New Roman"/>
                <w:sz w:val="24"/>
                <w:szCs w:val="24"/>
                <w:shd w:fill="FFFFFF" w:val="clear"/>
              </w:rPr>
              <w:t>imo data, konsultuotų asmenų skaičius, suteiktos paslaugos.</w:t>
            </w:r>
          </w:p>
          <w:p>
            <w:pPr>
              <w:pStyle w:val="NoSpacing"/>
              <w:ind w:hanging="0"/>
              <w:rPr>
                <w:rFonts w:ascii="Times New Roman" w:hAnsi="Times New Roman"/>
                <w:sz w:val="24"/>
                <w:szCs w:val="24"/>
              </w:rPr>
            </w:pPr>
            <w:r>
              <w:rPr>
                <w:rFonts w:ascii="Times New Roman" w:hAnsi="Times New Roman"/>
                <w:sz w:val="24"/>
                <w:szCs w:val="24"/>
              </w:rPr>
              <w:t>Pirkėjas, gavęs Paslaugų priėmimo - perdavimo aktą, per 7 d. d. įvertina suteiktas Paslaugas ir pasirašo Paslaugų priėmimo - perdavimo aktą.</w:t>
            </w:r>
          </w:p>
          <w:p>
            <w:pPr>
              <w:pStyle w:val="NoSpacing"/>
              <w:ind w:hanging="0"/>
              <w:rPr>
                <w:rFonts w:ascii="Times New Roman" w:hAnsi="Times New Roman"/>
                <w:sz w:val="24"/>
                <w:szCs w:val="24"/>
              </w:rPr>
            </w:pPr>
            <w:r>
              <w:rPr>
                <w:rFonts w:ascii="Times New Roman" w:hAnsi="Times New Roman"/>
                <w:sz w:val="24"/>
                <w:szCs w:val="24"/>
              </w:rPr>
              <w:t>Pasirašius Paslaugų priėmimo - perdavimo aktą, teikiama sąskaita faktūra.</w:t>
            </w:r>
          </w:p>
          <w:p>
            <w:pPr>
              <w:pStyle w:val="Normal"/>
              <w:rPr>
                <w:szCs w:val="24"/>
              </w:rPr>
            </w:pPr>
            <w:r>
              <w:rPr>
                <w:kern w:val="2"/>
                <w:szCs w:val="24"/>
              </w:rPr>
              <w:t>Tiekėjui nepateikus nurodytų dokumentų, laikoma, kad Paslaugos neatitinka Sutartyje nustatytų reikalavimų.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r>
              <w:rPr>
                <w:color w:val="000000"/>
                <w:kern w:val="2"/>
                <w:szCs w:val="24"/>
              </w:rPr>
              <w:t>sutarčiai taikoma fiksuoto įkainio kainodara.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jc w:val="both"/>
              <w:rPr>
                <w:b/>
                <w:color w:val="FF0000"/>
                <w:kern w:val="2"/>
                <w:szCs w:val="24"/>
              </w:rPr>
            </w:pPr>
            <w:r>
              <w:rPr>
                <w:b/>
                <w:color w:val="FF0000"/>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pPr>
              <w:pStyle w:val="Normal"/>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pPr>
              <w:pStyle w:val="Normal"/>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pPr>
              <w:pStyle w:val="Normal"/>
              <w:rPr>
                <w:kern w:val="2"/>
                <w:sz w:val="20"/>
              </w:rPr>
            </w:pPr>
            <w:r>
              <w:rPr>
                <w:kern w:val="2"/>
                <w:sz w:val="20"/>
              </w:rPr>
            </w:r>
          </w:p>
          <w:p>
            <w:pPr>
              <w:pStyle w:val="Normal"/>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color w:val="000000"/>
                <w:kern w:val="2"/>
                <w:szCs w:val="24"/>
                <w:shd w:fill="FFFFFF" w:val="clear"/>
              </w:rPr>
              <w:t>. 2</w:t>
            </w:r>
            <w:r>
              <w:rPr>
                <w:kern w:val="2"/>
                <w:szCs w:val="24"/>
                <w:shd w:fill="FFFFFF" w:val="clear"/>
              </w:rPr>
              <w:t xml:space="preserve"> </w:t>
            </w:r>
            <w:r>
              <w:rPr>
                <w:color w:val="000000"/>
                <w:kern w:val="2"/>
                <w:szCs w:val="24"/>
                <w:shd w:fill="FFFFFF" w:val="clear"/>
              </w:rPr>
              <w:t>nu</w:t>
            </w:r>
            <w:r>
              <w:rPr>
                <w:color w:val="000000"/>
                <w:kern w:val="2"/>
                <w:szCs w:val="24"/>
              </w:rPr>
              <w:t>rodytais įkainiais, neviršijant jame nurodyto P</w:t>
            </w:r>
            <w:r>
              <w:rPr>
                <w:color w:val="000000"/>
                <w:szCs w:val="24"/>
              </w:rPr>
              <w:t xml:space="preserve">aslaugų </w:t>
            </w:r>
            <w:r>
              <w:rPr>
                <w:color w:val="000000"/>
                <w:kern w:val="2"/>
                <w:szCs w:val="24"/>
              </w:rPr>
              <w:t>maksimalaus kiekio.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pPr>
              <w:pStyle w:val="Normal"/>
              <w:rPr>
                <w:b/>
                <w:kern w:val="2"/>
                <w:szCs w:val="24"/>
              </w:rPr>
            </w:pPr>
            <w:r>
              <w:rPr>
                <w:b/>
                <w:kern w:val="2"/>
                <w:szCs w:val="24"/>
              </w:rPr>
            </w:r>
          </w:p>
          <w:p>
            <w:pPr>
              <w:pStyle w:val="Normal"/>
              <w:rPr>
                <w:kern w:val="2"/>
                <w:szCs w:val="24"/>
              </w:rPr>
            </w:pPr>
            <w:r>
              <w:rPr>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Sutarties kaina / įkainiai bus perskaičiuojami:</w:t>
            </w:r>
          </w:p>
          <w:p>
            <w:pPr>
              <w:pStyle w:val="Normal"/>
              <w:rPr>
                <w:color w:val="FF0000"/>
                <w:kern w:val="2"/>
                <w:szCs w:val="24"/>
              </w:rPr>
            </w:pPr>
            <w:r>
              <w:rPr>
                <w:kern w:val="2"/>
                <w:szCs w:val="24"/>
              </w:rPr>
              <w:t>5.3.1. dėl PVM tarifo pasikeitimo.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pPr>
              <w:pStyle w:val="Normal"/>
              <w:rPr>
                <w:kern w:val="2"/>
                <w:szCs w:val="24"/>
              </w:rPr>
            </w:pPr>
            <w:r>
              <w:rPr>
                <w:kern w:val="2"/>
                <w:szCs w:val="24"/>
              </w:rPr>
            </w:r>
          </w:p>
          <w:p>
            <w:pPr>
              <w:pStyle w:val="Normal"/>
              <w:rPr>
                <w:color w:val="FF0000"/>
                <w:kern w:val="2"/>
                <w:szCs w:val="24"/>
              </w:rPr>
            </w:pPr>
            <w:r>
              <w:rPr>
                <w:kern w:val="2"/>
                <w:szCs w:val="24"/>
              </w:rPr>
              <w:t>Perskaičiavimas įforminamas Susitarimu ne vėliau kaip per 14 (keturiolika) dienų</w:t>
            </w:r>
            <w:r>
              <w:rPr>
                <w:color w:val="4472C4"/>
                <w:kern w:val="2"/>
                <w:szCs w:val="24"/>
              </w:rPr>
              <w:t xml:space="preserve"> </w:t>
            </w:r>
            <w:r>
              <w:rPr>
                <w:kern w:val="2"/>
                <w:szCs w:val="24"/>
              </w:rPr>
              <w:t>nuo PVM mokėjimą reglamentuojančių teisės aktų pasikeitimo, kuris tampa neatskiriama Sutarties dalimi. Perskaičiuotas Sutarties įkainis taikomas už tą P</w:t>
            </w:r>
            <w:r>
              <w:rPr>
                <w:szCs w:val="24"/>
              </w:rPr>
              <w:t>aslaugų</w:t>
            </w:r>
            <w:r>
              <w:rPr>
                <w:kern w:val="2"/>
                <w:szCs w:val="24"/>
              </w:rPr>
              <w:t xml:space="preserve"> dalį, kurios bus teikia</w:t>
            </w:r>
            <w:r>
              <w:rPr/>
              <w:t>mos nuo Susitarime nurodytos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
                <w:kern w:val="2"/>
                <w:szCs w:val="24"/>
              </w:rPr>
              <w:t>5.3.3. Sutarties kainos / įkainių peržiūra dėl kainų lygio pokyčio</w:t>
            </w:r>
          </w:p>
          <w:p>
            <w:pPr>
              <w:pStyle w:val="Normal"/>
              <w:rPr>
                <w:b/>
                <w:kern w:val="2"/>
                <w:szCs w:val="24"/>
              </w:rPr>
            </w:pPr>
            <w:r>
              <w:rPr>
                <w:b/>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pPr>
              <w:pStyle w:val="Normal"/>
              <w:jc w:val="both"/>
              <w:rPr>
                <w:kern w:val="2"/>
                <w:szCs w:val="24"/>
                <w:shd w:fill="FFFFFF" w:val="clear"/>
              </w:rPr>
            </w:pPr>
            <w:r>
              <w:rPr>
                <w:kern w:val="2"/>
                <w:szCs w:val="24"/>
              </w:rPr>
              <w:t xml:space="preserve">5.3.3.2. Sutarties </w:t>
            </w:r>
            <w:r>
              <w:rPr>
                <w:kern w:val="2"/>
                <w:szCs w:val="24"/>
                <w:shd w:fill="FFFFFF" w:val="clear"/>
              </w:rPr>
              <w:t>įkainiai peržiūrimi tik tai Sutarties daliai, kuri nėra išpirkta, t. y. Paslaugoms, kurios nėra priimtos ir apmokėtos. Vėlesnė Sutarties įkainių peržiūra negali apimti laikotarpio, už kurį jau buvo atlikta peržiūra.</w:t>
            </w:r>
          </w:p>
          <w:p>
            <w:pPr>
              <w:pStyle w:val="Normal"/>
              <w:jc w:val="both"/>
              <w:rPr>
                <w:kern w:val="2"/>
                <w:szCs w:val="24"/>
                <w:shd w:fill="FFFFFF" w:val="clear"/>
              </w:rPr>
            </w:pPr>
            <w:r>
              <w:rPr>
                <w:kern w:val="2"/>
                <w:szCs w:val="24"/>
              </w:rPr>
              <w:t xml:space="preserve">5.3.3.3. </w:t>
            </w:r>
            <w:r>
              <w:rPr>
                <w:kern w:val="2"/>
                <w:szCs w:val="24"/>
                <w:shd w:fill="FFFFFF" w:val="clear"/>
              </w:rPr>
              <w:t>Jeigu P</w:t>
            </w:r>
            <w:r>
              <w:rPr>
                <w:szCs w:val="24"/>
              </w:rPr>
              <w:t>aslaugų teikimas</w:t>
            </w:r>
            <w:r>
              <w:rPr>
                <w:kern w:val="2"/>
                <w:szCs w:val="24"/>
                <w:shd w:fill="FFFFFF" w:val="clear"/>
              </w:rPr>
              <w:t xml:space="preserve"> vėluoja dėl Tiekėjo kaltės, uždelstų suteikti P</w:t>
            </w:r>
            <w:r>
              <w:rPr>
                <w:szCs w:val="24"/>
              </w:rPr>
              <w:t>aslaugų</w:t>
            </w:r>
            <w:r>
              <w:rPr>
                <w:kern w:val="2"/>
                <w:szCs w:val="24"/>
                <w:shd w:fill="FFFFFF" w:val="clear"/>
              </w:rPr>
              <w:t xml:space="preserve"> įkainiai nėra perskaičiuojami dėl kainų lygio kilimo (gali būti mažinami, tačiau negali būti didinami).</w:t>
            </w:r>
          </w:p>
          <w:p>
            <w:pPr>
              <w:pStyle w:val="Normal"/>
              <w:jc w:val="both"/>
              <w:rPr>
                <w:kern w:val="2"/>
                <w:szCs w:val="24"/>
                <w:shd w:fill="FFFFFF" w:val="clear"/>
              </w:rPr>
            </w:pPr>
            <w:r>
              <w:rPr>
                <w:kern w:val="2"/>
                <w:szCs w:val="24"/>
              </w:rPr>
              <w:t xml:space="preserve">5.3.3.4. Atlikdamos Sutarties įkainių peržiūrą </w:t>
            </w:r>
            <w:r>
              <w:rPr>
                <w:kern w:val="2"/>
                <w:szCs w:val="24"/>
                <w:shd w:fill="FFFFFF" w:val="clear"/>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pPr>
              <w:pStyle w:val="Normal"/>
              <w:jc w:val="both"/>
              <w:rPr>
                <w:kern w:val="2"/>
                <w:szCs w:val="24"/>
                <w:shd w:fill="FFFFFF" w:val="clear"/>
              </w:rPr>
            </w:pPr>
            <w:r>
              <w:rPr>
                <w:kern w:val="2"/>
                <w:szCs w:val="24"/>
                <w:shd w:fill="FFFFFF" w:val="clear"/>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pPr>
              <w:pStyle w:val="Normal"/>
              <w:jc w:val="both"/>
              <w:rPr>
                <w:szCs w:val="24"/>
              </w:rPr>
            </w:pPr>
            <w:r>
              <w:rPr>
                <w:kern w:val="2"/>
                <w:szCs w:val="24"/>
                <w:shd w:fill="FFFFFF" w:val="clear"/>
              </w:rPr>
              <w:t>5.3.3.6. Nauja Sutarties įkainiai apskaičiuojami pagal žemiau pateiktą formulę:</w:t>
            </w:r>
          </w:p>
          <w:p>
            <w:pPr>
              <w:pStyle w:val="Normal"/>
              <w:jc w:val="both"/>
              <w:textAlignment w:val="baseline"/>
              <w:rPr>
                <w:kern w:val="2"/>
                <w:szCs w:val="24"/>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kern w:val="2"/>
                <w:szCs w:val="24"/>
              </w:rPr>
              <w:t>, kur a –įkainis (Eur be PVM) (jei peržiūra jau buvo atlikta, tai po paskutinio perskaičiavimo)</w:t>
            </w:r>
          </w:p>
          <w:p>
            <w:pPr>
              <w:pStyle w:val="Normal"/>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pPr>
              <w:pStyle w:val="Normal"/>
              <w:jc w:val="both"/>
              <w:textAlignment w:val="baseline"/>
              <w:rPr>
                <w:szCs w:val="24"/>
              </w:rPr>
            </w:pPr>
            <w:r>
              <w:rPr>
                <w:kern w:val="2"/>
                <w:szCs w:val="24"/>
              </w:rPr>
              <w:t>k – pagal vartotojų kainų indeksą ( „Vartojimo prekių ir paslaugų“ indeksas) apskaičiuotas Vartojimo prekių ir paslaugų kainų pokytis (padidėjimas arba sumažėjimas) (%). „k“ reikšmė skaičiuojama pagal formulę:</w:t>
            </w:r>
          </w:p>
          <w:p>
            <w:pPr>
              <w:pStyle w:val="Normal"/>
              <w:jc w:val="both"/>
              <w:textAlignment w:val="baseline"/>
              <w:rPr>
                <w:kern w:val="2"/>
                <w:szCs w:val="24"/>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kern w:val="2"/>
                <w:szCs w:val="24"/>
              </w:rPr>
              <w:t>, (proc.) kur</w:t>
            </w:r>
          </w:p>
          <w:p>
            <w:pPr>
              <w:pStyle w:val="Normal"/>
              <w:jc w:val="both"/>
              <w:textAlignment w:val="baseline"/>
              <w:rPr>
                <w:szCs w:val="24"/>
              </w:rPr>
            </w:pPr>
            <w:r>
              <w:rPr>
                <w:kern w:val="2"/>
                <w:szCs w:val="24"/>
              </w:rPr>
              <w:t>Ind</w:t>
            </w:r>
            <w:r>
              <w:rPr>
                <w:kern w:val="2"/>
                <w:szCs w:val="24"/>
                <w:vertAlign w:val="subscript"/>
              </w:rPr>
              <w:t>naujausias</w:t>
            </w:r>
            <w:r>
              <w:rPr>
                <w:kern w:val="2"/>
                <w:szCs w:val="24"/>
              </w:rPr>
              <w:t xml:space="preserve"> – kreipimosi dėl įkainių peržiūros išsiuntimo kitai Šaliai dieną paskelbtas naujausias vartojimo prekių ir paslaugų indeksas.</w:t>
            </w:r>
          </w:p>
          <w:p>
            <w:pPr>
              <w:pStyle w:val="Normal"/>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p>
          <w:p>
            <w:pPr>
              <w:pStyle w:val="Normal"/>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jc w:val="both"/>
              <w:rPr>
                <w:kern w:val="2"/>
                <w:szCs w:val="24"/>
                <w:shd w:fill="FFFFFF" w:val="clear"/>
              </w:rPr>
            </w:pPr>
            <w:r>
              <w:rPr>
                <w:kern w:val="2"/>
                <w:szCs w:val="24"/>
              </w:rPr>
              <w:t xml:space="preserve">5.3.3.7. </w:t>
            </w:r>
            <w:r>
              <w:rPr>
                <w:kern w:val="2"/>
                <w:szCs w:val="24"/>
                <w:shd w:fill="FFFFFF" w:val="clear"/>
              </w:rPr>
              <w:t xml:space="preserve">Skaičiavimams indeksų reikšmės imamos </w:t>
            </w:r>
            <w:r>
              <w:rPr>
                <w:b/>
                <w:kern w:val="2"/>
                <w:szCs w:val="24"/>
                <w:shd w:fill="FFFFFF" w:val="clear"/>
              </w:rPr>
              <w:t>keturių</w:t>
            </w:r>
            <w:r>
              <w:rPr>
                <w:kern w:val="2"/>
                <w:szCs w:val="24"/>
                <w:shd w:fill="FFFFFF" w:val="clear"/>
              </w:rPr>
              <w:t xml:space="preserve"> skaitmenų po kablelio tikslumu. Apskaičiuotas pokytis (k) tolimesniems skaičiavimams naudojamas suapvalinus iki </w:t>
            </w:r>
            <w:r>
              <w:rPr>
                <w:b/>
                <w:kern w:val="2"/>
                <w:szCs w:val="24"/>
                <w:shd w:fill="FFFFFF" w:val="clear"/>
              </w:rPr>
              <w:t>vieno</w:t>
            </w:r>
            <w:r>
              <w:rPr>
                <w:kern w:val="2"/>
                <w:szCs w:val="24"/>
                <w:shd w:fill="FFFFFF" w:val="clear"/>
              </w:rPr>
              <w:t xml:space="preserve"> (Valstybės duomenų agentūra pokyčius skelbia apvalindama iki vieno skaitmens po kablelio) skaitmens po kablelio, o apskaičiuotas įkainis „a</w:t>
            </w:r>
            <w:r>
              <w:rPr>
                <w:kern w:val="2"/>
                <w:szCs w:val="24"/>
                <w:shd w:fill="FFFFFF" w:val="clear"/>
                <w:vertAlign w:val="subscript"/>
              </w:rPr>
              <w:t>1</w:t>
            </w:r>
            <w:r>
              <w:rPr>
                <w:kern w:val="2"/>
                <w:szCs w:val="24"/>
                <w:shd w:fill="FFFFFF" w:val="clear"/>
              </w:rPr>
              <w:t xml:space="preserve">“ suapvalinamas iki </w:t>
            </w:r>
            <w:r>
              <w:rPr>
                <w:b/>
                <w:kern w:val="2"/>
                <w:szCs w:val="24"/>
                <w:shd w:fill="FFFFFF" w:val="clear"/>
              </w:rPr>
              <w:t xml:space="preserve">dviejų </w:t>
            </w:r>
            <w:r>
              <w:rPr>
                <w:kern w:val="2"/>
                <w:szCs w:val="24"/>
                <w:shd w:fill="FFFFFF" w:val="clear"/>
              </w:rPr>
              <w:t>skaitmenų po kablelio.</w:t>
            </w:r>
          </w:p>
          <w:p>
            <w:pPr>
              <w:pStyle w:val="Normal"/>
              <w:jc w:val="both"/>
              <w:rPr>
                <w:kern w:val="2"/>
                <w:szCs w:val="24"/>
                <w:shd w:fill="FFFFFF" w:val="clear"/>
              </w:rPr>
            </w:pPr>
            <w:r>
              <w:rPr>
                <w:kern w:val="2"/>
                <w:szCs w:val="24"/>
                <w:shd w:fill="FFFFFF" w:val="clear"/>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fill="FFFFFF" w:val="clear"/>
              </w:rPr>
              <w:t>, kita svarbi informacija. Prašyme Šalis neturi teisės nurodyti kito indekso ar prašyti perskaičiavimo pagal kitą indeksą nei nurodytas šioje procedūroje.</w:t>
            </w:r>
          </w:p>
          <w:p>
            <w:pPr>
              <w:pStyle w:val="Normal"/>
              <w:jc w:val="both"/>
              <w:rPr>
                <w:kern w:val="2"/>
                <w:szCs w:val="24"/>
                <w:shd w:fill="FFFFFF" w:val="clear"/>
              </w:rPr>
            </w:pPr>
            <w:r>
              <w:rPr>
                <w:kern w:val="2"/>
                <w:szCs w:val="24"/>
                <w:shd w:fill="FFFFFF" w:val="clear"/>
              </w:rPr>
              <w:t>5</w:t>
            </w:r>
            <w:r>
              <w:rPr>
                <w:kern w:val="2"/>
                <w:szCs w:val="24"/>
              </w:rPr>
              <w:t xml:space="preserve">.3.3.9. </w:t>
            </w:r>
            <w:r>
              <w:rPr>
                <w:kern w:val="2"/>
                <w:szCs w:val="24"/>
                <w:shd w:fill="FFFFFF" w:val="clear"/>
              </w:rPr>
              <w:t>Susitarimas turi būti sudarytas per 10 (dešimt) dienų nuo Šalies pateikto tinkamo prašymo perskaičiuoti S</w:t>
            </w:r>
            <w:r>
              <w:rPr>
                <w:kern w:val="2"/>
                <w:szCs w:val="24"/>
              </w:rPr>
              <w:t xml:space="preserve">utarties </w:t>
            </w:r>
            <w:r>
              <w:rPr>
                <w:kern w:val="2"/>
                <w:szCs w:val="24"/>
                <w:shd w:fill="FFFFFF" w:val="clear"/>
              </w:rPr>
              <w:t>įkainius gavimo dienos.</w:t>
            </w:r>
          </w:p>
          <w:p>
            <w:pPr>
              <w:pStyle w:val="Normal"/>
              <w:rPr>
                <w:color w:val="4472C4"/>
                <w:kern w:val="2"/>
                <w:szCs w:val="24"/>
              </w:rPr>
            </w:pPr>
            <w:r>
              <w:rPr>
                <w:color w:val="000000"/>
                <w:kern w:val="2"/>
                <w:szCs w:val="24"/>
                <w:shd w:fill="FFFFFF" w:val="clear"/>
              </w:rPr>
              <w:t>5.3.3.10. Susitarimu Šalys neturi teisės keisti procedūroje nurodytos tvarkos ar kitų Sutarties nuostatų, išskyrus, jei keitimas atliekamas pagal VPĮ nuostatas.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szCs w:val="24"/>
              </w:rPr>
            </w:pPr>
            <w:r>
              <w:rPr>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szCs w:val="24"/>
              </w:rPr>
            </w:pPr>
            <w:r>
              <w:rPr>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shd w:fill="FFFFFF" w:val="clear"/>
              </w:rPr>
            </w:pPr>
            <w:r>
              <w:rPr/>
              <w:t>Už tinkamai suteiktas paslaugas sumokama Tiekėjui įgyvendinus visas Konsultacijas ir gavus iš Tiekėjo sąskaitą - faktūrą ne vėliau kaip per 30 (trisdešimt) kalendorinių dienų nuo paslaugų perdavimo – priėmimo akto pasirašymo ir (ar) sąskaitos faktūros gavimo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szCs w:val="24"/>
              </w:rPr>
            </w:pPr>
            <w:r>
              <w:rPr>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color w:val="FF0000"/>
                <w:kern w:val="2"/>
                <w:szCs w:val="24"/>
              </w:rPr>
            </w:pPr>
            <w:r>
              <w:rPr>
                <w:color w:val="FF0000"/>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6.3. Kokybinių kriterijų įgyvendinimo ir tikrinimo tvarka</w:t>
            </w:r>
          </w:p>
          <w:p>
            <w:pPr>
              <w:pStyle w:val="Normal"/>
              <w:rPr>
                <w:b/>
                <w:szCs w:val="24"/>
              </w:rPr>
            </w:pPr>
            <w:r>
              <w:rPr>
                <w:b/>
                <w:szCs w:val="24"/>
              </w:rPr>
            </w:r>
          </w:p>
          <w:p>
            <w:pPr>
              <w:pStyle w:val="Normal"/>
              <w:rPr>
                <w:b/>
                <w:szCs w:val="24"/>
              </w:rPr>
            </w:pPr>
            <w:r>
              <w:rPr>
                <w:b/>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themeColor="text1" w:val="000000"/>
                <w:szCs w:val="24"/>
                <w:lang w:eastAsia="en-GB"/>
              </w:rPr>
            </w:pPr>
            <w:r>
              <w:rPr>
                <w:color w:themeColor="text1" w:val="000000"/>
                <w:szCs w:val="24"/>
                <w:lang w:eastAsia="en-GB"/>
              </w:rPr>
              <w:t>Tiekėjas turi paskirti asmenį, atsakingą už Konsultacijų įgyvendinimą, į kurį Perkančiosios organizacijos atstovas galėtų kreiptis dėl teikiamų paslaugų kokybės, atsiskaitymų ir kitais Paslaug</w:t>
            </w:r>
            <w:r>
              <w:rPr>
                <w:color w:themeColor="text1" w:val="000000"/>
                <w:szCs w:val="24"/>
                <w:lang w:eastAsia="en-GB"/>
              </w:rPr>
              <w:t>ų</w:t>
            </w:r>
            <w:r>
              <w:rPr>
                <w:color w:themeColor="text1" w:val="000000"/>
                <w:szCs w:val="24"/>
                <w:lang w:eastAsia="en-GB"/>
              </w:rPr>
              <w:t xml:space="preserve"> teikimo klausimais.</w:t>
            </w:r>
          </w:p>
          <w:p>
            <w:pPr>
              <w:pStyle w:val="Normal"/>
              <w:jc w:val="both"/>
              <w:rPr>
                <w:color w:themeColor="text1" w:val="000000"/>
                <w:szCs w:val="24"/>
                <w:lang w:eastAsia="en-GB"/>
              </w:rPr>
            </w:pPr>
            <w:r>
              <w:rPr>
                <w:color w:themeColor="text1" w:val="000000"/>
                <w:szCs w:val="24"/>
                <w:lang w:eastAsia="en-GB"/>
              </w:rPr>
              <w:t>Tiekėjas turi paskirti asmenį (gali būti tas pats asmuo, kuris atsakingas už Konsultacijų įgyvendinimą), Konsultacijų moderatorių, kuris dalyvautų visose Konsultacijose ir būtų atsakingas už Konsultacijos turinio kokybės atitikimą reikalavim</w:t>
            </w:r>
            <w:r>
              <w:rPr>
                <w:color w:themeColor="text1" w:val="000000"/>
                <w:szCs w:val="24"/>
                <w:lang w:eastAsia="en-GB"/>
              </w:rPr>
              <w:t>a</w:t>
            </w:r>
            <w:r>
              <w:rPr>
                <w:color w:themeColor="text1" w:val="000000"/>
                <w:szCs w:val="24"/>
                <w:lang w:eastAsia="en-GB"/>
              </w:rPr>
              <w:t>ms, tikslingą Konsultacijos laiko paskirstymą, Konsultacijos trukmę, Konsultacijos struktūros laikymąsi ir teiktų pagalbą konsultacijų dalyviams bei lektoriui konsultacijos vykdymo klausimais.</w:t>
            </w:r>
          </w:p>
          <w:p>
            <w:pPr>
              <w:pStyle w:val="NormalWeb"/>
              <w:tabs>
                <w:tab w:val="clear" w:pos="1296"/>
                <w:tab w:val="left" w:pos="993" w:leader="none"/>
              </w:tabs>
              <w:spacing w:beforeAutospacing="0" w:before="0" w:afterAutospacing="0" w:after="0"/>
              <w:ind w:hanging="0"/>
              <w:rPr>
                <w:color w:themeColor="text1" w:val="000000"/>
              </w:rPr>
            </w:pPr>
            <w:r>
              <w:rPr>
                <w:color w:themeColor="text1" w:val="000000"/>
              </w:rPr>
              <w:t>Paslaugų Tiekėjas, teikdamas paslaugas,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pPr>
              <w:pStyle w:val="Other1"/>
              <w:tabs>
                <w:tab w:val="clear" w:pos="1296"/>
                <w:tab w:val="left" w:pos="1829" w:leader="none"/>
                <w:tab w:val="left" w:pos="3130" w:leader="none"/>
                <w:tab w:val="left" w:pos="4205" w:leader="none"/>
              </w:tabs>
              <w:spacing w:lineRule="auto" w:line="240"/>
              <w:jc w:val="both"/>
              <w:rPr>
                <w:rFonts w:ascii="Times New Roman" w:hAnsi="Times New Roman" w:eastAsia="Times New Roman" w:cs="Times New Roman"/>
                <w:i w:val="false"/>
                <w:i w:val="false"/>
                <w:iCs w:val="false"/>
                <w:color w:themeColor="text1" w:val="000000"/>
                <w:kern w:val="0"/>
                <w:sz w:val="24"/>
                <w:szCs w:val="24"/>
                <w:lang w:val="lt-LT" w:eastAsia="en-GB" w:bidi="ar-SA"/>
              </w:rPr>
            </w:pPr>
            <w:r>
              <w:rPr>
                <w:rFonts w:eastAsia="Times New Roman" w:cs="Times New Roman" w:ascii="Times New Roman" w:hAnsi="Times New Roman"/>
                <w:i w:val="false"/>
                <w:iCs w:val="false"/>
                <w:color w:themeColor="text1" w:val="000000"/>
                <w:kern w:val="0"/>
                <w:sz w:val="24"/>
                <w:szCs w:val="24"/>
                <w:lang w:val="lt-LT" w:eastAsia="en-GB" w:bidi="ar-SA"/>
              </w:rPr>
              <w:t>Sutarties vykdymo metu Pirkėjas, esant poreikiui, turi teisę paprašyti Tiekėjo pateikti atitiktį žaliojo pirkimo reikalavimams įrodančius dokumentus.</w:t>
            </w:r>
          </w:p>
          <w:p>
            <w:pPr>
              <w:pStyle w:val="Other1"/>
              <w:tabs>
                <w:tab w:val="clear" w:pos="1296"/>
                <w:tab w:val="left" w:pos="1829" w:leader="none"/>
                <w:tab w:val="left" w:pos="3130" w:leader="none"/>
                <w:tab w:val="left" w:pos="4205" w:leader="none"/>
              </w:tabs>
              <w:spacing w:lineRule="auto" w:line="240"/>
              <w:jc w:val="both"/>
              <w:rPr>
                <w:rFonts w:ascii="Times New Roman" w:hAnsi="Times New Roman" w:eastAsia="Times New Roman" w:cs="Times New Roman"/>
                <w:i w:val="false"/>
                <w:i w:val="false"/>
                <w:iCs w:val="false"/>
                <w:color w:themeColor="text1" w:val="000000"/>
                <w:kern w:val="0"/>
                <w:sz w:val="24"/>
                <w:szCs w:val="24"/>
                <w:lang w:val="lt-LT" w:eastAsia="en-GB" w:bidi="ar-SA"/>
              </w:rPr>
            </w:pPr>
            <w:r>
              <w:rPr>
                <w:rFonts w:eastAsia="Times New Roman" w:cs="Times New Roman" w:ascii="Times New Roman" w:hAnsi="Times New Roman"/>
                <w:i w:val="false"/>
                <w:iCs w:val="false"/>
                <w:color w:themeColor="text1" w:val="000000"/>
                <w:kern w:val="0"/>
                <w:sz w:val="24"/>
                <w:szCs w:val="24"/>
                <w:lang w:val="lt-LT" w:eastAsia="en-GB" w:bidi="ar-SA"/>
              </w:rPr>
              <w:t>Specialistų papildoma patirtis ir kriterijai yra nurodyti Pirkimo dokumentuose ir Tiekėjo pasiūlyme. Vertinami tik tie specialistai, kurie buvo nurodyti pasiūlyme grindžiant Tiekėjo atitiktį minimaliems kvalifikacijos reikalavimams ir kurie tiesiogiai teiks paslaugas Perkančiajai organizacijai.</w:t>
            </w:r>
          </w:p>
          <w:p>
            <w:pPr>
              <w:pStyle w:val="Other1"/>
              <w:tabs>
                <w:tab w:val="clear" w:pos="1296"/>
                <w:tab w:val="left" w:pos="1829" w:leader="none"/>
                <w:tab w:val="left" w:pos="3130" w:leader="none"/>
                <w:tab w:val="left" w:pos="4205" w:leader="none"/>
              </w:tabs>
              <w:spacing w:lineRule="auto" w:line="240"/>
              <w:jc w:val="both"/>
              <w:rPr>
                <w:rFonts w:ascii="Times New Roman" w:hAnsi="Times New Roman" w:eastAsia="Times New Roman" w:cs="Times New Roman"/>
                <w:i w:val="false"/>
                <w:i w:val="false"/>
                <w:iCs w:val="false"/>
                <w:color w:themeColor="text1" w:val="000000"/>
                <w:kern w:val="0"/>
                <w:sz w:val="24"/>
                <w:szCs w:val="24"/>
                <w:lang w:val="lt-LT" w:eastAsia="en-GB" w:bidi="ar-SA"/>
              </w:rPr>
            </w:pPr>
            <w:r>
              <w:rPr>
                <w:rFonts w:eastAsia="Times New Roman" w:cs="Times New Roman" w:ascii="Times New Roman" w:hAnsi="Times New Roman"/>
                <w:i w:val="false"/>
                <w:iCs w:val="false"/>
                <w:color w:themeColor="text1" w:val="000000"/>
                <w:kern w:val="0"/>
                <w:sz w:val="24"/>
                <w:szCs w:val="24"/>
                <w:lang w:val="lt-LT" w:eastAsia="en-GB" w:bidi="ar-SA"/>
              </w:rPr>
              <w:t>Ekonominio naudingumo balai suteikiami tik už papildomą siūlomo specialisto darbinę (profesinę) patirtį, kuri nėra naudojama pagrįsti minimalius kvalifikacijos reikalavimus.</w:t>
            </w:r>
            <w:r>
              <w:rPr>
                <w:color w:themeColor="text1" w:val="000000"/>
                <w:szCs w:val="24"/>
                <w:lang w:val="lt-LT" w:eastAsia="lt-LT"/>
              </w:rPr>
              <w:t xml:space="preserve"> </w:t>
            </w:r>
            <w:r>
              <w:rPr>
                <w:rFonts w:eastAsia="Times New Roman" w:cs="Times New Roman" w:ascii="Times New Roman" w:hAnsi="Times New Roman"/>
                <w:i w:val="false"/>
                <w:iCs w:val="false"/>
                <w:color w:themeColor="text1" w:val="000000"/>
                <w:kern w:val="0"/>
                <w:sz w:val="24"/>
                <w:szCs w:val="24"/>
                <w:lang w:val="lt-LT" w:eastAsia="en-GB" w:bidi="ar-SA"/>
              </w:rPr>
              <w:t>Papildoma patirtis vertinama tik ta, kuri įgyta</w:t>
            </w:r>
            <w:r>
              <w:rPr>
                <w:color w:themeColor="text1" w:val="000000"/>
                <w:szCs w:val="24"/>
                <w:lang w:val="lt-LT" w:eastAsia="lt-LT"/>
              </w:rPr>
              <w:t xml:space="preserve"> </w:t>
            </w:r>
            <w:r>
              <w:rPr>
                <w:rFonts w:eastAsia="Times New Roman" w:cs="Times New Roman" w:ascii="Times New Roman" w:hAnsi="Times New Roman"/>
                <w:i w:val="false"/>
                <w:iCs w:val="false"/>
                <w:color w:themeColor="text1" w:val="000000"/>
                <w:kern w:val="0"/>
                <w:sz w:val="24"/>
                <w:szCs w:val="24"/>
                <w:lang w:val="lt-LT" w:eastAsia="en-GB" w:bidi="ar-SA"/>
              </w:rPr>
              <w:t xml:space="preserve">per pastaruosius 36 (trisdešimt šešis) mėnesius iki pasiūlymo pateikimo dienos </w:t>
            </w:r>
            <w:r>
              <w:rPr>
                <w:rFonts w:eastAsia="Times New Roman" w:cs="Times New Roman" w:ascii="Times New Roman" w:hAnsi="Times New Roman"/>
                <w:i w:val="false"/>
                <w:iCs w:val="false"/>
                <w:color w:themeColor="text1" w:val="000000"/>
                <w:kern w:val="0"/>
                <w:sz w:val="24"/>
                <w:szCs w:val="24"/>
                <w:lang w:val="lt-LT" w:eastAsia="en-GB" w:bidi="ar-SA"/>
              </w:rPr>
              <w:t>i</w:t>
            </w:r>
            <w:r>
              <w:rPr>
                <w:rFonts w:eastAsia="Times New Roman" w:cs="Times New Roman" w:ascii="Times New Roman" w:hAnsi="Times New Roman"/>
                <w:i w:val="false"/>
                <w:iCs w:val="false"/>
                <w:color w:themeColor="text1" w:val="000000"/>
                <w:kern w:val="0"/>
                <w:sz w:val="24"/>
                <w:szCs w:val="24"/>
                <w:lang w:val="lt-LT" w:eastAsia="en-GB" w:bidi="ar-SA"/>
              </w:rPr>
              <w:t xml:space="preserve">r </w:t>
            </w:r>
            <w:r>
              <w:rPr>
                <w:rFonts w:eastAsia="Times New Roman" w:cs="Times New Roman" w:ascii="Times New Roman" w:hAnsi="Times New Roman"/>
                <w:i w:val="false"/>
                <w:iCs w:val="false"/>
                <w:color w:themeColor="text1" w:val="000000"/>
                <w:kern w:val="0"/>
                <w:sz w:val="24"/>
                <w:szCs w:val="24"/>
                <w:lang w:val="lt-LT" w:eastAsia="en-GB" w:bidi="ar-SA"/>
              </w:rPr>
              <w:t>specialistas turi 7 (septynių) akad. val. ir daugi</w:t>
            </w:r>
            <w:r>
              <w:rPr>
                <w:rFonts w:eastAsia="Times New Roman" w:cs="Times New Roman" w:ascii="Times New Roman" w:hAnsi="Times New Roman"/>
                <w:i w:val="false"/>
                <w:iCs w:val="false"/>
                <w:color w:themeColor="text1" w:val="000000"/>
                <w:kern w:val="0"/>
                <w:sz w:val="24"/>
                <w:szCs w:val="24"/>
                <w:lang w:val="lt-LT" w:eastAsia="en-GB" w:bidi="ar-SA"/>
              </w:rPr>
              <w:t>a</w:t>
            </w:r>
            <w:r>
              <w:rPr>
                <w:rFonts w:eastAsia="Times New Roman" w:cs="Times New Roman" w:ascii="Times New Roman" w:hAnsi="Times New Roman"/>
                <w:i w:val="false"/>
                <w:iCs w:val="false"/>
                <w:color w:themeColor="text1" w:val="000000"/>
                <w:kern w:val="0"/>
                <w:sz w:val="24"/>
                <w:szCs w:val="24"/>
                <w:lang w:val="lt-LT" w:eastAsia="en-GB" w:bidi="ar-SA"/>
              </w:rPr>
              <w:t>u trukmės konsultavimo ir / arba mokymo paslaugų, kurių objektas – darbo teisės taikymas švietimo įstaigose.</w:t>
            </w:r>
          </w:p>
          <w:p>
            <w:pPr>
              <w:pStyle w:val="Other1"/>
              <w:tabs>
                <w:tab w:val="clear" w:pos="1296"/>
                <w:tab w:val="left" w:pos="1829" w:leader="none"/>
                <w:tab w:val="left" w:pos="3130" w:leader="none"/>
                <w:tab w:val="left" w:pos="4205" w:leader="none"/>
              </w:tabs>
              <w:spacing w:lineRule="auto" w:line="240"/>
              <w:jc w:val="both"/>
              <w:rPr>
                <w:rFonts w:ascii="Times New Roman" w:hAnsi="Times New Roman" w:eastAsia="Times New Roman" w:cs="Times New Roman"/>
                <w:i w:val="false"/>
                <w:i w:val="false"/>
                <w:iCs w:val="false"/>
                <w:color w:themeColor="text1" w:val="000000"/>
                <w:kern w:val="0"/>
                <w:sz w:val="24"/>
                <w:szCs w:val="24"/>
                <w:lang w:val="lt-LT" w:eastAsia="en-GB" w:bidi="ar-SA"/>
              </w:rPr>
            </w:pPr>
            <w:r>
              <w:rPr>
                <w:rFonts w:eastAsia="Times New Roman" w:cs="Times New Roman" w:ascii="Times New Roman" w:hAnsi="Times New Roman"/>
                <w:i w:val="false"/>
                <w:iCs w:val="false"/>
                <w:color w:themeColor="text1" w:val="000000"/>
                <w:kern w:val="0"/>
                <w:sz w:val="24"/>
                <w:szCs w:val="24"/>
                <w:lang w:val="lt-LT" w:eastAsia="en-GB" w:bidi="ar-SA"/>
              </w:rPr>
              <w:t>Specialistų patirtis skaičiuojama tik ta, kuri įgyta per pastaruosius 36 mėnesius iki tiekėjų pasiūlymų pateikimo termino pabaigos. Tinkama laikoma nuotolinių arba kontaktinių struktūruotų žinių perdavimo veiklų (konsultacijos, mokymai, seminarai, vebinarai, atvejų analizės, mentorystė ir pan.), skirtų tobulinti darbo teisės taikymo švietimo įstaigose kompetencijas, bendra trukmė. Patirtis gali būti sukaupta per kelis atskirus renginius ar konsultacijas, kurių trukmės suma apvalinama iki pilnų akademinių valandų. Pavyzdžiui, suteikus 5 akad. val. 20 min., vertinama 5 akad. val., suteikus 6 akad. val. 40 min. – 6 akad. val.</w:t>
            </w:r>
          </w:p>
          <w:p>
            <w:pPr>
              <w:pStyle w:val="Normal"/>
              <w:tabs>
                <w:tab w:val="clear" w:pos="1296"/>
                <w:tab w:val="left" w:pos="720" w:leader="none"/>
              </w:tabs>
              <w:jc w:val="both"/>
              <w:rPr>
                <w:color w:themeColor="text1" w:val="000000"/>
                <w:kern w:val="2"/>
                <w:szCs w:val="24"/>
                <w:lang w:eastAsia="lt-LT"/>
              </w:rPr>
            </w:pPr>
            <w:r>
              <w:rPr>
                <w:color w:themeColor="text1" w:val="000000"/>
                <w:kern w:val="2"/>
                <w:szCs w:val="24"/>
                <w:lang w:eastAsia="lt-LT"/>
              </w:rPr>
              <w:t>Jeigu Pirkimo metu pasiūlyme nurodyti keli specialistai, Tiekėjas turi aiškiai identifikuoti, kurio specialisto patirtis bus vertinama. Papildoma patirtis skaičiuojama akademinėmis valandomis, apvalinant iki pilnos valandos.</w:t>
            </w:r>
          </w:p>
          <w:p>
            <w:pPr>
              <w:pStyle w:val="Normal"/>
              <w:tabs>
                <w:tab w:val="clear" w:pos="1296"/>
                <w:tab w:val="left" w:pos="720" w:leader="none"/>
              </w:tabs>
              <w:jc w:val="both"/>
              <w:rPr>
                <w:color w:themeColor="text1" w:val="000000"/>
                <w:kern w:val="2"/>
                <w:szCs w:val="24"/>
                <w:lang w:eastAsia="lt-LT"/>
              </w:rPr>
            </w:pPr>
            <w:r>
              <w:rPr>
                <w:color w:themeColor="text1" w:val="000000"/>
                <w:kern w:val="2"/>
                <w:szCs w:val="24"/>
                <w:lang w:eastAsia="lt-LT"/>
              </w:rPr>
              <w:t>Pirkėjas turi teisę visu Sutarties vykdymo metu tikrinti, kaip Tiekėjas vykdo įsipareigojimus, kurie pasiūlymų vertinimo metu Pirkimo dokumentuose buvo nustatyti kaip pasiūlymų vertinimo kriterijai ir už kuriuos Tiekėjui buvo skiriami ekonominio naudingumo balai (kokybės kriterijai), įskaitant, bet neapsiribojant, prašyti pateikti kokybės reikalavimų laikymąsi patvirtinančius dokumentus ir kt.</w:t>
            </w:r>
          </w:p>
          <w:p>
            <w:pPr>
              <w:pStyle w:val="Normal"/>
              <w:tabs>
                <w:tab w:val="clear" w:pos="1296"/>
                <w:tab w:val="left" w:pos="720" w:leader="none"/>
              </w:tabs>
              <w:jc w:val="both"/>
              <w:rPr>
                <w:color w:themeColor="text1" w:val="000000"/>
                <w:kern w:val="2"/>
                <w:szCs w:val="24"/>
                <w:lang w:eastAsia="lt-LT"/>
              </w:rPr>
            </w:pPr>
            <w:r>
              <w:rPr>
                <w:color w:themeColor="text1" w:val="000000"/>
                <w:kern w:val="2"/>
                <w:szCs w:val="24"/>
                <w:lang w:eastAsia="lt-LT"/>
              </w:rPr>
              <w:t>Tiekėjui, nevykdančiam Pirkimo dokumentuose ir šiose Specialiosiose sąlygose numatytų kokybės kriterijų ar jų nepasiekus, gali būti taikoma Specialiųjų sąlygų 9.4 ir 9.7 punktuose nurodyto dydžio bauda / netesybos ir nustatomas 10 (dešimties)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 punktą.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Sutarties vykdymui subtiekėjai ir (ar) specialistai nepasitelkiami.</w:t>
            </w:r>
          </w:p>
          <w:p>
            <w:pPr>
              <w:pStyle w:val="Normal"/>
              <w:rPr>
                <w:kern w:val="2"/>
                <w:szCs w:val="24"/>
              </w:rPr>
            </w:pPr>
            <w:r>
              <w:rPr>
                <w:kern w:val="2"/>
                <w:szCs w:val="24"/>
              </w:rPr>
            </w:r>
          </w:p>
          <w:p>
            <w:pPr>
              <w:pStyle w:val="Normal"/>
              <w:rPr>
                <w:color w:val="FF0000"/>
                <w:kern w:val="2"/>
                <w:szCs w:val="24"/>
              </w:rPr>
            </w:pPr>
            <w:r>
              <w:rPr>
                <w:color w:val="FF0000"/>
                <w:kern w:val="2"/>
                <w:szCs w:val="24"/>
              </w:rPr>
              <w:t>arba</w:t>
            </w:r>
          </w:p>
          <w:p>
            <w:pPr>
              <w:pStyle w:val="Normal"/>
              <w:rPr>
                <w:kern w:val="2"/>
                <w:szCs w:val="24"/>
              </w:rPr>
            </w:pPr>
            <w:r>
              <w:rPr>
                <w:kern w:val="2"/>
                <w:szCs w:val="24"/>
              </w:rPr>
            </w:r>
          </w:p>
          <w:p>
            <w:pPr>
              <w:pStyle w:val="Normal"/>
              <w:rPr>
                <w:b/>
                <w:kern w:val="2"/>
                <w:szCs w:val="24"/>
              </w:rPr>
            </w:pPr>
            <w:r>
              <w:rPr>
                <w:kern w:val="2"/>
                <w:szCs w:val="24"/>
              </w:rPr>
              <w:t>Sutarties vykdymui pasitelkiami subtiekėjai ir (ar) specialistai yra nurodyti Sutarties priede Nr. 2 „Sutarties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Prievolių pagal Sutartį įvykdymas užtikrinamas:</w:t>
            </w:r>
          </w:p>
          <w:p>
            <w:pPr>
              <w:pStyle w:val="Normal"/>
              <w:rPr>
                <w:kern w:val="2"/>
                <w:szCs w:val="24"/>
              </w:rPr>
            </w:pPr>
            <w:r>
              <w:rPr>
                <w:kern w:val="2"/>
                <w:szCs w:val="24"/>
              </w:rPr>
              <w:t>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color w:val="FF0000"/>
                <w:kern w:val="2"/>
                <w:szCs w:val="24"/>
              </w:rPr>
            </w:pPr>
            <w:r>
              <w:rPr>
                <w:color w:val="FF0000"/>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szCs w:val="24"/>
              </w:rPr>
            </w:pPr>
            <w:r>
              <w:rPr>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color w:val="000000"/>
                <w:kern w:val="2"/>
                <w:szCs w:val="24"/>
              </w:rPr>
              <w:t>9.2.1. Jeigu Tiekėjas vėluoja suteikti Paslaugas arba nevykdo kitų sutartinių įsipareigojimų, Pirkėjas nuo kitos nei nustatytas terminas dienos Tiekėjui skaičiuoja 10 eurų</w:t>
            </w:r>
            <w:r>
              <w:rPr>
                <w:kern w:val="2"/>
                <w:szCs w:val="24"/>
              </w:rPr>
              <w:t xml:space="preserve"> dydžio delspinigius už kiekvieną vėluojama suteikti paslaugas dieną.</w:t>
            </w:r>
          </w:p>
          <w:p>
            <w:pPr>
              <w:pStyle w:val="Normal"/>
              <w:jc w:val="both"/>
              <w:rPr>
                <w:kern w:val="2"/>
                <w:szCs w:val="24"/>
              </w:rPr>
            </w:pPr>
            <w:r>
              <w:rPr>
                <w:kern w:val="2"/>
                <w:szCs w:val="24"/>
              </w:rPr>
            </w:r>
          </w:p>
          <w:p>
            <w:pPr>
              <w:pStyle w:val="Normal"/>
              <w:rPr>
                <w:color w:val="000000"/>
                <w:kern w:val="2"/>
                <w:szCs w:val="24"/>
              </w:rPr>
            </w:pPr>
            <w:r>
              <w:rPr>
                <w:color w:val="000000"/>
                <w:kern w:val="2"/>
                <w:szCs w:val="24"/>
              </w:rPr>
              <w:t>9.2.2. Tiekėjas privalo sumokėti Pirkėjui netesybas per 10 (dešimt) dienų nuo Pirkėjo pareikalavimo, jeigu netesybų suma nėra išskaitoma iš Tiekėjui mokėtinos sumos.</w:t>
            </w:r>
          </w:p>
          <w:p>
            <w:pPr>
              <w:pStyle w:val="Normal"/>
              <w:rPr>
                <w:b/>
                <w:kern w:val="2"/>
                <w:szCs w:val="24"/>
              </w:rPr>
            </w:pPr>
            <w:r>
              <w:rPr>
                <w:b/>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bCs/>
                <w:color w:val="000000"/>
                <w:kern w:val="2"/>
                <w:szCs w:val="24"/>
              </w:rPr>
              <w:t>9.3.1. Nutraukus Sutartį dėl esminio Sutarties pažeidimo, nustatyto Sutarties Specialiosiose sąlygose, mokama 10 procentų dydžio bauda nuo Pradinės Sutarties vertės, nurodytos Specialiųjų sąlygų 5.2 punkte.</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i/>
                <w:i/>
                <w:iCs/>
                <w:kern w:val="2"/>
                <w:szCs w:val="24"/>
              </w:rPr>
            </w:pPr>
            <w:r>
              <w:rPr>
                <w:rStyle w:val="Other"/>
                <w:rFonts w:eastAsia="NSimSun"/>
                <w:i w:val="false"/>
                <w:iCs w:val="false"/>
                <w:szCs w:val="24"/>
                <w:shd w:fill="FFFFFF" w:val="clear"/>
              </w:rPr>
              <w:t>500,00  EUR už kiekvieną atvejį atskirai.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cs="Times New Roman"/>
                <w:i/>
                <w:i/>
                <w:iCs/>
                <w:lang w:val="lt-LT"/>
              </w:rPr>
            </w:pPr>
            <w:r>
              <w:rPr>
                <w:rStyle w:val="Other"/>
                <w:rFonts w:eastAsia="NSimSun"/>
                <w:i w:val="false"/>
                <w:iCs w:val="false"/>
                <w:lang w:val="lt-LT"/>
              </w:rPr>
              <w:t>Jei Tiekėjas nesilaiko nustatytų aplinkosauginių reikalavimų, tai už kiekvieną kartą, kai Tiekėjas nesilaiko aplinkosauginių reikalavimų, yra taikoma 100,00 eurų bauda.</w:t>
            </w:r>
          </w:p>
          <w:p>
            <w:pPr>
              <w:pStyle w:val="Normal"/>
              <w:rPr>
                <w:bCs/>
                <w:color w:val="000000"/>
                <w:kern w:val="2"/>
                <w:szCs w:val="24"/>
              </w:rPr>
            </w:pPr>
            <w:r>
              <w:rPr>
                <w:bCs/>
                <w:color w:val="000000"/>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Netaikoma</w:t>
            </w:r>
          </w:p>
          <w:p>
            <w:pPr>
              <w:pStyle w:val="Normal"/>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rPr>
              <w:t>9.7. Tiekėjui taikomos netesybos dėl pirkimo dokumentuose nustatytų Kokybinių kriterijų 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rFonts w:eastAsia="Calibri"/>
                <w:bCs/>
                <w:color w:val="000000"/>
              </w:rPr>
              <w:t>Jei paslaugas teikia specialistas turintis mažesnę patirtį, nei tas už  kurio kvalifikaciją buvo suteikta ekonominio naudingumo balai, tai už tokias paslaugas nėra mokama.</w:t>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Netaikoma</w:t>
            </w:r>
          </w:p>
          <w:p>
            <w:pPr>
              <w:pStyle w:val="Normal"/>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bCs/>
                <w:color w:val="000000"/>
                <w:kern w:val="2"/>
                <w:szCs w:val="24"/>
              </w:rPr>
              <w:t>10 proc. nuo pradinės sutartis vertės</w:t>
            </w:r>
          </w:p>
          <w:p>
            <w:pPr>
              <w:pStyle w:val="Normal"/>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9.10. </w:t>
            </w:r>
            <w:r>
              <w:rPr>
                <w:b/>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b/>
                <w:kern w:val="2"/>
                <w:szCs w:val="24"/>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jc w:val="left"/>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Ši Sutartis laikoma sudaryta ir įsigalioja nuo Sutarties pasirašymo dienos (antrosios Šalies pasirašymo dieną).</w:t>
            </w:r>
          </w:p>
          <w:p>
            <w:pPr>
              <w:pStyle w:val="Normal"/>
              <w:rPr>
                <w:color w:val="4472C4"/>
                <w:kern w:val="2"/>
                <w:szCs w:val="24"/>
              </w:rPr>
            </w:pPr>
            <w:r>
              <w:rPr>
                <w:color w:val="000000"/>
                <w:kern w:val="2"/>
                <w:szCs w:val="24"/>
              </w:rPr>
              <w:t>Sutartis galioja iki visiško prievolių įvykdymo (kol bus išnaudota Pradinės Sutarties vertė, bet jos terminas negali būti ilgesnis kaip 9 mėnesiai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Sutartis gali būti nutraukiama rašytiniu Šalių susitarimu arba vienašališkai, Bendrosiose sąlygose nustatyta tvarka.</w:t>
            </w:r>
          </w:p>
          <w:p>
            <w:pPr>
              <w:pStyle w:val="Normal"/>
              <w:rPr>
                <w:color w:val="4472C4"/>
                <w:kern w:val="2"/>
                <w:szCs w:val="24"/>
              </w:rPr>
            </w:pPr>
            <w:r>
              <w:rPr>
                <w:color w:val="4472C4"/>
                <w:kern w:val="2"/>
                <w:szCs w:val="24"/>
              </w:rPr>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12.2.1. jeigu Tiekėjas nevykdo prisiimtų įsipareigojimų už Sutartyje nustatytą Sutarties kainą / įkainius;</w:t>
            </w:r>
          </w:p>
          <w:p>
            <w:pPr>
              <w:pStyle w:val="Normal"/>
              <w:spacing w:lineRule="auto" w:line="252"/>
              <w:jc w:val="both"/>
              <w:rPr>
                <w:rFonts w:eastAsia="Arial"/>
                <w:kern w:val="2"/>
                <w:szCs w:val="24"/>
              </w:rPr>
            </w:pPr>
            <w:r>
              <w:rPr>
                <w:rFonts w:eastAsia="Arial"/>
                <w:kern w:val="2"/>
                <w:szCs w:val="24"/>
              </w:rPr>
              <w:t>12.2.2. jeigu Tiekėjas nesilaiko Sutartyje nustatytų Paslaugų teikimo terminų 2 (du) kartus iš eilės;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kern w:val="2"/>
                <w:szCs w:val="24"/>
              </w:rPr>
            </w:pPr>
            <w:r>
              <w:rPr>
                <w:rFonts w:eastAsia="Arial"/>
                <w:kern w:val="2"/>
                <w:szCs w:val="24"/>
              </w:rPr>
              <w:t>12.2.4.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pPr>
              <w:pStyle w:val="Normal"/>
              <w:spacing w:lineRule="auto" w:line="257"/>
              <w:rPr>
                <w:rFonts w:eastAsia="Arial"/>
                <w:color w:val="FF0000"/>
                <w:kern w:val="2"/>
                <w:szCs w:val="24"/>
              </w:rPr>
            </w:pPr>
            <w:r>
              <w:rPr>
                <w:rFonts w:eastAsia="Arial"/>
                <w:color w:val="000000"/>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b/>
                <w:kern w:val="2"/>
                <w:szCs w:val="24"/>
              </w:rPr>
              <w:t>13. APLINKOS APSAUGOS IR SOCIALINIAI KRITERIJAI</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ListParagraph"/>
              <w:spacing w:before="0" w:after="0"/>
              <w:ind w:left="0"/>
              <w:contextualSpacing/>
              <w:jc w:val="both"/>
              <w:rPr>
                <w:shd w:fill="FFFFFF" w:val="clear"/>
                <w:lang w:val="lt-LT"/>
              </w:rPr>
            </w:pPr>
            <w:r>
              <w:rPr>
                <w:rFonts w:cs="Times New Roman" w:ascii="Times New Roman" w:hAnsi="Times New Roman"/>
                <w:shd w:fill="FFFFFF" w:val="clear"/>
                <w:lang w:val="lt-LT"/>
              </w:rPr>
              <w:t>13.1.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pPr>
              <w:pStyle w:val="ListParagraph"/>
              <w:spacing w:before="0" w:after="0"/>
              <w:ind w:left="0"/>
              <w:contextualSpacing/>
              <w:jc w:val="both"/>
              <w:rPr>
                <w:shd w:fill="FFFFFF" w:val="clear"/>
                <w:lang w:val="lt-LT"/>
              </w:rPr>
            </w:pPr>
            <w:r>
              <w:rPr>
                <w:rFonts w:cs="Times New Roman" w:ascii="Times New Roman" w:hAnsi="Times New Roman"/>
                <w:shd w:fill="FFFFFF" w:val="clear"/>
                <w:lang w:val="lt-LT"/>
              </w:rPr>
              <w:t>13.2. Jeigu paslaugos teikimui būtina naudoti popierių, jis turi atitikti aplinkos apsaugos kriterijus popieriui ir jo gaminiams, nustatytus Aprašo 2 priedo 1 punkte.</w:t>
            </w:r>
          </w:p>
          <w:p>
            <w:pPr>
              <w:pStyle w:val="Normal"/>
              <w:jc w:val="both"/>
              <w:rPr>
                <w:color w:val="000000"/>
              </w:rPr>
            </w:pPr>
            <w:r>
              <w:rPr>
                <w:color w:val="000000"/>
                <w:kern w:val="2"/>
                <w:szCs w:val="24"/>
                <w:shd w:fill="FFFFFF" w:val="clear"/>
              </w:rPr>
              <w:t>13.3. Siekiant, kad teikiant paslaugas būtų sunaudojama mažiau gamtos išteklių ir taip būtų laikomasi Aprašo 4.4.4.1 papunktyje nustatyto aplinkosauginio principo, Paslaugų teikimui būtina spausdinti dokumentacija, turi būti spausdinama ant abiejų lapo pusių.</w:t>
            </w:r>
          </w:p>
          <w:p>
            <w:pPr>
              <w:pStyle w:val="Normal"/>
              <w:rPr>
                <w:color w:val="000000"/>
                <w:kern w:val="2"/>
                <w:szCs w:val="24"/>
                <w:shd w:fill="FFFFFF" w:val="clear"/>
              </w:rPr>
            </w:pPr>
            <w:r>
              <w:rPr>
                <w:color w:val="000000"/>
                <w:kern w:val="2"/>
                <w:szCs w:val="24"/>
                <w:shd w:fill="FFFFFF" w:val="clear"/>
              </w:rPr>
              <w:t>Nustačius, kad Tiekėjas šiame papunktyje nustatyto kriterijaus (-jų) nesilaiko, Tiekėjui taikoma Specialiųjų sąlygų 9.5 punkte nurodyto dydžio bauda.</w:t>
            </w:r>
          </w:p>
          <w:p>
            <w:pPr>
              <w:pStyle w:val="Normal"/>
              <w:rPr>
                <w:kern w:val="2"/>
                <w:szCs w:val="24"/>
              </w:rPr>
            </w:pPr>
            <w:r>
              <w:rPr>
                <w:kern w:val="2"/>
                <w:szCs w:val="24"/>
              </w:rPr>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14. BENDRŲJŲ SĄLYGŲ PAKEITIMAI IR PAPILDYMAI</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14.1.</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Techninė specifikacija</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Pasiūlymas</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16. ŠALIŲ ATSTOVŲ PARAŠAI</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color w:val="4472C4"/>
                <w:kern w:val="2"/>
                <w:szCs w:val="24"/>
              </w:rPr>
              <w:t>(nurodomos atstovo pareigos, vardas, pavardė)</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swiss"/>
    <w:pitch w:val="variable"/>
  </w:font>
  <w:font w:name="Liberation Sans">
    <w:altName w:val="Arial"/>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11</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4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AntratsDiagrama" w:customStyle="1">
    <w:name w:val="Antraštės Diagrama"/>
    <w:basedOn w:val="DefaultParagraphFont"/>
    <w:link w:val="Header"/>
    <w:qFormat/>
    <w:rsid w:val="007a75c6"/>
    <w:rPr/>
  </w:style>
  <w:style w:type="character" w:styleId="PoratDiagrama" w:customStyle="1">
    <w:name w:val="Poraštė Diagrama"/>
    <w:basedOn w:val="DefaultParagraphFont"/>
    <w:link w:val="Footer"/>
    <w:qFormat/>
    <w:rsid w:val="007a75c6"/>
    <w:rPr/>
  </w:style>
  <w:style w:type="character" w:styleId="normaltextrun" w:customStyle="1">
    <w:name w:val="normaltextrun"/>
    <w:basedOn w:val="DefaultParagraphFont"/>
    <w:qFormat/>
    <w:rsid w:val="00c74fa2"/>
    <w:rPr/>
  </w:style>
  <w:style w:type="character" w:styleId="eop" w:customStyle="1">
    <w:name w:val="eop"/>
    <w:basedOn w:val="DefaultParagraphFont"/>
    <w:qFormat/>
    <w:rsid w:val="00c74fa2"/>
    <w:rPr/>
  </w:style>
  <w:style w:type="character" w:styleId="EndnoteCharacters" w:customStyle="1">
    <w:name w:val="Endnote Characters"/>
    <w:qFormat/>
    <w:rPr/>
  </w:style>
  <w:style w:type="character" w:styleId="BodyTextChar" w:customStyle="1">
    <w:name w:val="Body Text Char"/>
    <w:basedOn w:val="DefaultParagraphFont"/>
    <w:qFormat/>
    <w:rsid w:val="007069a0"/>
    <w:rPr>
      <w:rFonts w:ascii="Times New Roman" w:hAnsi="Times New Roman" w:eastAsia="Times New Roman" w:cs="Times New Roman"/>
      <w:sz w:val="24"/>
      <w:szCs w:val="20"/>
      <w:lang w:eastAsia="en-US"/>
    </w:rPr>
  </w:style>
  <w:style w:type="character" w:styleId="BetarpDiagrama" w:customStyle="1">
    <w:name w:val="Be tarpų Diagrama"/>
    <w:link w:val="NoSpacing"/>
    <w:uiPriority w:val="1"/>
    <w:qFormat/>
    <w:rsid w:val="00fd6516"/>
    <w:rPr>
      <w:rFonts w:ascii="Calibri" w:hAnsi="Calibri" w:eastAsia="Calibri"/>
      <w:sz w:val="22"/>
      <w:szCs w:val="22"/>
    </w:rPr>
  </w:style>
  <w:style w:type="character" w:styleId="CommentReference">
    <w:name w:val="annotation reference"/>
    <w:basedOn w:val="DefaultParagraphFont"/>
    <w:semiHidden/>
    <w:unhideWhenUsed/>
    <w:qFormat/>
    <w:rsid w:val="00fd6516"/>
    <w:rPr>
      <w:sz w:val="16"/>
      <w:szCs w:val="16"/>
    </w:rPr>
  </w:style>
  <w:style w:type="character" w:styleId="KomentarotekstasDiagrama" w:customStyle="1">
    <w:name w:val="Komentaro tekstas Diagrama"/>
    <w:basedOn w:val="DefaultParagraphFont"/>
    <w:link w:val="CommentText"/>
    <w:qFormat/>
    <w:rsid w:val="00fd6516"/>
    <w:rPr>
      <w:sz w:val="20"/>
    </w:rPr>
  </w:style>
  <w:style w:type="character" w:styleId="KomentarotekstasDiagrama1" w:customStyle="1">
    <w:name w:val="Komentaro tekstas Diagrama1"/>
    <w:basedOn w:val="DefaultParagraphFont"/>
    <w:semiHidden/>
    <w:qFormat/>
    <w:rsid w:val="00fd6516"/>
    <w:rPr>
      <w:sz w:val="20"/>
    </w:rPr>
  </w:style>
  <w:style w:type="character" w:styleId="Other" w:customStyle="1">
    <w:name w:val="Other_"/>
    <w:basedOn w:val="DefaultParagraphFont"/>
    <w:qFormat/>
    <w:rsid w:val="00a7623a"/>
    <w:rPr>
      <w:rFonts w:ascii="Times New Roman" w:hAnsi="Times New Roman" w:eastAsia="Times New Roman" w:cs="Times New Roman"/>
      <w:i/>
      <w:iCs/>
      <w:color w:val="000000"/>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styleId="Index" w:customStyle="1">
    <w:name w:val="Index"/>
    <w:basedOn w:val="Normal"/>
    <w:qFormat/>
    <w:pPr>
      <w:suppressLineNumbers/>
    </w:pPr>
    <w:rPr>
      <w:rFonts w:cs="Noto Sans Devanagari"/>
    </w:rPr>
  </w:style>
  <w:style w:type="paragraph" w:styleId="HeaderandFooter" w:customStyle="1">
    <w:name w:val="Header and Footer"/>
    <w:basedOn w:val="Normal"/>
    <w:qFormat/>
    <w:pPr/>
    <w:rPr/>
  </w:style>
  <w:style w:type="paragraph" w:styleId="Header">
    <w:name w:val="header"/>
    <w:basedOn w:val="Normal"/>
    <w:link w:val="AntratsDiagrama"/>
    <w:unhideWhenUsed/>
    <w:rsid w:val="007a75c6"/>
    <w:pPr>
      <w:tabs>
        <w:tab w:val="clear" w:pos="1296"/>
        <w:tab w:val="center" w:pos="4513" w:leader="none"/>
        <w:tab w:val="right" w:pos="9026" w:leader="none"/>
      </w:tabs>
    </w:pPr>
    <w:rPr/>
  </w:style>
  <w:style w:type="paragraph" w:styleId="Footer">
    <w:name w:val="footer"/>
    <w:basedOn w:val="Normal"/>
    <w:link w:val="PoratDiagrama"/>
    <w:unhideWhenUsed/>
    <w:rsid w:val="007a75c6"/>
    <w:pPr>
      <w:tabs>
        <w:tab w:val="clear" w:pos="1296"/>
        <w:tab w:val="center" w:pos="4513" w:leader="none"/>
        <w:tab w:val="right" w:pos="9026" w:leader="none"/>
      </w:tabs>
    </w:pPr>
    <w:rPr/>
  </w:style>
  <w:style w:type="paragraph" w:styleId="paragraph" w:customStyle="1">
    <w:name w:val="paragraph"/>
    <w:basedOn w:val="Normal"/>
    <w:qFormat/>
    <w:rsid w:val="00c74fa2"/>
    <w:pPr>
      <w:spacing w:beforeAutospacing="1" w:afterAutospacing="1"/>
    </w:pPr>
    <w:rPr>
      <w:szCs w:val="24"/>
      <w:lang w:val="en-US"/>
    </w:rPr>
  </w:style>
  <w:style w:type="paragraph" w:styleId="Standard" w:customStyle="1">
    <w:name w:val="Standard"/>
    <w:qFormat/>
    <w:rsid w:val="007069a0"/>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n-US" w:eastAsia="zh-CN" w:bidi="hi-IN"/>
    </w:rPr>
  </w:style>
  <w:style w:type="paragraph" w:styleId="NoSpacing">
    <w:name w:val="No Spacing"/>
    <w:link w:val="BetarpDiagrama"/>
    <w:uiPriority w:val="1"/>
    <w:qFormat/>
    <w:rsid w:val="00fd6516"/>
    <w:pPr>
      <w:widowControl/>
      <w:suppressAutoHyphens w:val="true"/>
      <w:bidi w:val="0"/>
      <w:spacing w:before="0" w:after="0"/>
      <w:ind w:firstLine="680"/>
      <w:jc w:val="both"/>
    </w:pPr>
    <w:rPr>
      <w:rFonts w:ascii="Calibri" w:hAnsi="Calibri" w:eastAsia="Calibri" w:cs="Times New Roman"/>
      <w:color w:val="auto"/>
      <w:kern w:val="0"/>
      <w:sz w:val="22"/>
      <w:szCs w:val="22"/>
      <w:lang w:val="lt-LT" w:eastAsia="en-US" w:bidi="ar-SA"/>
    </w:rPr>
  </w:style>
  <w:style w:type="paragraph" w:styleId="CommentText">
    <w:name w:val="annotation text"/>
    <w:basedOn w:val="Normal"/>
    <w:link w:val="KomentarotekstasDiagrama"/>
    <w:unhideWhenUsed/>
    <w:rsid w:val="00fd6516"/>
    <w:pPr/>
    <w:rPr>
      <w:sz w:val="20"/>
    </w:rPr>
  </w:style>
  <w:style w:type="paragraph" w:styleId="ListParagraph">
    <w:name w:val="List Paragraph"/>
    <w:basedOn w:val="Standard"/>
    <w:qFormat/>
    <w:rsid w:val="00bb2b87"/>
    <w:pPr>
      <w:spacing w:before="0" w:after="160"/>
      <w:ind w:left="720"/>
      <w:contextualSpacing/>
    </w:pPr>
    <w:rPr/>
  </w:style>
  <w:style w:type="paragraph" w:styleId="NormalWeb">
    <w:name w:val="Normal (Web)"/>
    <w:basedOn w:val="Normal"/>
    <w:qFormat/>
    <w:rsid w:val="00c143fe"/>
    <w:pPr>
      <w:spacing w:beforeAutospacing="1" w:afterAutospacing="1"/>
      <w:ind w:firstLine="680"/>
      <w:jc w:val="both"/>
    </w:pPr>
    <w:rPr>
      <w:szCs w:val="24"/>
      <w:lang w:eastAsia="en-GB"/>
    </w:rPr>
  </w:style>
  <w:style w:type="paragraph" w:styleId="Other1" w:customStyle="1">
    <w:name w:val="Other"/>
    <w:basedOn w:val="Normal"/>
    <w:qFormat/>
    <w:rsid w:val="00c143fe"/>
    <w:pPr>
      <w:widowControl w:val="false"/>
      <w:spacing w:lineRule="auto" w:line="276"/>
      <w:textAlignment w:val="baseline"/>
    </w:pPr>
    <w:rPr>
      <w:rFonts w:ascii="Liberation Serif" w:hAnsi="Liberation Serif" w:eastAsia="NSimSun" w:cs="Arial"/>
      <w:i/>
      <w:iCs/>
      <w:kern w:val="2"/>
      <w:sz w:val="20"/>
      <w:szCs w:val="22"/>
      <w:lang w:val="en-US" w:eastAsia="zh-CN" w:bidi="hi-IN"/>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11" Target="../customXml/item1.xml"
                 Type="http://schemas.openxmlformats.org/officeDocument/2006/relationships/customXml"/>
   <Relationship Id="rId12" Target="../customXml/item2.xml"
                 Type="http://schemas.openxmlformats.org/officeDocument/2006/relationships/customXml"/>
   <Relationship Id="rId13" Target="../customXml/item3.xml"
                 Type="http://schemas.openxmlformats.org/officeDocument/2006/relationships/customXml"/>
   <Relationship Id="rId14" Target="../customXml/item4.xml"
                 Type="http://schemas.openxmlformats.org/officeDocument/2006/relationships/customXml"/>
   <Relationship Id="rId2" Target="header1.xml"
                 Type="http://schemas.openxmlformats.org/officeDocument/2006/relationships/header"/>
   <Relationship Id="rId3" Target="header2.xml"
                 Type="http://schemas.openxmlformats.org/officeDocument/2006/relationships/header"/>
   <Relationship Id="rId4" Target="header3.xml"
                 Type="http://schemas.openxmlformats.org/officeDocument/2006/relationships/header"/>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fontTable.xml"
                 Type="http://schemas.openxmlformats.org/officeDocument/2006/relationships/fontTable"/>
   <Relationship Id="rId9" Target="settings.xml"
                 Type="http://schemas.openxmlformats.org/officeDocument/2006/relationships/settings"/>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Application>LibreOffice/25.2.6.2$Linux_X86_64 LibreOffice_project/520$Build-2</Application>
  <AppVersion>15.0000</AppVersion>
  <Pages>11</Pages>
  <Words>2773</Words>
  <Characters>19810</Characters>
  <CharactersWithSpaces>22391</CharactersWithSpaces>
  <Paragraphs>215</Paragraphs>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2025-09-08T15:45:00Z</dcterms:created>
  <dc:creator>Eva Trinkūnienė</dc:creator>
  <dc:language>lt-LT</dc:language>
  <dcterms:modified xsi:type="dcterms:W3CDTF">2025-09-10T13:33:26Z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