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lineRule="auto" w:line="276" w:before="0" w:after="80"/>
        <w:ind w:left="6804"/>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rPr/>
      </w:pPr>
      <w:r>
        <w:rPr/>
      </w:r>
    </w:p>
    <w:p>
      <w:pPr>
        <w:pStyle w:val="Normal"/>
        <w:spacing w:lineRule="auto" w:line="276"/>
        <w:jc w:val="center"/>
        <w:rPr>
          <w:rFonts w:eastAsia="Times New Roman" w:cs="Times New Roman"/>
          <w:szCs w:val="24"/>
        </w:rPr>
      </w:pPr>
      <w:r>
        <w:rPr>
          <w:rFonts w:eastAsia="Times New Roman" w:cs="Times New Roman"/>
          <w:b/>
          <w:bCs/>
          <w:color w:themeColor="text1" w:val="000000"/>
          <w:szCs w:val="24"/>
        </w:rPr>
        <w:t>TECHNINĖ SPECIFIKACIJA</w:t>
      </w:r>
    </w:p>
    <w:p>
      <w:pPr>
        <w:pStyle w:val="Normal"/>
        <w:spacing w:lineRule="auto" w:line="276"/>
        <w:jc w:val="center"/>
        <w:rPr>
          <w:rFonts w:eastAsia="Times New Roman" w:cs="Times New Roman"/>
          <w:b/>
          <w:bCs/>
          <w:color w:themeColor="text1" w:val="000000"/>
          <w:szCs w:val="24"/>
        </w:rPr>
      </w:pPr>
      <w:r>
        <w:rPr>
          <w:rFonts w:cs="Times New Roman"/>
          <w:b/>
          <w:bCs/>
          <w:color w:themeColor="text1" w:val="000000"/>
        </w:rPr>
        <w:t>MOKYMŲ PROGRAMOS IR</w:t>
      </w:r>
      <w:r>
        <w:rPr>
          <w:rFonts w:eastAsia="Times New Roman" w:cs="Times New Roman"/>
          <w:b/>
          <w:bCs/>
          <w:color w:themeColor="text1" w:val="000000"/>
          <w:szCs w:val="24"/>
        </w:rPr>
        <w:t xml:space="preserve"> MEDŽIAGOS PARENGIMAS „MOODLE” INFEKCIJŲ PREVENCIJOS IR VALDYMO TEMA</w:t>
      </w:r>
    </w:p>
    <w:p>
      <w:pPr>
        <w:pStyle w:val="ListParagraph"/>
        <w:spacing w:lineRule="auto" w:line="276"/>
        <w:ind w:firstLine="851" w:left="360"/>
        <w:jc w:val="center"/>
        <w:rPr>
          <w:rFonts w:cs="Times New Roman"/>
          <w:b/>
          <w:bCs/>
          <w:color w:val="000000"/>
          <w:szCs w:val="24"/>
        </w:rPr>
      </w:pPr>
      <w:r>
        <w:rPr>
          <w:rFonts w:cs="Times New Roman"/>
          <w:b/>
          <w:bCs/>
          <w:color w:val="000000"/>
          <w:szCs w:val="24"/>
        </w:rPr>
      </w:r>
    </w:p>
    <w:p>
      <w:pPr>
        <w:pStyle w:val="Prastasis1"/>
        <w:spacing w:before="0" w:after="0"/>
        <w:jc w:val="center"/>
        <w:rPr>
          <w:rFonts w:eastAsia="Times New Roman" w:cs="Times New Roman"/>
          <w:b/>
          <w:lang w:val="lt-LT"/>
        </w:rPr>
      </w:pPr>
      <w:r>
        <w:rPr>
          <w:rFonts w:eastAsia="Times New Roman" w:cs="Times New Roman"/>
          <w:b/>
          <w:lang w:val="lt-LT"/>
        </w:rPr>
        <w:t>I SKYRIUS</w:t>
      </w:r>
    </w:p>
    <w:p>
      <w:pPr>
        <w:pStyle w:val="Prastasis1"/>
        <w:spacing w:before="0" w:after="200"/>
        <w:contextualSpacing/>
        <w:jc w:val="center"/>
        <w:rPr>
          <w:rFonts w:eastAsia="Times New Roman" w:cs="Times New Roman"/>
          <w:b/>
          <w:color w:val="000000"/>
          <w:lang w:val="lt-LT"/>
        </w:rPr>
      </w:pPr>
      <w:r>
        <w:rPr>
          <w:rFonts w:eastAsia="Times New Roman" w:cs="Times New Roman"/>
          <w:b/>
          <w:color w:val="000000"/>
          <w:lang w:val="lt-LT"/>
        </w:rPr>
        <w:t>BENDRA INFORMACIJA APIE PIRKIMĄ</w:t>
      </w:r>
    </w:p>
    <w:p>
      <w:pPr>
        <w:pStyle w:val="Prastasis1"/>
        <w:spacing w:before="0" w:after="0"/>
        <w:ind w:left="720"/>
        <w:contextualSpacing/>
        <w:jc w:val="center"/>
        <w:rPr>
          <w:rFonts w:eastAsia="Times New Roman" w:cs="Times New Roman"/>
          <w:b/>
          <w:color w:val="000000"/>
          <w:lang w:val="lt-LT"/>
        </w:rPr>
      </w:pPr>
      <w:r>
        <w:rPr>
          <w:rFonts w:eastAsia="Times New Roman" w:cs="Times New Roman"/>
          <w:b/>
          <w:color w:val="000000"/>
          <w:lang w:val="lt-LT"/>
        </w:rPr>
      </w:r>
    </w:p>
    <w:p>
      <w:pPr>
        <w:pStyle w:val="ListParagraph"/>
        <w:numPr>
          <w:ilvl w:val="0"/>
          <w:numId w:val="1"/>
        </w:numPr>
        <w:tabs>
          <w:tab w:val="clear" w:pos="1296"/>
          <w:tab w:val="left" w:pos="810" w:leader="none"/>
        </w:tabs>
        <w:spacing w:lineRule="auto" w:line="276"/>
        <w:ind w:firstLine="1170" w:left="-360"/>
        <w:jc w:val="both"/>
        <w:rPr>
          <w:rFonts w:cs="Times New Roman"/>
          <w:szCs w:val="24"/>
        </w:rPr>
      </w:pPr>
      <w:r>
        <w:rPr>
          <w:rFonts w:cs="Times New Roman"/>
          <w:b/>
          <w:bCs/>
          <w:color w:themeColor="text1" w:val="000000"/>
        </w:rPr>
        <w:t>Perkančioji organizacija</w:t>
      </w:r>
      <w:r>
        <w:rPr>
          <w:rFonts w:cs="Times New Roman"/>
          <w:color w:themeColor="text1" w:val="000000"/>
        </w:rPr>
        <w:t xml:space="preserve"> – Higienos </w:t>
      </w:r>
      <w:r>
        <w:rPr>
          <w:rFonts w:cs="Times New Roman"/>
        </w:rPr>
        <w:t xml:space="preserve">institutas, valstybės biudžetinė įstaiga, adresas: Studentų g. 45A, 08107, Vilnius, tel. + 370 5 262 4583, el. p. institutas@hi.lt, įmonės kodas 111958286 (toliau - Perkančioji organizacija). </w:t>
      </w:r>
    </w:p>
    <w:p>
      <w:pPr>
        <w:pStyle w:val="ListParagraph"/>
        <w:numPr>
          <w:ilvl w:val="0"/>
          <w:numId w:val="1"/>
        </w:numPr>
        <w:tabs>
          <w:tab w:val="clear" w:pos="1296"/>
          <w:tab w:val="left" w:pos="810" w:leader="none"/>
        </w:tabs>
        <w:spacing w:lineRule="auto" w:line="276"/>
        <w:ind w:firstLine="810" w:left="0"/>
        <w:jc w:val="both"/>
        <w:rPr>
          <w:rFonts w:cs="Times New Roman"/>
          <w:szCs w:val="24"/>
        </w:rPr>
      </w:pPr>
      <w:r>
        <w:rPr>
          <w:rFonts w:cs="Times New Roman"/>
          <w:b/>
          <w:bCs/>
          <w:szCs w:val="24"/>
        </w:rPr>
        <w:t>Informacija apie vykdomą projektą</w:t>
      </w:r>
      <w:r>
        <w:rPr>
          <w:rFonts w:cs="Times New Roman"/>
          <w:szCs w:val="24"/>
        </w:rPr>
        <w:t xml:space="preserve"> – Paslaugos perkamos įgyvendinant Perkančiosios organizacijos koordinuojamą  Pažangos įgyvendinimo projektą „Antimikrobinio atsparumo valdymo plėtojimas“ (toliau - Projektas), kuriuo siekiama užtikrinti antimikrobinio atsparumo valdymo gerinimą šalyje. Projektas skirtas asmens  sveikatos priežiūros įstaigoms (ASPĮ) ir jų sveikatos priežiūros specialistams. Europos prevencijos ir kontrolės centro (ECDC) duomenimis, antimikrobinis atsparumas pasaulyje ir ES šalyse didėja ir tampa vis svarbesne visuomenės sveikatos problema. Situacija Lietuvoje taip pat nėra palanki. Šią problemą planuojama spręsti sukuriant ir diegiant antimikrobinio atsparumo valdymui skirtas priemones  – pasinaudojus gerąja užsienio šalių praktika ir patirtimi bei mokslo įrodymais projekto metu bus sukurti ir pradėti diegti stacionarinėse ASPĮ du modeliai: antimikrobinių vaistų vartojimo valdymo ir infekcijų prevencijos ir valdymo stacionarinėse ASPĮ modeliai. Siekiant sėkmingai diegti modelius, bus tobulinama sveikatos priežiūros specialistų kvalifikacija Lietuvoje vyksiančių ir užsienio šalių renginiuose, rengiama metodinė medžiaga ir organizuojami mokymai.  </w:t>
      </w:r>
    </w:p>
    <w:p>
      <w:pPr>
        <w:pStyle w:val="Normal"/>
        <w:numPr>
          <w:ilvl w:val="0"/>
          <w:numId w:val="1"/>
        </w:numPr>
        <w:tabs>
          <w:tab w:val="clear" w:pos="1296"/>
          <w:tab w:val="left" w:pos="1134" w:leader="none"/>
        </w:tabs>
        <w:spacing w:lineRule="auto" w:line="276"/>
        <w:ind w:firstLine="851" w:left="0"/>
        <w:jc w:val="both"/>
        <w:rPr>
          <w:rFonts w:cs="Times New Roman"/>
        </w:rPr>
      </w:pPr>
      <w:r>
        <w:rPr>
          <w:rFonts w:cs="Times New Roman"/>
          <w:b/>
          <w:bCs/>
        </w:rPr>
        <w:t>Pirkimo objektas</w:t>
      </w:r>
      <w:r>
        <w:rPr>
          <w:rFonts w:cs="Times New Roman"/>
        </w:rPr>
        <w:t xml:space="preserve"> – nuotolinių mokymų, tema „</w:t>
      </w:r>
      <w:r>
        <w:rPr>
          <w:rFonts w:eastAsia="Times New Roman" w:cs="Times New Roman"/>
          <w:szCs w:val="24"/>
        </w:rPr>
        <w:t>Multirezistentiškų mikroorganizmų (MDRO) plitimo prevencija</w:t>
      </w:r>
      <w:r>
        <w:rPr>
          <w:rFonts w:cs="Times New Roman"/>
        </w:rPr>
        <w:t>“, parengimo paslaugos (toliau – Paslaugos), kurios apima: mokymų programos, mokymų medžiagos turinio ir nuotolinių mokymų (toliau – e. mokymai), kūrimą.</w:t>
      </w:r>
    </w:p>
    <w:p>
      <w:pPr>
        <w:pStyle w:val="Normal"/>
        <w:numPr>
          <w:ilvl w:val="0"/>
          <w:numId w:val="1"/>
        </w:numPr>
        <w:tabs>
          <w:tab w:val="clear" w:pos="1296"/>
          <w:tab w:val="left" w:pos="1134" w:leader="none"/>
        </w:tabs>
        <w:spacing w:lineRule="auto" w:line="276"/>
        <w:ind w:firstLine="851" w:left="0"/>
        <w:jc w:val="both"/>
        <w:rPr>
          <w:rFonts w:eastAsia="Times New Roman" w:cs="Times New Roman"/>
          <w:szCs w:val="24"/>
        </w:rPr>
      </w:pPr>
      <w:r>
        <w:rPr>
          <w:rFonts w:cs="Times New Roman"/>
          <w:b/>
          <w:bCs/>
          <w:color w:themeColor="text1" w:val="000000"/>
        </w:rPr>
        <w:t>Nuotolinių mokymų tikslas</w:t>
      </w:r>
      <w:r>
        <w:rPr>
          <w:rFonts w:cs="Times New Roman"/>
          <w:color w:themeColor="text1" w:val="000000"/>
        </w:rPr>
        <w:t xml:space="preserve"> – s</w:t>
      </w:r>
      <w:r>
        <w:rPr>
          <w:rFonts w:eastAsia="Times New Roman" w:cs="Times New Roman"/>
          <w:szCs w:val="24"/>
        </w:rPr>
        <w:t>uteikti sveikatos priežiūros specialistams teorinių žinių ir praktinių įgūdžių apie multirezistentiškus mikroorganizmus (MDRO), jų plitimą, rizikos veiksnius ir prevenciją, tobulinti standartinių ir papildomų infekcijų kontrolės priemonių taikymą, suteikti reikalingų žinių apie elgsenos keitimo svarbą užkertant kelią MDRO plitimui sveikatos priežiūros įstaigose.</w:t>
      </w:r>
    </w:p>
    <w:p>
      <w:pPr>
        <w:pStyle w:val="Normal"/>
        <w:numPr>
          <w:ilvl w:val="0"/>
          <w:numId w:val="1"/>
        </w:numPr>
        <w:tabs>
          <w:tab w:val="clear" w:pos="1296"/>
          <w:tab w:val="left" w:pos="1134" w:leader="none"/>
        </w:tabs>
        <w:spacing w:lineRule="auto" w:line="276"/>
        <w:ind w:firstLine="851" w:left="0"/>
        <w:jc w:val="both"/>
        <w:rPr>
          <w:rFonts w:cs="Times New Roman"/>
          <w:color w:val="000000"/>
        </w:rPr>
      </w:pPr>
      <w:r>
        <w:rPr>
          <w:rFonts w:cs="Times New Roman"/>
          <w:b/>
          <w:bCs/>
          <w:color w:themeColor="text1" w:val="000000"/>
        </w:rPr>
        <w:t xml:space="preserve">Mokymų tikslinė grupė </w:t>
      </w:r>
      <w:r>
        <w:rPr>
          <w:rFonts w:cs="Times New Roman"/>
          <w:color w:themeColor="text1" w:val="000000"/>
        </w:rPr>
        <w:t>(toliau – tikslinė grupė): infekcijų kontrolės specialistai ir kiti sveikatos priežiūros specialistai (slaugytojai ir medicinos gydytojai), visuomenės sveikatos specialistai, vykdantys infekcijų kontrolės funkcijas sveikatos priežiūros įstaigose.</w:t>
      </w:r>
    </w:p>
    <w:p>
      <w:pPr>
        <w:pStyle w:val="Normal"/>
        <w:widowControl w:val="false"/>
        <w:numPr>
          <w:ilvl w:val="0"/>
          <w:numId w:val="1"/>
        </w:numPr>
        <w:tabs>
          <w:tab w:val="clear" w:pos="1296"/>
          <w:tab w:val="left" w:pos="142" w:leader="none"/>
          <w:tab w:val="left" w:pos="851" w:leader="none"/>
          <w:tab w:val="left" w:pos="1418" w:leader="none"/>
        </w:tabs>
        <w:spacing w:lineRule="auto" w:line="276" w:before="0" w:after="0"/>
        <w:ind w:firstLine="851" w:left="0"/>
        <w:contextualSpacing/>
        <w:jc w:val="both"/>
        <w:rPr>
          <w:rFonts w:cs="Times New Roman"/>
        </w:rPr>
      </w:pPr>
      <w:r>
        <w:rPr>
          <w:rFonts w:cs="Times New Roman"/>
        </w:rPr>
        <w:t>Pirkimas skaidomas į dalis.</w:t>
      </w:r>
    </w:p>
    <w:p>
      <w:pPr>
        <w:pStyle w:val="ListParagraph"/>
        <w:widowControl w:val="false"/>
        <w:numPr>
          <w:ilvl w:val="0"/>
          <w:numId w:val="1"/>
        </w:numPr>
        <w:tabs>
          <w:tab w:val="clear" w:pos="1296"/>
          <w:tab w:val="left" w:pos="142" w:leader="none"/>
          <w:tab w:val="left" w:pos="1418" w:leader="none"/>
        </w:tabs>
        <w:spacing w:lineRule="auto" w:line="276"/>
        <w:ind w:firstLine="851" w:left="0"/>
        <w:jc w:val="both"/>
        <w:rPr>
          <w:rFonts w:cs="Times New Roman"/>
        </w:rPr>
      </w:pPr>
      <w:r>
        <w:rPr>
          <w:rFonts w:cs="Times New Roman"/>
          <w:b/>
          <w:bCs/>
        </w:rPr>
        <w:t>Rezultatai:</w:t>
      </w:r>
    </w:p>
    <w:p>
      <w:pPr>
        <w:pStyle w:val="ListParagraph"/>
        <w:widowControl w:val="false"/>
        <w:tabs>
          <w:tab w:val="clear" w:pos="1296"/>
          <w:tab w:val="left" w:pos="142" w:leader="none"/>
          <w:tab w:val="left" w:pos="1418" w:leader="none"/>
        </w:tabs>
        <w:spacing w:lineRule="auto" w:line="276"/>
        <w:ind w:firstLine="851" w:left="0"/>
        <w:jc w:val="both"/>
        <w:rPr>
          <w:rFonts w:cs="Times New Roman"/>
        </w:rPr>
      </w:pPr>
      <w:r>
        <w:rPr>
          <w:rFonts w:cs="Times New Roman"/>
        </w:rPr>
        <w:t>7.1. Mokymų programos parengimas – per 2 mėnesius nuo sutarties pasirašymo dienos, bet ne vėliau kaip iki 2025 m. gruodžio 15 d. (1 vnt.).</w:t>
      </w:r>
    </w:p>
    <w:p>
      <w:pPr>
        <w:pStyle w:val="ListParagraph"/>
        <w:widowControl w:val="false"/>
        <w:tabs>
          <w:tab w:val="clear" w:pos="1296"/>
          <w:tab w:val="left" w:pos="142" w:leader="none"/>
          <w:tab w:val="left" w:pos="1418" w:leader="none"/>
        </w:tabs>
        <w:spacing w:lineRule="auto" w:line="276"/>
        <w:ind w:firstLine="851" w:left="0"/>
        <w:jc w:val="both"/>
        <w:rPr>
          <w:rFonts w:cs="Times New Roman"/>
        </w:rPr>
      </w:pPr>
      <w:r>
        <w:rPr>
          <w:rFonts w:cs="Times New Roman"/>
        </w:rPr>
        <w:t>7.2. E. mokymų parengimas – per 5 mėnesius nuo sutarties pasirašymo dienos, bet ne vėliau kaip iki 2026 m. balandžio 1 d. (1 vnt.).</w:t>
      </w:r>
    </w:p>
    <w:p>
      <w:pPr>
        <w:pStyle w:val="Normal"/>
        <w:widowControl w:val="false"/>
        <w:tabs>
          <w:tab w:val="clear" w:pos="1296"/>
          <w:tab w:val="left" w:pos="851" w:leader="none"/>
          <w:tab w:val="left" w:pos="993" w:leader="none"/>
          <w:tab w:val="left" w:pos="1276" w:leader="none"/>
        </w:tabs>
        <w:spacing w:lineRule="auto" w:line="276" w:before="0" w:after="0"/>
        <w:ind w:left="709"/>
        <w:contextualSpacing/>
        <w:jc w:val="both"/>
        <w:rPr>
          <w:rFonts w:cs="Times New Roman"/>
          <w:color w:val="000000"/>
          <w:szCs w:val="24"/>
        </w:rPr>
      </w:pPr>
      <w:r>
        <w:rPr>
          <w:rFonts w:cs="Times New Roman"/>
          <w:color w:val="000000"/>
          <w:szCs w:val="24"/>
        </w:rPr>
      </w:r>
    </w:p>
    <w:p>
      <w:pPr>
        <w:pStyle w:val="Normal"/>
        <w:widowControl w:val="false"/>
        <w:tabs>
          <w:tab w:val="clear" w:pos="1296"/>
          <w:tab w:val="left" w:pos="851" w:leader="none"/>
          <w:tab w:val="left" w:pos="993" w:leader="none"/>
          <w:tab w:val="left" w:pos="1276" w:leader="none"/>
        </w:tabs>
        <w:spacing w:lineRule="auto" w:line="276" w:before="0" w:after="0"/>
        <w:ind w:left="709"/>
        <w:contextualSpacing/>
        <w:jc w:val="both"/>
        <w:rPr>
          <w:rFonts w:cs="Times New Roman"/>
          <w:color w:val="000000"/>
          <w:szCs w:val="24"/>
        </w:rPr>
      </w:pPr>
      <w:r>
        <w:rPr>
          <w:rFonts w:cs="Times New Roman"/>
          <w:color w:val="000000"/>
          <w:szCs w:val="24"/>
        </w:rPr>
      </w:r>
    </w:p>
    <w:p>
      <w:pPr>
        <w:pStyle w:val="Normal"/>
        <w:widowControl w:val="false"/>
        <w:tabs>
          <w:tab w:val="clear" w:pos="1296"/>
          <w:tab w:val="left" w:pos="851" w:leader="none"/>
          <w:tab w:val="left" w:pos="993" w:leader="none"/>
          <w:tab w:val="left" w:pos="1276" w:leader="none"/>
        </w:tabs>
        <w:spacing w:lineRule="auto" w:line="276" w:before="0" w:after="0"/>
        <w:ind w:left="709"/>
        <w:contextualSpacing/>
        <w:jc w:val="both"/>
        <w:rPr>
          <w:rFonts w:cs="Times New Roman"/>
          <w:color w:val="000000"/>
          <w:szCs w:val="24"/>
        </w:rPr>
      </w:pPr>
      <w:r>
        <w:rPr>
          <w:rFonts w:cs="Times New Roman"/>
          <w:color w:val="000000"/>
          <w:szCs w:val="24"/>
        </w:rPr>
      </w:r>
    </w:p>
    <w:p>
      <w:pPr>
        <w:pStyle w:val="Normal"/>
        <w:widowControl w:val="false"/>
        <w:tabs>
          <w:tab w:val="clear" w:pos="1296"/>
          <w:tab w:val="left" w:pos="851" w:leader="none"/>
          <w:tab w:val="left" w:pos="993" w:leader="none"/>
          <w:tab w:val="left" w:pos="1276" w:leader="none"/>
        </w:tabs>
        <w:spacing w:lineRule="auto" w:line="276" w:before="0" w:after="0"/>
        <w:ind w:left="709"/>
        <w:contextualSpacing/>
        <w:jc w:val="both"/>
        <w:rPr>
          <w:rFonts w:cs="Times New Roman"/>
          <w:color w:val="000000"/>
          <w:szCs w:val="24"/>
        </w:rPr>
      </w:pPr>
      <w:r>
        <w:rPr>
          <w:rFonts w:cs="Times New Roman"/>
          <w:color w:val="000000"/>
          <w:szCs w:val="24"/>
        </w:rPr>
      </w:r>
    </w:p>
    <w:p>
      <w:pPr>
        <w:pStyle w:val="Prastasis1"/>
        <w:spacing w:before="0" w:after="0"/>
        <w:jc w:val="center"/>
        <w:rPr>
          <w:rFonts w:eastAsia="Times New Roman" w:cs="Times New Roman"/>
          <w:b/>
          <w:lang w:val="lt-LT"/>
        </w:rPr>
      </w:pPr>
      <w:bookmarkStart w:id="5" w:name="_Hlk77258429"/>
      <w:r>
        <w:rPr>
          <w:rFonts w:eastAsia="Times New Roman" w:cs="Times New Roman"/>
          <w:b/>
          <w:lang w:val="lt-LT"/>
        </w:rPr>
        <w:t>II SKYRIUS</w:t>
      </w:r>
    </w:p>
    <w:p>
      <w:pPr>
        <w:pStyle w:val="Prastasis1"/>
        <w:spacing w:before="0" w:after="0"/>
        <w:jc w:val="center"/>
        <w:rPr>
          <w:rFonts w:eastAsia="Times New Roman" w:cs="Times New Roman"/>
          <w:b/>
          <w:lang w:val="lt-LT"/>
        </w:rPr>
      </w:pPr>
      <w:r>
        <w:rPr>
          <w:rFonts w:eastAsia="Times New Roman" w:cs="Times New Roman"/>
          <w:b/>
          <w:lang w:val="lt-LT"/>
        </w:rPr>
        <w:t>BENDRIEJI REIKALAVIMAI NUOTOLINIŲ MOKYMŲ PROGRAMOS RENGIMUI</w:t>
      </w:r>
    </w:p>
    <w:p>
      <w:pPr>
        <w:pStyle w:val="Prastasis1"/>
        <w:spacing w:before="0" w:after="0"/>
        <w:jc w:val="center"/>
        <w:rPr>
          <w:rFonts w:eastAsia="Times New Roman" w:cs="Times New Roman"/>
          <w:b/>
          <w:lang w:val="lt-LT"/>
        </w:rPr>
      </w:pPr>
      <w:r>
        <w:rPr>
          <w:rFonts w:eastAsia="Times New Roman" w:cs="Times New Roman"/>
          <w:b/>
          <w:lang w:val="lt-LT"/>
        </w:rPr>
      </w:r>
    </w:p>
    <w:p>
      <w:pPr>
        <w:pStyle w:val="Normal"/>
        <w:numPr>
          <w:ilvl w:val="0"/>
          <w:numId w:val="1"/>
        </w:numPr>
        <w:tabs>
          <w:tab w:val="clear" w:pos="1296"/>
          <w:tab w:val="left" w:pos="1134" w:leader="none"/>
        </w:tabs>
        <w:spacing w:lineRule="auto" w:line="276"/>
        <w:ind w:firstLine="851" w:left="0"/>
        <w:jc w:val="both"/>
        <w:rPr>
          <w:rFonts w:cs="Times New Roman"/>
          <w:color w:val="000000"/>
        </w:rPr>
      </w:pPr>
      <w:r>
        <w:rPr>
          <w:rFonts w:cs="Times New Roman"/>
          <w:color w:themeColor="text1" w:val="000000"/>
        </w:rPr>
        <w:t>Reikalavimai mokymų programos turiniui:</w:t>
      </w:r>
    </w:p>
    <w:p>
      <w:pPr>
        <w:pStyle w:val="ListParagraph"/>
        <w:widowControl w:val="false"/>
        <w:numPr>
          <w:ilvl w:val="1"/>
          <w:numId w:val="1"/>
        </w:numPr>
        <w:shd w:val="clear" w:color="auto" w:fill="FFFFFF" w:themeFill="background1"/>
        <w:tabs>
          <w:tab w:val="clear" w:pos="1296"/>
          <w:tab w:val="left" w:pos="426" w:leader="none"/>
          <w:tab w:val="left" w:pos="1418" w:leader="none"/>
        </w:tabs>
        <w:spacing w:lineRule="auto" w:line="276"/>
        <w:ind w:firstLine="851" w:left="0"/>
        <w:jc w:val="both"/>
        <w:rPr>
          <w:rFonts w:cs="Times New Roman"/>
          <w:color w:val="000000"/>
        </w:rPr>
      </w:pPr>
      <w:r>
        <w:rPr>
          <w:rFonts w:eastAsia="Times New Roman" w:cs="Times New Roman"/>
        </w:rPr>
        <w:t>Mokymų programa turi būti parengta vadovaujantis Sveikatos priežiūros ir farmacijos specialistų profesinės kvalifikacijos tobulinimo programų ir vienkartinių profesinės kvalifikacijos tobulinimo renginių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r>
        <w:rPr>
          <w:rFonts w:cs="Times New Roman"/>
          <w:shd w:fill="FFFFFF" w:val="clear"/>
        </w:rPr>
        <w:t>;</w:t>
      </w:r>
    </w:p>
    <w:p>
      <w:pPr>
        <w:pStyle w:val="ListParagraph"/>
        <w:numPr>
          <w:ilvl w:val="1"/>
          <w:numId w:val="1"/>
        </w:numPr>
        <w:tabs>
          <w:tab w:val="clear" w:pos="1296"/>
          <w:tab w:val="left" w:pos="426" w:leader="none"/>
          <w:tab w:val="left" w:pos="1418" w:leader="none"/>
        </w:tabs>
        <w:spacing w:lineRule="auto" w:line="276"/>
        <w:ind w:firstLine="851" w:left="0"/>
        <w:jc w:val="both"/>
        <w:rPr>
          <w:rFonts w:cs="Times New Roman"/>
          <w:color w:val="000000"/>
        </w:rPr>
      </w:pPr>
      <w:r>
        <w:rPr>
          <w:rFonts w:eastAsia="Times New Roman" w:cs="Times New Roman"/>
        </w:rPr>
        <w:t>Mokymo programos trukmė 20 ak. val.;</w:t>
      </w:r>
    </w:p>
    <w:p>
      <w:pPr>
        <w:pStyle w:val="ListParagraph"/>
        <w:numPr>
          <w:ilvl w:val="1"/>
          <w:numId w:val="1"/>
        </w:numPr>
        <w:tabs>
          <w:tab w:val="clear" w:pos="1296"/>
          <w:tab w:val="left" w:pos="426" w:leader="none"/>
          <w:tab w:val="left" w:pos="1418" w:leader="none"/>
        </w:tabs>
        <w:spacing w:lineRule="auto" w:line="276"/>
        <w:ind w:firstLine="851" w:left="0"/>
        <w:jc w:val="both"/>
        <w:rPr>
          <w:rFonts w:cs="Times New Roman"/>
          <w:color w:val="000000"/>
        </w:rPr>
      </w:pPr>
      <w:r>
        <w:rPr>
          <w:rFonts w:cs="Times New Roman"/>
          <w:color w:themeColor="text1" w:val="000000"/>
        </w:rPr>
        <w:t>Rekomenduojamos temos:</w:t>
      </w:r>
    </w:p>
    <w:p>
      <w:pPr>
        <w:pStyle w:val="ListParagraph"/>
        <w:numPr>
          <w:ilvl w:val="2"/>
          <w:numId w:val="1"/>
        </w:numPr>
        <w:tabs>
          <w:tab w:val="clear" w:pos="1296"/>
          <w:tab w:val="left" w:pos="426" w:leader="none"/>
          <w:tab w:val="left" w:pos="1620" w:leader="none"/>
        </w:tabs>
        <w:spacing w:lineRule="auto" w:line="276"/>
        <w:ind w:firstLine="900" w:left="0"/>
        <w:jc w:val="both"/>
        <w:rPr>
          <w:szCs w:val="24"/>
        </w:rPr>
      </w:pPr>
      <w:r>
        <w:rPr>
          <w:b/>
          <w:bCs/>
        </w:rPr>
        <w:t>Įvadas į antimikrobinį atsparumą ir multirezistentiškus mikroorganizmus. S</w:t>
      </w:r>
      <w:r>
        <w:rPr/>
        <w:t>upažindinimas su AMR sąvoka, pagrindiniais atsparumo mechanizmais, MDRO tipais (pvz., MRSA, VRE, CRE), epidemiologija Lietuvoje ir pasaulyje (rekomenduojama trukmė – 2 ak. val.).</w:t>
      </w:r>
    </w:p>
    <w:p>
      <w:pPr>
        <w:pStyle w:val="ListParagraph"/>
        <w:numPr>
          <w:ilvl w:val="2"/>
          <w:numId w:val="1"/>
        </w:numPr>
        <w:tabs>
          <w:tab w:val="clear" w:pos="1296"/>
          <w:tab w:val="left" w:pos="426" w:leader="none"/>
          <w:tab w:val="left" w:pos="1620" w:leader="none"/>
        </w:tabs>
        <w:spacing w:lineRule="auto" w:line="276"/>
        <w:ind w:firstLine="900" w:left="0"/>
        <w:jc w:val="both"/>
        <w:rPr/>
      </w:pPr>
      <w:r>
        <w:rPr>
          <w:b/>
          <w:bCs/>
        </w:rPr>
        <w:t xml:space="preserve">MDRO plitimo keliai ir rizikos veiksniai sveikatos priežiūros įstaigose. </w:t>
      </w:r>
      <w:r>
        <w:rPr/>
        <w:t>MDRO perdavimo keliai sveikatos priežiūros įstaigose, rizikos veiksniai, dažniausiai pasitaikančios situacijos, kurios sudaro sąlygas MDRO plitimui (rekomenduojama trukmė – 4 ak. val.).</w:t>
      </w:r>
    </w:p>
    <w:p>
      <w:pPr>
        <w:pStyle w:val="ListParagraph"/>
        <w:numPr>
          <w:ilvl w:val="2"/>
          <w:numId w:val="1"/>
        </w:numPr>
        <w:tabs>
          <w:tab w:val="clear" w:pos="1296"/>
          <w:tab w:val="left" w:pos="426" w:leader="none"/>
          <w:tab w:val="left" w:pos="1620" w:leader="none"/>
        </w:tabs>
        <w:spacing w:lineRule="auto" w:line="276"/>
        <w:ind w:firstLine="900" w:left="0"/>
        <w:jc w:val="both"/>
        <w:rPr/>
      </w:pPr>
      <w:r>
        <w:rPr>
          <w:b/>
          <w:bCs/>
        </w:rPr>
        <w:t xml:space="preserve">Standartinės ir papildomos apsaugos priemonės MDRO prevencijai. </w:t>
      </w:r>
      <w:r>
        <w:rPr/>
        <w:t>Pagrindinės prevencinės priemonės – tinkama rankų higiena, tinkamas asmeninės apsaugos priemonių (AAP) naudojimas,  efektyvus patalpų valymas, atliekų ir skalbinių tvarkymas. Papildomos (kontaktinės) apsaugos priemonės, paciento izoliavimo kriterijai ir organizavimas, personalo paskirstymo principai. (rekomenduojama trukmė - 4 ak. val.).</w:t>
      </w:r>
    </w:p>
    <w:p>
      <w:pPr>
        <w:pStyle w:val="ListParagraph"/>
        <w:numPr>
          <w:ilvl w:val="2"/>
          <w:numId w:val="1"/>
        </w:numPr>
        <w:tabs>
          <w:tab w:val="clear" w:pos="1296"/>
          <w:tab w:val="left" w:pos="426" w:leader="none"/>
          <w:tab w:val="left" w:pos="1620" w:leader="none"/>
        </w:tabs>
        <w:spacing w:lineRule="auto" w:line="276"/>
        <w:ind w:firstLine="900" w:left="0"/>
        <w:jc w:val="both"/>
        <w:rPr>
          <w:szCs w:val="24"/>
        </w:rPr>
      </w:pPr>
      <w:r>
        <w:rPr>
          <w:b/>
          <w:bCs/>
        </w:rPr>
        <w:t xml:space="preserve">MDRO protrūkių valdymas. </w:t>
      </w:r>
      <w:r>
        <w:rPr/>
        <w:t>Skryningas, tyrimų interpretavimas, pagrindiniai žingsniai kilus protrūkiui, informacijos teikimas darbuotojams ir pacientams (rekomenduojama trukmė - 2 val.).</w:t>
      </w:r>
    </w:p>
    <w:p>
      <w:pPr>
        <w:pStyle w:val="ListParagraph"/>
        <w:numPr>
          <w:ilvl w:val="2"/>
          <w:numId w:val="1"/>
        </w:numPr>
        <w:tabs>
          <w:tab w:val="clear" w:pos="1296"/>
          <w:tab w:val="left" w:pos="426" w:leader="none"/>
          <w:tab w:val="left" w:pos="1620" w:leader="none"/>
        </w:tabs>
        <w:spacing w:lineRule="auto" w:line="276"/>
        <w:ind w:firstLine="900" w:left="0"/>
        <w:jc w:val="both"/>
        <w:rPr/>
      </w:pPr>
      <w:r>
        <w:rPr>
          <w:b/>
          <w:bCs/>
        </w:rPr>
        <w:t>Elgsenos keitimo ir darbuotojų įsitraukimo svarba MDRO prevencijoje.</w:t>
      </w:r>
      <w:r>
        <w:rPr/>
        <w:t xml:space="preserve"> Elgsenos ir kultūrinių veiksnių įtaka MDRO prevencijai, darbuotojų motyvacijos stiprinimo būdai, komunikacijos svarba bei įrankiai, padedantys diegti ir palaikyti teigiamus elgsenos pokyčius kasdienėje praktikoje (rekomenduojama trukmė - 3 val.).</w:t>
      </w:r>
    </w:p>
    <w:p>
      <w:pPr>
        <w:pStyle w:val="ListParagraph"/>
        <w:numPr>
          <w:ilvl w:val="2"/>
          <w:numId w:val="1"/>
        </w:numPr>
        <w:tabs>
          <w:tab w:val="clear" w:pos="1296"/>
          <w:tab w:val="left" w:pos="426" w:leader="none"/>
          <w:tab w:val="left" w:pos="1620" w:leader="none"/>
        </w:tabs>
        <w:spacing w:lineRule="auto" w:line="276"/>
        <w:ind w:firstLine="900" w:left="0"/>
        <w:jc w:val="both"/>
        <w:rPr>
          <w:szCs w:val="24"/>
        </w:rPr>
      </w:pPr>
      <w:r>
        <w:rPr>
          <w:b/>
          <w:bCs/>
        </w:rPr>
        <w:t xml:space="preserve">Gerosios praktikos pavyzdžiai ir atvejų analizė. </w:t>
      </w:r>
      <w:r>
        <w:rPr/>
        <w:t>Iliustratyvūs scenarijai, atvejų analizė, organizaciniai sprendimai (rekomenduojama trukmė - 4 ak. val.).</w:t>
      </w:r>
    </w:p>
    <w:p>
      <w:pPr>
        <w:pStyle w:val="ListParagraph"/>
        <w:numPr>
          <w:ilvl w:val="2"/>
          <w:numId w:val="1"/>
        </w:numPr>
        <w:tabs>
          <w:tab w:val="clear" w:pos="1296"/>
          <w:tab w:val="left" w:pos="426" w:leader="none"/>
          <w:tab w:val="left" w:pos="1620" w:leader="none"/>
        </w:tabs>
        <w:spacing w:lineRule="auto" w:line="276"/>
        <w:ind w:firstLine="900" w:left="0"/>
        <w:jc w:val="both"/>
        <w:rPr>
          <w:szCs w:val="24"/>
        </w:rPr>
      </w:pPr>
      <w:r>
        <w:rPr>
          <w:b/>
          <w:bCs/>
        </w:rPr>
        <w:t xml:space="preserve">Baigiamasis testas. </w:t>
      </w:r>
      <w:r>
        <w:rPr/>
        <w:t>Mokymų pabaigoje turi būti organizuojamas žinių patikrinimas – testas, sudarytas iš ne mažiau kaip 30 klausimų, apimančių visų temų teorinį turinį ir praktines situacijas (rekomenduojama trukmė - 1 ak. val.).</w:t>
      </w:r>
    </w:p>
    <w:p>
      <w:pPr>
        <w:pStyle w:val="ListParagraph"/>
        <w:numPr>
          <w:ilvl w:val="1"/>
          <w:numId w:val="1"/>
        </w:numPr>
        <w:tabs>
          <w:tab w:val="clear" w:pos="1296"/>
          <w:tab w:val="left" w:pos="1418" w:leader="none"/>
        </w:tabs>
        <w:spacing w:lineRule="auto" w:line="276"/>
        <w:ind w:firstLine="851" w:left="0"/>
        <w:jc w:val="both"/>
        <w:rPr>
          <w:rStyle w:val="Eop"/>
          <w:rFonts w:cs="Times New Roman"/>
          <w:color w:val="000000"/>
        </w:rPr>
      </w:pPr>
      <w:r>
        <w:rPr>
          <w:rStyle w:val="Normaltextrun"/>
          <w:rFonts w:eastAsia="" w:eastAsiaTheme="majorEastAsia"/>
        </w:rPr>
        <w:t>Mokymo programa turi pasižymėti aiškiai apibrėžtais ir pagrįstais uždaviniais, orientuotais į numatomus rezultatus;</w:t>
      </w:r>
    </w:p>
    <w:p>
      <w:pPr>
        <w:pStyle w:val="ListParagraph"/>
        <w:numPr>
          <w:ilvl w:val="1"/>
          <w:numId w:val="1"/>
        </w:numPr>
        <w:tabs>
          <w:tab w:val="clear" w:pos="1296"/>
          <w:tab w:val="left" w:pos="1418" w:leader="none"/>
        </w:tabs>
        <w:spacing w:lineRule="auto" w:line="276"/>
        <w:ind w:firstLine="851" w:left="0"/>
        <w:jc w:val="both"/>
        <w:rPr>
          <w:rStyle w:val="Eop"/>
          <w:rFonts w:cs="Times New Roman"/>
          <w:color w:val="000000"/>
        </w:rPr>
      </w:pPr>
      <w:r>
        <w:rPr>
          <w:rStyle w:val="Normaltextrun"/>
          <w:rFonts w:eastAsia="" w:eastAsiaTheme="majorEastAsia"/>
        </w:rPr>
        <w:t>Mokymo programoje turi būti nurodytos mokymų dalyvių įgyjamos kompetencijos;</w:t>
      </w:r>
      <w:r>
        <w:rPr>
          <w:rStyle w:val="Eop"/>
          <w:rFonts w:eastAsia="" w:eastAsiaTheme="majorEastAsia"/>
        </w:rPr>
        <w:t> </w:t>
      </w:r>
    </w:p>
    <w:p>
      <w:pPr>
        <w:pStyle w:val="ListParagraph"/>
        <w:numPr>
          <w:ilvl w:val="1"/>
          <w:numId w:val="1"/>
        </w:numPr>
        <w:tabs>
          <w:tab w:val="clear" w:pos="1296"/>
          <w:tab w:val="left" w:pos="1418" w:leader="none"/>
        </w:tabs>
        <w:spacing w:lineRule="auto" w:line="276"/>
        <w:ind w:firstLine="851" w:left="0"/>
        <w:jc w:val="both"/>
        <w:rPr>
          <w:rStyle w:val="Eop"/>
          <w:rFonts w:cs="Times New Roman"/>
          <w:color w:val="000000"/>
        </w:rPr>
      </w:pPr>
      <w:r>
        <w:rPr>
          <w:rStyle w:val="Normaltextrun"/>
          <w:rFonts w:eastAsia="" w:eastAsiaTheme="majorEastAsia"/>
        </w:rPr>
        <w:t>Mokymo programoje turi būti numatytos teorinė ir praktinė mokymo dalys;</w:t>
      </w:r>
      <w:r>
        <w:rPr>
          <w:rStyle w:val="Eop"/>
          <w:rFonts w:eastAsia="" w:eastAsiaTheme="majorEastAsia"/>
        </w:rPr>
        <w:t> </w:t>
      </w:r>
    </w:p>
    <w:p>
      <w:pPr>
        <w:pStyle w:val="ListParagraph"/>
        <w:numPr>
          <w:ilvl w:val="1"/>
          <w:numId w:val="1"/>
        </w:numPr>
        <w:tabs>
          <w:tab w:val="clear" w:pos="1296"/>
          <w:tab w:val="left" w:pos="1418" w:leader="none"/>
        </w:tabs>
        <w:spacing w:lineRule="auto" w:line="276"/>
        <w:ind w:firstLine="851" w:left="0"/>
        <w:jc w:val="both"/>
        <w:rPr>
          <w:rStyle w:val="Eop"/>
          <w:rFonts w:cs="Times New Roman"/>
          <w:color w:val="000000"/>
        </w:rPr>
      </w:pPr>
      <w:r>
        <w:rPr>
          <w:rStyle w:val="Normaltextrun"/>
          <w:rFonts w:eastAsia="" w:eastAsiaTheme="majorEastAsia"/>
        </w:rPr>
        <w:t xml:space="preserve">Mokymo programoje turi būti nurodyti šiuolaikiniai ir inovatyvūs mokymo metodai ir priemonės, padedantys </w:t>
      </w:r>
      <w:r>
        <w:rPr>
          <w:rFonts w:eastAsia="Times New Roman"/>
        </w:rPr>
        <w:t>įgyti reikiamas kompetencijas</w:t>
      </w:r>
      <w:r>
        <w:rPr>
          <w:rStyle w:val="Normaltextrun"/>
          <w:rFonts w:eastAsia="" w:eastAsiaTheme="majorEastAsia"/>
        </w:rPr>
        <w:t>; mokymų metu pateikta medžiaga turi būti iliustruota praktinėmis užduotimis savarankiškam darbui bei pavyzdžiais (pritaikytais nuotoliniam mokymui);</w:t>
      </w:r>
      <w:r>
        <w:rPr>
          <w:rStyle w:val="Eop"/>
          <w:rFonts w:eastAsia="" w:eastAsiaTheme="majorEastAsia"/>
        </w:rPr>
        <w:t> </w:t>
      </w:r>
    </w:p>
    <w:p>
      <w:pPr>
        <w:pStyle w:val="ListParagraph"/>
        <w:numPr>
          <w:ilvl w:val="1"/>
          <w:numId w:val="1"/>
        </w:numPr>
        <w:tabs>
          <w:tab w:val="clear" w:pos="1296"/>
          <w:tab w:val="left" w:pos="1418" w:leader="none"/>
        </w:tabs>
        <w:spacing w:lineRule="auto" w:line="276"/>
        <w:ind w:firstLine="851" w:left="0"/>
        <w:jc w:val="both"/>
        <w:rPr>
          <w:rStyle w:val="Eop"/>
          <w:rFonts w:eastAsia="" w:eastAsiaTheme="majorEastAsia"/>
        </w:rPr>
      </w:pPr>
      <w:r>
        <w:rPr>
          <w:rStyle w:val="Normaltextrun"/>
          <w:rFonts w:eastAsia="" w:eastAsiaTheme="majorEastAsia"/>
        </w:rPr>
        <w:t>Mokymo programoje turi būti nurodytas programai rengti naudotos literatūros ir kitų informacinių šaltinių sąrašas.</w:t>
      </w:r>
      <w:r>
        <w:rPr>
          <w:rStyle w:val="Eop"/>
          <w:rFonts w:eastAsia="" w:eastAsiaTheme="majorEastAsia"/>
        </w:rPr>
        <w:t> </w:t>
      </w:r>
    </w:p>
    <w:p>
      <w:pPr>
        <w:pStyle w:val="ListParagraph"/>
        <w:numPr>
          <w:ilvl w:val="1"/>
          <w:numId w:val="1"/>
        </w:numPr>
        <w:tabs>
          <w:tab w:val="clear" w:pos="1296"/>
          <w:tab w:val="left" w:pos="1418" w:leader="none"/>
        </w:tabs>
        <w:spacing w:lineRule="auto" w:line="276"/>
        <w:ind w:firstLine="851" w:left="0"/>
        <w:jc w:val="both"/>
        <w:rPr>
          <w:rFonts w:cs="Times New Roman"/>
          <w:color w:val="000000"/>
        </w:rPr>
      </w:pPr>
      <w:r>
        <w:rPr>
          <w:rFonts w:eastAsia="Times New Roman"/>
        </w:rPr>
        <w:t>Mokymo programoje turi būti aiškiai suplanuota užsiėmimų struktūra (tematika, trukmė, išdėstyta užsiėmimų medžiaga, pateikiama teorinio ir praktinio mokymo trukmė akademinėmis valandomis);</w:t>
      </w:r>
    </w:p>
    <w:p>
      <w:pPr>
        <w:pStyle w:val="Normal"/>
        <w:numPr>
          <w:ilvl w:val="0"/>
          <w:numId w:val="1"/>
        </w:numPr>
        <w:tabs>
          <w:tab w:val="clear" w:pos="1296"/>
          <w:tab w:val="left" w:pos="1134" w:leader="none"/>
          <w:tab w:val="left" w:pos="1418" w:leader="none"/>
        </w:tabs>
        <w:spacing w:lineRule="auto" w:line="276"/>
        <w:ind w:firstLine="851" w:left="0"/>
        <w:jc w:val="both"/>
        <w:rPr>
          <w:rFonts w:cs="Times New Roman"/>
          <w:color w:val="000000"/>
        </w:rPr>
      </w:pPr>
      <w:r>
        <w:rPr>
          <w:rFonts w:cs="Times New Roman"/>
          <w:color w:themeColor="text1" w:val="000000"/>
        </w:rPr>
        <w:t>Mokymo programa turi būti parengta ir perduota Perkančiajai organizacijai. Paslaugų tiekėjas (toliau – Tiekėjas) Perkančiajai organizacijai pateikia:</w:t>
      </w:r>
    </w:p>
    <w:p>
      <w:pPr>
        <w:pStyle w:val="ListParagraph"/>
        <w:numPr>
          <w:ilvl w:val="1"/>
          <w:numId w:val="1"/>
        </w:numPr>
        <w:tabs>
          <w:tab w:val="clear" w:pos="1296"/>
          <w:tab w:val="left" w:pos="1134" w:leader="none"/>
          <w:tab w:val="left" w:pos="1418" w:leader="none"/>
        </w:tabs>
        <w:spacing w:lineRule="auto" w:line="276"/>
        <w:ind w:firstLine="851" w:left="0"/>
        <w:jc w:val="both"/>
        <w:rPr>
          <w:rFonts w:cs="Times New Roman"/>
          <w:color w:val="000000"/>
        </w:rPr>
      </w:pPr>
      <w:r>
        <w:rPr>
          <w:rFonts w:cs="Times New Roman"/>
          <w:color w:themeColor="text1" w:val="000000"/>
        </w:rPr>
        <w:t xml:space="preserve"> </w:t>
      </w:r>
      <w:r>
        <w:rPr>
          <w:rFonts w:cs="Times New Roman"/>
          <w:color w:themeColor="text1" w:val="000000"/>
        </w:rPr>
        <w:t>Profesinės kvalifikacijos tobulinimo programos aprašą, parengtą pagal Taisyklių 2 priede pateiktą formą;</w:t>
      </w:r>
      <w:bookmarkStart w:id="6" w:name="part_39bc2eebaafa48cda81732a68d2579e3"/>
      <w:bookmarkEnd w:id="6"/>
    </w:p>
    <w:p>
      <w:pPr>
        <w:pStyle w:val="ListParagraph"/>
        <w:numPr>
          <w:ilvl w:val="1"/>
          <w:numId w:val="1"/>
        </w:numPr>
        <w:tabs>
          <w:tab w:val="clear" w:pos="1296"/>
          <w:tab w:val="left" w:pos="1134" w:leader="none"/>
          <w:tab w:val="left" w:pos="1418" w:leader="none"/>
        </w:tabs>
        <w:spacing w:lineRule="auto" w:line="276"/>
        <w:ind w:firstLine="851" w:left="0"/>
        <w:jc w:val="both"/>
        <w:rPr>
          <w:rFonts w:cs="Times New Roman"/>
          <w:color w:val="000000"/>
        </w:rPr>
      </w:pPr>
      <w:r>
        <w:rPr>
          <w:rFonts w:cs="Times New Roman"/>
          <w:color w:themeColor="text1" w:val="000000"/>
        </w:rPr>
        <w:t>Vertinimo rekomendacijas, parengtas pagal Taisyklių 3 priede pateiktą Profesinės kvalifikacijos tobulinimo programos vertinimo rekomendacijos formą;</w:t>
      </w:r>
      <w:bookmarkStart w:id="7" w:name="part_4469ce82a84647fdb191470318708313"/>
      <w:bookmarkEnd w:id="7"/>
    </w:p>
    <w:p>
      <w:pPr>
        <w:pStyle w:val="ListParagraph"/>
        <w:numPr>
          <w:ilvl w:val="1"/>
          <w:numId w:val="1"/>
        </w:numPr>
        <w:tabs>
          <w:tab w:val="clear" w:pos="1296"/>
          <w:tab w:val="left" w:pos="1134" w:leader="none"/>
          <w:tab w:val="left" w:pos="1418" w:leader="none"/>
        </w:tabs>
        <w:spacing w:lineRule="auto" w:line="276"/>
        <w:ind w:firstLine="851" w:left="0"/>
        <w:jc w:val="both"/>
        <w:rPr>
          <w:rFonts w:cs="Times New Roman"/>
          <w:color w:val="000000"/>
        </w:rPr>
      </w:pPr>
      <w:r>
        <w:rPr>
          <w:rFonts w:cs="Times New Roman"/>
          <w:color w:themeColor="text1" w:val="000000"/>
        </w:rPr>
        <w:t>Vertintojų užpildytą ir pasirašytą Vertintojo nešališkumo deklaraciją ir konfidencialumo pasižadėjimą (Taisyklių 4 priedas);</w:t>
      </w:r>
      <w:bookmarkStart w:id="8" w:name="part_03490e9540074a23a5b18ea3c7c8a89c"/>
      <w:bookmarkEnd w:id="8"/>
    </w:p>
    <w:p>
      <w:pPr>
        <w:pStyle w:val="ListParagraph"/>
        <w:numPr>
          <w:ilvl w:val="1"/>
          <w:numId w:val="1"/>
        </w:numPr>
        <w:tabs>
          <w:tab w:val="clear" w:pos="1296"/>
          <w:tab w:val="left" w:pos="1134" w:leader="none"/>
          <w:tab w:val="left" w:pos="1418" w:leader="none"/>
        </w:tabs>
        <w:spacing w:lineRule="auto" w:line="276"/>
        <w:ind w:firstLine="851" w:left="0"/>
        <w:jc w:val="both"/>
        <w:rPr>
          <w:rFonts w:cs="Times New Roman"/>
          <w:color w:val="000000"/>
        </w:rPr>
      </w:pPr>
      <w:r>
        <w:rPr>
          <w:rFonts w:cs="Times New Roman"/>
          <w:color w:themeColor="text1" w:val="000000"/>
        </w:rPr>
        <w:t>Dokumentus, patvirtinančius, kad vertintojai atitinka Taisyklių 13 ir (ar) 14 punktuose nustatytus kvalifikacinius reikalavimus (išsilavinimą, kvalifikaciją ir darbo patirtį patvirtinančių dokumentų kopijas).</w:t>
      </w:r>
    </w:p>
    <w:p>
      <w:pPr>
        <w:pStyle w:val="Normal"/>
        <w:tabs>
          <w:tab w:val="clear" w:pos="1296"/>
          <w:tab w:val="left" w:pos="426" w:leader="none"/>
        </w:tabs>
        <w:spacing w:lineRule="auto" w:line="276"/>
        <w:jc w:val="both"/>
        <w:rPr>
          <w:rFonts w:cs="Times New Roman"/>
          <w:color w:val="000000"/>
          <w:szCs w:val="24"/>
        </w:rPr>
      </w:pPr>
      <w:r>
        <w:rPr>
          <w:rFonts w:cs="Times New Roman"/>
          <w:color w:val="000000"/>
          <w:szCs w:val="24"/>
        </w:rPr>
      </w:r>
    </w:p>
    <w:p>
      <w:pPr>
        <w:pStyle w:val="Prastasis1"/>
        <w:spacing w:before="0" w:after="0"/>
        <w:jc w:val="center"/>
        <w:rPr>
          <w:rFonts w:eastAsia="Times New Roman" w:cs="Times New Roman"/>
          <w:b/>
          <w:lang w:val="lt-LT"/>
        </w:rPr>
      </w:pPr>
      <w:r>
        <w:rPr>
          <w:rFonts w:eastAsia="Times New Roman" w:cs="Times New Roman"/>
          <w:b/>
          <w:bCs/>
          <w:lang w:val="lt-LT"/>
        </w:rPr>
        <w:t>III SKYRIUS</w:t>
      </w:r>
    </w:p>
    <w:p>
      <w:pPr>
        <w:pStyle w:val="Prastasis1"/>
        <w:spacing w:before="0" w:after="0"/>
        <w:jc w:val="center"/>
        <w:rPr>
          <w:rFonts w:eastAsia="Times New Roman" w:cs="Times New Roman"/>
          <w:b/>
          <w:bCs/>
          <w:lang w:val="lt-LT"/>
        </w:rPr>
      </w:pPr>
      <w:r>
        <w:rPr>
          <w:rFonts w:eastAsia="Times New Roman" w:cs="Times New Roman"/>
          <w:b/>
          <w:bCs/>
          <w:lang w:val="lt-LT"/>
        </w:rPr>
        <w:t>REIKALAVIMAI NUOTOLINIŲ MOKYMŲ MEDŽIAGOS TURINIUI</w:t>
      </w:r>
    </w:p>
    <w:p>
      <w:pPr>
        <w:pStyle w:val="Prastasis1"/>
        <w:spacing w:before="0" w:after="0"/>
        <w:jc w:val="center"/>
        <w:rPr>
          <w:rFonts w:eastAsia="Times New Roman" w:cs="Times New Roman"/>
          <w:b/>
          <w:lang w:val="lt-LT"/>
        </w:rPr>
      </w:pPr>
      <w:r>
        <w:rPr>
          <w:rFonts w:eastAsia="Times New Roman" w:cs="Times New Roman"/>
          <w:b/>
          <w:lang w:val="lt-LT"/>
        </w:rPr>
      </w:r>
    </w:p>
    <w:p>
      <w:pPr>
        <w:pStyle w:val="Paragraph"/>
        <w:numPr>
          <w:ilvl w:val="0"/>
          <w:numId w:val="1"/>
        </w:numPr>
        <w:tabs>
          <w:tab w:val="clear" w:pos="1296"/>
          <w:tab w:val="left" w:pos="1276" w:leader="none"/>
        </w:tabs>
        <w:spacing w:lineRule="auto" w:line="276" w:beforeAutospacing="0" w:before="0" w:afterAutospacing="0" w:after="0"/>
        <w:ind w:firstLine="851" w:left="0"/>
        <w:jc w:val="both"/>
        <w:textAlignment w:val="baseline"/>
        <w:rPr/>
      </w:pPr>
      <w:r>
        <w:rPr>
          <w:rStyle w:val="Normaltextrun"/>
          <w:rFonts w:eastAsia="" w:eastAsiaTheme="majorEastAsia"/>
        </w:rPr>
        <w:t xml:space="preserve"> </w:t>
      </w:r>
      <w:r>
        <w:rPr>
          <w:rStyle w:val="Normaltextrun"/>
          <w:rFonts w:eastAsia="" w:eastAsiaTheme="majorEastAsia"/>
        </w:rPr>
        <w:t>Reikalavimai nuotolinių mokymų medžiagos turinio kūrimui: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rStyle w:val="Normaltextrun"/>
          <w:rFonts w:eastAsia="" w:eastAsiaTheme="majorEastAsia"/>
        </w:rPr>
        <w:t>Mokymų turinys turi būti parengtas lietuvių kalba; išdėstytas nuosekliai, suprantamai ir aiškiai, esant poreikiui gali būti pateikiami vartojamų terminų paaiškinimai;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rStyle w:val="Normaltextrun"/>
          <w:rFonts w:eastAsia="" w:eastAsiaTheme="majorEastAsia"/>
        </w:rPr>
        <w:t>Mokymų turinyje turi būti nurodyti mokymų tikslai, siekiami mokymosi rezultatai;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rStyle w:val="Normaltextrun"/>
          <w:rFonts w:eastAsia="" w:eastAsiaTheme="majorEastAsia"/>
        </w:rPr>
      </w:pPr>
      <w:r>
        <w:rPr>
          <w:rStyle w:val="Normaltextrun"/>
          <w:rFonts w:eastAsia="" w:eastAsiaTheme="majorEastAsia"/>
        </w:rPr>
        <w:t xml:space="preserve">Mokymų turinys turi būti sukurtas taip, kad tikslinėje grupėje nurodyti specialistai įgytų </w:t>
      </w:r>
      <w:r>
        <w:rPr/>
        <w:t>teorinių žinių ir praktinių įgūdžių apie multirezistentiškus mikroorganizmus (MDRO), jų plitimą, rizikos veiksnius ir prevenciją, standartinių ir papildomų infekcijų kontrolės priemonių taikymą, elgsenos keitimo svarbą užkertant kelią MDRO plitimui sveikatos priežiūros įstaigose.</w:t>
      </w:r>
      <w:r>
        <w:rPr>
          <w:rStyle w:val="Normaltextrun"/>
          <w:rFonts w:eastAsia="" w:eastAsiaTheme="majorEastAsia"/>
        </w:rPr>
        <w:t xml:space="preserve">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t>Mokymų turinys turi būti paremtas šiuolaikiniais ir aktualiais literatūros šaltiniais, atitinkančiais tematiką;</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rStyle w:val="Eop"/>
        </w:rPr>
      </w:pPr>
      <w:r>
        <w:rPr>
          <w:rStyle w:val="Normaltextrun"/>
          <w:rFonts w:eastAsia="" w:eastAsiaTheme="majorEastAsia"/>
        </w:rPr>
        <w:t>Mokymų turinys turi turėti aiškią struktūrą (temos turi būti aiškiai atskirtos, identifikuojant, ką kiekvienoje temoje tikslinėje grupėje nurodyti specialistai turi išmokti);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t>Tobulinimo dalykai / temos turi būti išdėstyti nuosekliai, remiantis tobulinimo programos planu;</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t xml:space="preserve"> </w:t>
      </w:r>
      <w:r>
        <w:rPr/>
        <w:t>Parengtoje mokymų medžiagoje mokymų temos turi būti pristatytos naudojant tikslingai parinktus mokymo (-si) metodus (paskaita, paskaitos skaidrių demonstravimas, atvejų analizė, įgūdžių formavimo situacijos), orientuotus į siekiamą mokymų tikslą;</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rStyle w:val="Eop"/>
        </w:rPr>
      </w:pPr>
      <w:r>
        <w:rPr>
          <w:rStyle w:val="Normaltextrun"/>
          <w:rFonts w:eastAsia="" w:eastAsiaTheme="majorEastAsia"/>
        </w:rPr>
        <w:t>Mokymų turinys turi būti išsamus, pakankamas savarankiškam mokymuisi, orientuotas į tobulinimo programoje nurodytus rezultatus (ką tikslinėje grupėje nurodyti specialistai turėtų žinoti ir gebėti pasibaigus mokymo procesui);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rStyle w:val="Eop"/>
        </w:rPr>
      </w:pPr>
      <w:r>
        <w:rPr>
          <w:rStyle w:val="Normaltextrun"/>
          <w:rFonts w:eastAsia="" w:eastAsiaTheme="majorEastAsia"/>
        </w:rPr>
        <w:t>Mokymų turinys turi apimti pasakojamąjį tekstą, skirtą e. mokymų naudotojams, pavyzdinių praktinių užduočių ir žinių patikrinimo testų, pritaikytų e. mokymams ir rekomenduojamų vizualinio turinio sprendimų aprašymą;</w:t>
      </w:r>
      <w:r>
        <w:rPr>
          <w:rStyle w:val="Eop"/>
          <w:rFonts w:eastAsia="" w:eastAsiaTheme="majorEastAsia"/>
        </w:rPr>
        <w:t> </w:t>
      </w:r>
    </w:p>
    <w:p>
      <w:pPr>
        <w:pStyle w:val="Paragraph"/>
        <w:numPr>
          <w:ilvl w:val="1"/>
          <w:numId w:val="1"/>
        </w:numPr>
        <w:spacing w:lineRule="auto" w:line="276" w:beforeAutospacing="0" w:before="0" w:afterAutospacing="0" w:after="0"/>
        <w:ind w:firstLine="630" w:left="0"/>
        <w:jc w:val="both"/>
        <w:textAlignment w:val="baseline"/>
        <w:rPr/>
      </w:pPr>
      <w:r>
        <w:rPr/>
        <w:t>Parengtoje mokymų medžiagoje naudojami metodiniai ištekliai (paruošti pranešimai (metodinė medžiaga), dalomoji medžiaga mokymo dalyviams (skaitmeniniu formatu), praktinių užduočių medžiaga, videopaskaita) turi būti pakankami atskleisti mokymų programos turinį pagal pateiktą valandų skaičiaus kriterijų;</w:t>
      </w:r>
    </w:p>
    <w:p>
      <w:pPr>
        <w:pStyle w:val="Paragraph"/>
        <w:numPr>
          <w:ilvl w:val="1"/>
          <w:numId w:val="1"/>
        </w:numPr>
        <w:tabs>
          <w:tab w:val="clear" w:pos="1296"/>
          <w:tab w:val="left" w:pos="1560" w:leader="none"/>
        </w:tabs>
        <w:spacing w:lineRule="auto" w:line="276" w:beforeAutospacing="0" w:before="0" w:afterAutospacing="0" w:after="0"/>
        <w:ind w:firstLine="851" w:left="0"/>
        <w:jc w:val="both"/>
        <w:textAlignment w:val="baseline"/>
        <w:rPr>
          <w:rStyle w:val="Eop"/>
        </w:rPr>
      </w:pPr>
      <w:r>
        <w:rPr>
          <w:rStyle w:val="Normaltextrun"/>
          <w:rFonts w:eastAsia="" w:eastAsiaTheme="majorEastAsia"/>
        </w:rPr>
        <w:t>Kiekvienos mokymo temos pabaigoje turi būti mokymų medžiagos santrauka PDF formatu (ne daugiau nei A4 5 puslapiai.), savikontrolės testas ir / ar užduotys žinių įvertinimui (su pateiktais teisingais atsaky</w:t>
      </w:r>
      <w:r>
        <w:rPr>
          <w:rStyle w:val="Normaltextrun"/>
          <w:rFonts w:eastAsia="" w:eastAsiaTheme="majorEastAsia"/>
          <w:color w:themeColor="text1" w:val="000000"/>
        </w:rPr>
        <w:t>mais).</w:t>
      </w:r>
      <w:r>
        <w:rPr>
          <w:rStyle w:val="Eop"/>
          <w:rFonts w:eastAsia="" w:eastAsiaTheme="majorEastAsia"/>
          <w:color w:themeColor="text1" w:val="000000"/>
        </w:rPr>
        <w:t> </w:t>
      </w:r>
    </w:p>
    <w:p>
      <w:pPr>
        <w:pStyle w:val="Paragraph"/>
        <w:numPr>
          <w:ilvl w:val="1"/>
          <w:numId w:val="1"/>
        </w:numPr>
        <w:tabs>
          <w:tab w:val="clear" w:pos="1296"/>
          <w:tab w:val="left" w:pos="1560" w:leader="none"/>
        </w:tabs>
        <w:spacing w:lineRule="auto" w:line="276" w:beforeAutospacing="0" w:before="0" w:afterAutospacing="0" w:after="0"/>
        <w:ind w:firstLine="851" w:left="0"/>
        <w:jc w:val="both"/>
        <w:textAlignment w:val="baseline"/>
        <w:rPr/>
      </w:pPr>
      <w:r>
        <w:rPr>
          <w:rStyle w:val="Eop"/>
          <w:rFonts w:eastAsia="" w:eastAsiaTheme="majorEastAsia"/>
          <w:color w:themeColor="text1" w:val="000000"/>
        </w:rPr>
        <w:t xml:space="preserve">Mokymų pabaigoje turi būti baigiamasis žinių vertinimo testas </w:t>
      </w:r>
      <w:r>
        <w:rPr>
          <w:rStyle w:val="Normaltextrun"/>
          <w:rFonts w:eastAsia="" w:eastAsiaTheme="majorEastAsia"/>
        </w:rPr>
        <w:t>(ne daugiau nei 30 klausimų ir praktinių užduočių, su pateiktais teisingais atsaky</w:t>
      </w:r>
      <w:r>
        <w:rPr>
          <w:rStyle w:val="Normaltextrun"/>
          <w:rFonts w:eastAsia="" w:eastAsiaTheme="majorEastAsia"/>
          <w:color w:themeColor="text1" w:val="000000"/>
        </w:rPr>
        <w:t>mais);</w:t>
      </w:r>
    </w:p>
    <w:p>
      <w:pPr>
        <w:pStyle w:val="Paragraph"/>
        <w:numPr>
          <w:ilvl w:val="1"/>
          <w:numId w:val="1"/>
        </w:numPr>
        <w:tabs>
          <w:tab w:val="clear" w:pos="1296"/>
          <w:tab w:val="left" w:pos="1560" w:leader="none"/>
        </w:tabs>
        <w:spacing w:lineRule="auto" w:line="276" w:beforeAutospacing="0" w:before="0" w:afterAutospacing="0" w:after="0"/>
        <w:ind w:firstLine="851" w:left="0"/>
        <w:jc w:val="both"/>
        <w:textAlignment w:val="baseline"/>
        <w:rPr>
          <w:rStyle w:val="Normaltextrun"/>
        </w:rPr>
      </w:pPr>
      <w:r>
        <w:rPr>
          <w:rStyle w:val="Normaltextrun"/>
          <w:rFonts w:eastAsia="" w:eastAsiaTheme="majorEastAsia"/>
        </w:rPr>
        <w:t>Kiekvienos mokymo temos pabaigoje turi būti nurodytas literatūros sąrašas, rekomenduojami / papildomi literatūros šaltiniai, norintiems daugiau pasigilinti į temą (šaltiniai gali būti lietuvių ir anglų kalba).</w:t>
      </w:r>
    </w:p>
    <w:p>
      <w:pPr>
        <w:pStyle w:val="Paragraph"/>
        <w:numPr>
          <w:ilvl w:val="0"/>
          <w:numId w:val="1"/>
        </w:numPr>
        <w:tabs>
          <w:tab w:val="clear" w:pos="1296"/>
          <w:tab w:val="left" w:pos="1418" w:leader="none"/>
        </w:tabs>
        <w:spacing w:lineRule="auto" w:line="276" w:beforeAutospacing="0" w:before="0" w:afterAutospacing="0" w:after="0"/>
        <w:ind w:firstLine="851" w:left="0"/>
        <w:jc w:val="both"/>
        <w:rPr/>
      </w:pPr>
      <w:r>
        <w:rPr/>
        <w:t>Parengtos mokymų medžiagos turinyje pateikiama informacija neturi prieštarauti galiojantiems Lietuvos Respublikos teisėms aktams.</w:t>
      </w:r>
    </w:p>
    <w:p>
      <w:pPr>
        <w:pStyle w:val="Prastasis1"/>
        <w:spacing w:before="0" w:after="0"/>
        <w:jc w:val="both"/>
        <w:rPr>
          <w:rFonts w:eastAsia="Times New Roman" w:cs="Times New Roman"/>
          <w:b/>
          <w:bCs/>
          <w:lang w:val="lt-LT"/>
        </w:rPr>
      </w:pPr>
      <w:r>
        <w:rPr>
          <w:rFonts w:eastAsia="Times New Roman" w:cs="Times New Roman"/>
          <w:b/>
          <w:bCs/>
          <w:lang w:val="lt-LT"/>
        </w:rPr>
      </w:r>
    </w:p>
    <w:p>
      <w:pPr>
        <w:pStyle w:val="Prastasis1"/>
        <w:spacing w:before="0" w:after="0"/>
        <w:jc w:val="center"/>
        <w:rPr>
          <w:rFonts w:eastAsia="Times New Roman" w:cs="Times New Roman"/>
          <w:b/>
          <w:lang w:val="lt-LT"/>
        </w:rPr>
      </w:pPr>
      <w:r>
        <w:rPr>
          <w:rFonts w:eastAsia="Times New Roman" w:cs="Times New Roman"/>
          <w:b/>
          <w:bCs/>
          <w:lang w:val="lt-LT"/>
        </w:rPr>
        <w:t>IV SKYRIUS</w:t>
      </w:r>
    </w:p>
    <w:p>
      <w:pPr>
        <w:pStyle w:val="Prastasis1"/>
        <w:spacing w:before="0" w:after="0"/>
        <w:jc w:val="center"/>
        <w:rPr>
          <w:rFonts w:eastAsia="Times New Roman" w:cs="Times New Roman"/>
          <w:b/>
          <w:bCs/>
          <w:lang w:val="lt-LT"/>
        </w:rPr>
      </w:pPr>
      <w:r>
        <w:rPr>
          <w:rFonts w:eastAsia="Times New Roman" w:cs="Times New Roman"/>
          <w:b/>
          <w:bCs/>
          <w:lang w:val="lt-LT"/>
        </w:rPr>
        <w:t>REIKALAVIMAI NUOTOLINIŲ E. MOKYMŲ KŪRIMUI</w:t>
      </w:r>
    </w:p>
    <w:p>
      <w:pPr>
        <w:pStyle w:val="Prastasis1"/>
        <w:spacing w:before="0" w:after="0"/>
        <w:ind w:left="720"/>
        <w:contextualSpacing/>
        <w:jc w:val="center"/>
        <w:rPr>
          <w:rFonts w:eastAsia="Times New Roman" w:cs="Times New Roman"/>
          <w:b/>
          <w:color w:val="000000"/>
          <w:lang w:val="lt-LT"/>
        </w:rPr>
      </w:pPr>
      <w:r>
        <w:rPr>
          <w:rFonts w:eastAsia="Times New Roman" w:cs="Times New Roman"/>
          <w:b/>
          <w:color w:val="000000"/>
          <w:lang w:val="lt-LT"/>
        </w:rPr>
      </w:r>
    </w:p>
    <w:p>
      <w:pPr>
        <w:pStyle w:val="ListParagraph"/>
        <w:widowControl w:val="false"/>
        <w:numPr>
          <w:ilvl w:val="0"/>
          <w:numId w:val="1"/>
        </w:numPr>
        <w:tabs>
          <w:tab w:val="clear" w:pos="1296"/>
          <w:tab w:val="left" w:pos="142" w:leader="none"/>
          <w:tab w:val="left" w:pos="851" w:leader="none"/>
          <w:tab w:val="left" w:pos="1276" w:leader="none"/>
        </w:tabs>
        <w:spacing w:lineRule="auto" w:line="276"/>
        <w:ind w:firstLine="851" w:left="0"/>
        <w:jc w:val="both"/>
        <w:rPr>
          <w:rFonts w:eastAsia="Times New Roman" w:cs="Times New Roman"/>
        </w:rPr>
      </w:pPr>
      <w:r>
        <w:rPr>
          <w:rFonts w:cs="Times New Roman"/>
        </w:rPr>
        <w:t xml:space="preserve">Nuotolinių e. mokymų kūrimą apima: </w:t>
      </w:r>
    </w:p>
    <w:p>
      <w:pPr>
        <w:pStyle w:val="ListParagraph"/>
        <w:widowControl w:val="false"/>
        <w:numPr>
          <w:ilvl w:val="1"/>
          <w:numId w:val="1"/>
        </w:numPr>
        <w:tabs>
          <w:tab w:val="clear" w:pos="1296"/>
          <w:tab w:val="left" w:pos="142" w:leader="none"/>
          <w:tab w:val="left" w:pos="568" w:leader="none"/>
          <w:tab w:val="left" w:pos="709" w:leader="none"/>
          <w:tab w:val="left" w:pos="851" w:leader="none"/>
          <w:tab w:val="left" w:pos="1418" w:leader="none"/>
        </w:tabs>
        <w:spacing w:lineRule="auto" w:line="276"/>
        <w:ind w:firstLine="851" w:left="0"/>
        <w:jc w:val="both"/>
        <w:rPr>
          <w:rFonts w:cs="Times New Roman"/>
        </w:rPr>
      </w:pPr>
      <w:r>
        <w:rPr>
          <w:rFonts w:cs="Times New Roman"/>
        </w:rPr>
        <w:t>E. mokymų kūrimo planavimą (koncepcijos išgryninimą, e. mokymų kūrimo plano parengimą ir pan.);</w:t>
      </w:r>
    </w:p>
    <w:p>
      <w:pPr>
        <w:pStyle w:val="ListParagraph"/>
        <w:widowControl w:val="false"/>
        <w:numPr>
          <w:ilvl w:val="1"/>
          <w:numId w:val="1"/>
        </w:numPr>
        <w:tabs>
          <w:tab w:val="clear" w:pos="1296"/>
          <w:tab w:val="left" w:pos="142" w:leader="none"/>
          <w:tab w:val="left" w:pos="568" w:leader="none"/>
          <w:tab w:val="left" w:pos="709" w:leader="none"/>
          <w:tab w:val="left" w:pos="851" w:leader="none"/>
          <w:tab w:val="left" w:pos="1418" w:leader="none"/>
        </w:tabs>
        <w:spacing w:lineRule="auto" w:line="276"/>
        <w:ind w:firstLine="851" w:left="0"/>
        <w:jc w:val="both"/>
        <w:rPr>
          <w:rFonts w:cs="Times New Roman"/>
        </w:rPr>
      </w:pPr>
      <w:r>
        <w:rPr>
          <w:rFonts w:cs="Times New Roman"/>
        </w:rPr>
        <w:t>E. mokymų turinio kūrimą (scenarijaus rengimą, tekstų, testų, užduočių paruošimą ir pan.);</w:t>
      </w:r>
    </w:p>
    <w:p>
      <w:pPr>
        <w:pStyle w:val="Normal"/>
        <w:widowControl w:val="false"/>
        <w:numPr>
          <w:ilvl w:val="1"/>
          <w:numId w:val="1"/>
        </w:numPr>
        <w:tabs>
          <w:tab w:val="clear" w:pos="1296"/>
          <w:tab w:val="left" w:pos="142" w:leader="none"/>
          <w:tab w:val="left" w:pos="1418" w:leader="none"/>
        </w:tabs>
        <w:spacing w:lineRule="auto" w:line="276" w:before="0" w:after="0"/>
        <w:ind w:firstLine="851" w:left="0"/>
        <w:contextualSpacing/>
        <w:jc w:val="both"/>
        <w:rPr>
          <w:rFonts w:cs="Times New Roman"/>
        </w:rPr>
      </w:pPr>
      <w:r>
        <w:rPr>
          <w:rFonts w:cs="Times New Roman"/>
        </w:rPr>
        <w:t>E. mokymų gamybą (grafinių elementų parinkimą, įgarsinimo, maketavimo / montavimo darbus, video mokymų ir kitų elementų integravimą);</w:t>
      </w:r>
    </w:p>
    <w:p>
      <w:pPr>
        <w:pStyle w:val="ListParagraph"/>
        <w:widowControl w:val="false"/>
        <w:numPr>
          <w:ilvl w:val="1"/>
          <w:numId w:val="1"/>
        </w:numPr>
        <w:tabs>
          <w:tab w:val="clear" w:pos="1296"/>
          <w:tab w:val="left" w:pos="142" w:leader="none"/>
          <w:tab w:val="left" w:pos="1418" w:leader="none"/>
        </w:tabs>
        <w:spacing w:lineRule="auto" w:line="276"/>
        <w:ind w:firstLine="851" w:left="0"/>
        <w:rPr>
          <w:rFonts w:cs="Times New Roman"/>
        </w:rPr>
      </w:pPr>
      <w:r>
        <w:rPr>
          <w:rFonts w:cs="Times New Roman"/>
        </w:rPr>
        <w:t>E. mokymų testavimą.</w:t>
      </w:r>
    </w:p>
    <w:p>
      <w:pPr>
        <w:pStyle w:val="Normal"/>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color w:val="C00000"/>
        </w:rPr>
      </w:pPr>
      <w:r>
        <w:rPr>
          <w:rFonts w:cs="Times New Roman"/>
        </w:rPr>
        <w:t xml:space="preserve">Parengtuose e. mokymuose turi būti: </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rPr>
          <w:rFonts w:cs="Times New Roman"/>
        </w:rPr>
      </w:pPr>
      <w:r>
        <w:rPr>
          <w:rFonts w:cs="Times New Roman"/>
        </w:rPr>
        <w:t>pateiktas grafinis apipavidalinimas (ikonos, nuotraukos, iliustracijos ir kt.), nepažeidžiant šios techninės specifikacijos 28 punkto reikalavimų;</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cs="Times New Roman"/>
        </w:rPr>
      </w:pPr>
      <w:r>
        <w:rPr>
          <w:rFonts w:cs="Times New Roman"/>
        </w:rPr>
        <w:t xml:space="preserve">savikontrolės testai ir / ar užduotys, baigiamasis žinių vertinimo testas pritaikyti virtualiai mokymosi aplinkai Moodle </w:t>
      </w:r>
      <w:r>
        <w:rPr>
          <w:rFonts w:eastAsia="Times New Roman" w:cs="Times New Roman"/>
        </w:rPr>
        <w:t>arba lygiavertei šiai sistemai platformai, užtikrinančiai panašias funkcionalumo ir naudojimo galimybes</w:t>
      </w:r>
      <w:r>
        <w:rPr>
          <w:rFonts w:cs="Times New Roman"/>
        </w:rPr>
        <w:t>. Jei pasirinkami testo tipo klausimai, jie gali būti su vienu arba keliais atsakymo variantais, „True / False“, „Drag-and-drop” pratimai ir pan.;</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cs="Times New Roman"/>
        </w:rPr>
      </w:pPr>
      <w:r>
        <w:rPr>
          <w:rFonts w:eastAsia="" w:eastAsiaTheme="minorEastAsia"/>
        </w:rPr>
        <w:t>naudojamas kokybiškas, be pašalinių garsų ar trikdžių vaizdo medžiagos įgarsinimas, užtikrinant sklandų mokymosi procesą. Vaizdo įraše matomas lektorius, pristatantis dėstomą temą;</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cs="Times New Roman"/>
        </w:rPr>
      </w:pPr>
      <w:r>
        <w:rPr>
          <w:rFonts w:cs="Times New Roman"/>
        </w:rPr>
        <w:t>vaizdo įrašai ir kita e. mokymų medžiaga suglaudinta optimaliam kokybės ir failo dydžio santykiui;</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cs="Times New Roman"/>
        </w:rPr>
      </w:pPr>
      <w:r>
        <w:rPr>
          <w:rFonts w:cs="Times New Roman"/>
        </w:rPr>
        <w:t>naudojama taisyklinga lietuvių kalba visam e. mokymų turiniui.</w:t>
      </w:r>
    </w:p>
    <w:p>
      <w:pPr>
        <w:pStyle w:val="ListParagraph"/>
        <w:widowControl w:val="false"/>
        <w:numPr>
          <w:ilvl w:val="0"/>
          <w:numId w:val="1"/>
        </w:numPr>
        <w:tabs>
          <w:tab w:val="clear" w:pos="1296"/>
          <w:tab w:val="left" w:pos="851" w:leader="none"/>
          <w:tab w:val="left" w:pos="1193" w:leader="none"/>
          <w:tab w:val="left" w:pos="1418" w:leader="none"/>
        </w:tabs>
        <w:spacing w:lineRule="auto" w:line="276"/>
        <w:ind w:firstLine="851" w:left="0"/>
        <w:jc w:val="both"/>
        <w:rPr>
          <w:rFonts w:eastAsia="Times New Roman" w:cs="Times New Roman"/>
        </w:rPr>
      </w:pPr>
      <w:r>
        <w:rPr>
          <w:rFonts w:eastAsia="" w:eastAsiaTheme="minorEastAsia"/>
        </w:rPr>
        <w:t>Užtikrinti aktyvų įsitraukimą ir efektyvų mokymąsi e. mokymo turinys turi būti pateiktas šiomis formomis:</w:t>
      </w:r>
    </w:p>
    <w:p>
      <w:pPr>
        <w:pStyle w:val="ListParagraph"/>
        <w:widowControl w:val="false"/>
        <w:numPr>
          <w:ilvl w:val="1"/>
          <w:numId w:val="1"/>
        </w:numPr>
        <w:tabs>
          <w:tab w:val="clear" w:pos="1296"/>
          <w:tab w:val="left" w:pos="851" w:leader="none"/>
          <w:tab w:val="left" w:pos="1193" w:leader="none"/>
          <w:tab w:val="left" w:pos="1418" w:leader="none"/>
        </w:tabs>
        <w:spacing w:lineRule="auto" w:line="276"/>
        <w:ind w:firstLine="851" w:left="0"/>
        <w:jc w:val="both"/>
        <w:rPr/>
      </w:pPr>
      <w:r>
        <w:rPr>
          <w:rFonts w:eastAsia="Times New Roman" w:cs="Times New Roman"/>
        </w:rPr>
        <w:t>vaizdo medžiaga – išlaikyti dėmesį, paaiškinti sudėtingas temas vizualiai ir interaktyviai;</w:t>
      </w:r>
    </w:p>
    <w:p>
      <w:pPr>
        <w:pStyle w:val="ListParagraph"/>
        <w:widowControl w:val="false"/>
        <w:numPr>
          <w:ilvl w:val="1"/>
          <w:numId w:val="1"/>
        </w:numPr>
        <w:tabs>
          <w:tab w:val="clear" w:pos="1296"/>
          <w:tab w:val="left" w:pos="851" w:leader="none"/>
          <w:tab w:val="left" w:pos="1193" w:leader="none"/>
          <w:tab w:val="left" w:pos="1418" w:leader="none"/>
        </w:tabs>
        <w:spacing w:lineRule="auto" w:line="276"/>
        <w:ind w:firstLine="851" w:left="0"/>
        <w:jc w:val="both"/>
        <w:rPr>
          <w:rFonts w:eastAsia="Times New Roman" w:cs="Times New Roman"/>
        </w:rPr>
      </w:pPr>
      <w:r>
        <w:rPr>
          <w:rFonts w:eastAsia="Times New Roman" w:cs="Times New Roman"/>
        </w:rPr>
        <w:t xml:space="preserve">skaidrės – struktūruotas turinys, aiškūs pagrindiniai punktai, lengvai peržiūrima informacija; </w:t>
      </w:r>
    </w:p>
    <w:p>
      <w:pPr>
        <w:pStyle w:val="ListParagraph"/>
        <w:widowControl w:val="false"/>
        <w:numPr>
          <w:ilvl w:val="1"/>
          <w:numId w:val="1"/>
        </w:numPr>
        <w:tabs>
          <w:tab w:val="clear" w:pos="1296"/>
          <w:tab w:val="left" w:pos="851" w:leader="none"/>
          <w:tab w:val="left" w:pos="1193" w:leader="none"/>
          <w:tab w:val="left" w:pos="1418" w:leader="none"/>
        </w:tabs>
        <w:spacing w:lineRule="auto" w:line="276"/>
        <w:ind w:firstLine="851" w:left="0"/>
        <w:jc w:val="both"/>
        <w:rPr>
          <w:rFonts w:eastAsia="Times New Roman" w:cs="Times New Roman"/>
        </w:rPr>
      </w:pPr>
      <w:r>
        <w:rPr>
          <w:rFonts w:eastAsia="Times New Roman" w:cs="Times New Roman"/>
        </w:rPr>
        <w:t>tekstiniai failai – suteikti gilesnį supratimą ir papildomą informaciją, leidžia gilintis į specifines detales;</w:t>
      </w:r>
    </w:p>
    <w:p>
      <w:pPr>
        <w:pStyle w:val="ListParagraph"/>
        <w:widowControl w:val="false"/>
        <w:numPr>
          <w:ilvl w:val="1"/>
          <w:numId w:val="1"/>
        </w:numPr>
        <w:tabs>
          <w:tab w:val="clear" w:pos="1296"/>
          <w:tab w:val="left" w:pos="851" w:leader="none"/>
          <w:tab w:val="left" w:pos="1193" w:leader="none"/>
          <w:tab w:val="left" w:pos="1418" w:leader="none"/>
        </w:tabs>
        <w:spacing w:lineRule="auto" w:line="276"/>
        <w:ind w:firstLine="851" w:left="0"/>
        <w:jc w:val="both"/>
        <w:rPr>
          <w:rFonts w:eastAsia="Times New Roman" w:cs="Times New Roman"/>
        </w:rPr>
      </w:pPr>
      <w:r>
        <w:rPr>
          <w:rFonts w:eastAsia="Times New Roman" w:cs="Times New Roman"/>
        </w:rPr>
        <w:t>interaktyvus turinys – testai, atvejų analizės, užduotys, skatinantys aktyvų dalyvavimą, padedantys geriau įsisavinti informaciją ir įtvirtinti žinias.</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rPr>
      </w:pPr>
      <w:r>
        <w:rPr>
          <w:rFonts w:eastAsia="" w:eastAsiaTheme="minorEastAsia"/>
        </w:rPr>
        <w:t xml:space="preserve">Galimi e. mokymų turinio pateikimo formatai (suderinami su </w:t>
      </w:r>
      <w:r>
        <w:rPr>
          <w:rFonts w:eastAsia="Times New Roman" w:cs="Times New Roman"/>
        </w:rPr>
        <w:t>virtualia mokymosi aplinka Moodle arba lygiaverte šiai sistemai platforma, užtikrinančia panašias funkcionalumo ir naudojimo galimybes)</w:t>
      </w:r>
      <w:r>
        <w:rPr>
          <w:rFonts w:eastAsia="" w:eastAsiaTheme="minorEastAsia"/>
        </w:rPr>
        <w:t>:</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cs="Times New Roman"/>
        </w:rPr>
      </w:pPr>
      <w:r>
        <w:rPr>
          <w:rFonts w:eastAsia="" w:eastAsiaTheme="minorEastAsia"/>
        </w:rPr>
        <w:t>PDF – mokymo medžiaga, infografikai ar vizualizuoti teoriniai aspektai, papildoma informacija;</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cs="Times New Roman"/>
        </w:rPr>
      </w:pPr>
      <w:r>
        <w:rPr>
          <w:rFonts w:eastAsia="Times New Roman" w:cs="Times New Roman"/>
        </w:rPr>
        <w:t>MP4 – vaizdo paskaitos, animuoti vaizdo įrašai, demonstracijos, praktiniai pavyzdžiai;</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pPr>
      <w:r>
        <w:rPr>
          <w:rFonts w:eastAsia="Times New Roman" w:cs="Times New Roman"/>
        </w:rPr>
        <w:t>PPTX – skaidrių rinkinys interaktyviems pristatymams;</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eastAsia="Times New Roman" w:cs="Times New Roman"/>
        </w:rPr>
      </w:pPr>
      <w:r>
        <w:rPr>
          <w:rFonts w:eastAsia="Times New Roman" w:cs="Times New Roman"/>
        </w:rPr>
        <w:t>JPEG, PNG, GIF, SVG – paveikslėliai, infografikai;</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eastAsia="Times New Roman" w:cs="Times New Roman"/>
        </w:rPr>
      </w:pPr>
      <w:r>
        <w:rPr>
          <w:rFonts w:eastAsia="Times New Roman" w:cs="Times New Roman"/>
        </w:rPr>
        <w:t>H5P – interaktyvūs turinio elementai, papildantys mokymų turinį (užduotys, interaktyvūs vaizdo įrašai ir prezentacijos);</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eastAsia="Times New Roman" w:cs="Times New Roman"/>
        </w:rPr>
      </w:pPr>
      <w:r>
        <w:rPr>
          <w:rFonts w:eastAsia="Times New Roman" w:cs="Times New Roman"/>
        </w:rPr>
        <w:t>SCORM – standartizuotas mokymo turinio formatas, leidžiantis integruoti mokymo medžiagą į mokymosi valdymo sistemas;</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cs="Times New Roman"/>
        </w:rPr>
      </w:pPr>
      <w:r>
        <w:rPr>
          <w:rFonts w:eastAsia="Times New Roman" w:cs="Times New Roman"/>
        </w:rPr>
        <w:t>Kiti interaktyvūs e. mokymų kūrimo formatai, kurie suderinami su virtualia mokymosi aplinka Moodle arba lygiaverte šiai sistemai platforma, užtikrinančia panašias funkcionalumo ir naudojimo galimybes.</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rPr>
      </w:pPr>
      <w:r>
        <w:rPr>
          <w:rFonts w:cs="Times New Roman"/>
        </w:rPr>
        <w:t>Visose mokymų medžiagos temose / dalyse turi būti naudojamos tokios pačios technologijos, kurios tarpusavyje turi derėti technologiškai ir funkciškai.</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rPr>
      </w:pPr>
      <w:r>
        <w:rPr>
          <w:rFonts w:cs="Times New Roman"/>
        </w:rPr>
        <w:t xml:space="preserve"> </w:t>
      </w:r>
      <w:r>
        <w:rPr>
          <w:rFonts w:cs="Times New Roman"/>
        </w:rPr>
        <w:t>E. mokymų turinys turi būti estetiškas ir atitikti Perkančiosios organizacijos vizualinį identitetą: derėti fonas, iliustracijos ir tekstas, harmoningai išdėstyti elementai, pasižymėti vientisa, stilinga grafika, šriftu, spalvomis, vaizdais ir kitais daugialypės terpės elementais.</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rPr>
      </w:pPr>
      <w:r>
        <w:rPr>
          <w:rFonts w:cs="Times New Roman"/>
        </w:rPr>
        <w:t xml:space="preserve"> </w:t>
      </w:r>
      <w:r>
        <w:rPr>
          <w:rFonts w:cs="Times New Roman"/>
        </w:rPr>
        <w:t>E. mokymai turi būti tinkamai atvaizduojami n</w:t>
      </w:r>
      <w:r>
        <w:rPr>
          <w:rFonts w:eastAsia="Times New Roman" w:cs="Times New Roman"/>
        </w:rPr>
        <w:t>epriklausomai nuo įrenginio (kompiuterio, mobilaus įrenginio, planšetinio kompiuterio)</w:t>
      </w:r>
      <w:r>
        <w:rPr>
          <w:rFonts w:cs="Times New Roman"/>
        </w:rPr>
        <w:t xml:space="preserve">. </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rPr>
      </w:pPr>
      <w:r>
        <w:rPr>
          <w:rFonts w:cs="Times New Roman"/>
        </w:rPr>
        <w:t xml:space="preserve"> </w:t>
      </w:r>
      <w:r>
        <w:rPr>
          <w:rFonts w:cs="Times New Roman"/>
        </w:rPr>
        <w:t>Tiekėjas kurdamas mokymų programą, turinį, dizainą, mokymų funkcionalumą privalo juos suderinti su Perkančiąja organizacija.</w:t>
      </w:r>
    </w:p>
    <w:p>
      <w:pPr>
        <w:pStyle w:val="Normal"/>
        <w:widowControl w:val="false"/>
        <w:tabs>
          <w:tab w:val="clear" w:pos="1296"/>
          <w:tab w:val="left" w:pos="851" w:leader="none"/>
          <w:tab w:val="left" w:pos="993" w:leader="none"/>
          <w:tab w:val="left" w:pos="1193" w:leader="none"/>
        </w:tabs>
        <w:spacing w:lineRule="auto" w:line="276"/>
        <w:ind w:firstLine="851"/>
        <w:jc w:val="both"/>
        <w:rPr>
          <w:rFonts w:cs="Times New Roman"/>
          <w:szCs w:val="24"/>
        </w:rPr>
      </w:pPr>
      <w:r>
        <w:rPr>
          <w:rFonts w:cs="Times New Roman"/>
          <w:szCs w:val="24"/>
        </w:rPr>
      </w:r>
    </w:p>
    <w:p>
      <w:pPr>
        <w:pStyle w:val="Prastasis1"/>
        <w:spacing w:before="0" w:after="0"/>
        <w:jc w:val="center"/>
        <w:rPr>
          <w:rFonts w:eastAsia="Times New Roman" w:cs="Times New Roman"/>
          <w:b/>
          <w:bCs/>
          <w:lang w:val="lt-LT"/>
        </w:rPr>
      </w:pPr>
      <w:r>
        <w:rPr>
          <w:rFonts w:eastAsia="Times New Roman" w:cs="Times New Roman"/>
          <w:b/>
          <w:bCs/>
          <w:lang w:val="lt-LT"/>
        </w:rPr>
        <w:t>V SKYRIUS</w:t>
      </w:r>
    </w:p>
    <w:p>
      <w:pPr>
        <w:pStyle w:val="ListParagraph"/>
        <w:widowControl w:val="false"/>
        <w:tabs>
          <w:tab w:val="clear" w:pos="1296"/>
          <w:tab w:val="left" w:pos="851" w:leader="none"/>
          <w:tab w:val="left" w:pos="993" w:leader="none"/>
          <w:tab w:val="left" w:pos="1193" w:leader="none"/>
        </w:tabs>
        <w:spacing w:lineRule="auto" w:line="276"/>
        <w:ind w:left="0"/>
        <w:jc w:val="center"/>
        <w:rPr>
          <w:rFonts w:eastAsia="Times New Roman" w:cs="Times New Roman"/>
          <w:b/>
          <w:bCs/>
        </w:rPr>
      </w:pPr>
      <w:r>
        <w:rPr>
          <w:rFonts w:cs="Times New Roman"/>
          <w:b/>
          <w:bCs/>
        </w:rPr>
        <w:t>MOKYMŲ PROGRAMOS, MOKYMŲ MEDŽIAGOS IR E. MOKYMŲ RENGIMO TVARKA</w:t>
      </w:r>
    </w:p>
    <w:p>
      <w:pPr>
        <w:pStyle w:val="ListParagraph"/>
        <w:widowControl w:val="false"/>
        <w:tabs>
          <w:tab w:val="clear" w:pos="1296"/>
          <w:tab w:val="left" w:pos="851" w:leader="none"/>
          <w:tab w:val="left" w:pos="993" w:leader="none"/>
          <w:tab w:val="left" w:pos="1193" w:leader="none"/>
        </w:tabs>
        <w:spacing w:lineRule="auto" w:line="276"/>
        <w:ind w:left="491"/>
        <w:jc w:val="both"/>
        <w:rPr>
          <w:rFonts w:cs="Times New Roman"/>
        </w:rPr>
      </w:pPr>
      <w:r>
        <w:rPr>
          <w:rFonts w:cs="Times New Roman"/>
        </w:rPr>
      </w:r>
    </w:p>
    <w:p>
      <w:pPr>
        <w:pStyle w:val="ListParagraph"/>
        <w:numPr>
          <w:ilvl w:val="0"/>
          <w:numId w:val="1"/>
        </w:numPr>
        <w:tabs>
          <w:tab w:val="clear" w:pos="1296"/>
          <w:tab w:val="left" w:pos="851" w:leader="none"/>
        </w:tabs>
        <w:spacing w:lineRule="auto" w:line="276"/>
        <w:ind w:firstLine="851" w:left="0"/>
        <w:jc w:val="both"/>
        <w:rPr>
          <w:rFonts w:cs="Times New Roman"/>
        </w:rPr>
      </w:pPr>
      <w:r>
        <w:rPr>
          <w:rFonts w:cs="Times New Roman"/>
        </w:rPr>
        <w:t>Pasirašius paslaugų teikimo sutartį Tiekėjas ne vėliau kaip per 5 darbo dienas turi pateikti Perkančiajai organizacijai derinti paslaugų vykdymo planą, kuriame turi būti nurodytas planuojamas galutinis paslaugų suteikimo terminas, atskiri Paslaugų teikimo etapai, jų apimtys bei kita Tiekėjui ir Perkančiajai organizacijai svarbi informacija.</w:t>
      </w:r>
    </w:p>
    <w:p>
      <w:pPr>
        <w:pStyle w:val="ListParagraph"/>
        <w:numPr>
          <w:ilvl w:val="0"/>
          <w:numId w:val="1"/>
        </w:numPr>
        <w:tabs>
          <w:tab w:val="clear" w:pos="1296"/>
          <w:tab w:val="left" w:pos="1134" w:leader="none"/>
        </w:tabs>
        <w:spacing w:lineRule="auto" w:line="276"/>
        <w:ind w:firstLine="851" w:left="0"/>
        <w:jc w:val="both"/>
        <w:rPr>
          <w:rFonts w:cs="Times New Roman"/>
        </w:rPr>
      </w:pPr>
      <w:r>
        <w:rPr>
          <w:rFonts w:cs="Times New Roman"/>
        </w:rPr>
        <w:t>Paslaugų vykdymo planą turi sudaryti šie mokymų kūrimo etapai:</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paslaugų vykdymo koncepcijos parengimas (detalus Perkančiosios organizacijos poreikio išsiaiškinimas, išgryninant mokymo tikslą, siektinus rezultatus, tikslinę auditoriją, mokymų temas);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mokymų programos parengimas;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mokymų medžiagos scenarijaus sukūrimas pagal patvirtintą mokymų programą (turinio struktūros parengimas, mokymų medžiagos pateikimo būdų (taip pat suderinant kokia forma (tekstinė, vaizdo ar kt.) medžiaga bus pateikiama) bei testų ir / ar užduočių ir baigiamojo vertinimo priemonių nustatymas);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E. mokymų grafinio dizaino parengimas;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E. mokymų techninis išpildymas;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E. mokymų testavimas ir klaidų šalinimas;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E. mokymų perdavimas Perkančiajai organizacijai.</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color w:themeColor="text1" w:val="000000"/>
        </w:rPr>
      </w:pPr>
      <w:r>
        <w:rPr>
          <w:rFonts w:cs="Times New Roman"/>
          <w:color w:themeColor="text1" w:val="000000"/>
        </w:rPr>
        <w:t xml:space="preserve">Tiekėjas pradeda teikti </w:t>
      </w:r>
      <w:r>
        <w:rPr>
          <w:rFonts w:cs="Times New Roman"/>
        </w:rPr>
        <w:t>paslaugą gavęs Perkančiosios organizacijos pritarimą raštu</w:t>
      </w:r>
      <w:r>
        <w:rPr>
          <w:rFonts w:cs="Times New Roman"/>
          <w:color w:themeColor="text1" w:val="000000"/>
        </w:rPr>
        <w:t>.</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color w:themeColor="text1" w:val="000000"/>
        </w:rPr>
      </w:pPr>
      <w:r>
        <w:rPr>
          <w:rFonts w:cs="Times New Roman"/>
          <w:color w:themeColor="text1" w:val="000000"/>
        </w:rPr>
        <w:t>Tiekėjas atsakingas už visą nuotolinių mokymų parengimo paslaugos proceso valdymą, darbų organizavimą ir atlikimą.</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rPr>
      </w:pPr>
      <w:r>
        <w:rPr>
          <w:rFonts w:cs="Times New Roman"/>
        </w:rPr>
        <w:t xml:space="preserve">Teikėjas korekcijas pagal Perkančiosios organizacijos pateiktas pastabas </w:t>
      </w:r>
      <w:r>
        <w:rPr>
          <w:rFonts w:cs="Times New Roman"/>
          <w:color w:themeColor="text1" w:val="000000"/>
        </w:rPr>
        <w:t>viso nuotolinių mokymų parengimo paslaugos proceso metu</w:t>
      </w:r>
      <w:r>
        <w:rPr>
          <w:rFonts w:cs="Times New Roman"/>
        </w:rPr>
        <w:t xml:space="preserve"> turi atlikti ne vėliau kaip per 5 darbo dienas nuo pastabų pateikimo.</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rPr>
      </w:pPr>
      <w:r>
        <w:rPr>
          <w:rFonts w:cs="Times New Roman"/>
        </w:rPr>
        <w:t xml:space="preserve"> </w:t>
      </w:r>
      <w:r>
        <w:rPr>
          <w:rFonts w:cs="Times New Roman"/>
        </w:rPr>
        <w:t xml:space="preserve">Sukurtiems e. mokymams turi būti suteikiama garantija </w:t>
      </w:r>
      <w:r>
        <w:rPr>
          <w:rFonts w:cs="Times New Roman"/>
          <w:color w:themeColor="text1" w:val="000000"/>
        </w:rPr>
        <w:t>techniniams nesklandumams ir trūkumams šalinti – neribotai per 12 mėnesių nuo</w:t>
      </w:r>
      <w:r>
        <w:rPr>
          <w:rFonts w:cs="Times New Roman"/>
          <w:color w:val="FF0000"/>
        </w:rPr>
        <w:t xml:space="preserve"> </w:t>
      </w:r>
      <w:r>
        <w:rPr>
          <w:rFonts w:eastAsia="Times New Roman" w:cs="Times New Roman"/>
        </w:rPr>
        <w:t xml:space="preserve">Paslaugų priėmimo–perdavimo akto </w:t>
      </w:r>
      <w:r>
        <w:rPr>
          <w:rFonts w:cs="Times New Roman"/>
        </w:rPr>
        <w:t xml:space="preserve">pasirašymo dienos, </w:t>
      </w:r>
      <w:r>
        <w:rPr>
          <w:rFonts w:cs="Times New Roman"/>
          <w:color w:themeColor="text1" w:val="000000"/>
        </w:rPr>
        <w:t xml:space="preserve">jei tai </w:t>
      </w:r>
      <w:r>
        <w:rPr>
          <w:rFonts w:cs="Times New Roman"/>
        </w:rPr>
        <w:t>susiję su Tiekėjo technine klaida.</w:t>
      </w:r>
      <w:bookmarkEnd w:id="5"/>
    </w:p>
    <w:p>
      <w:pPr>
        <w:pStyle w:val="Prastasis1"/>
        <w:spacing w:before="0" w:after="0"/>
        <w:jc w:val="center"/>
        <w:rPr>
          <w:rFonts w:eastAsia="Times New Roman" w:cs="Times New Roman"/>
          <w:b/>
          <w:bCs/>
          <w:lang w:val="lt-LT"/>
        </w:rPr>
      </w:pPr>
      <w:r>
        <w:rPr>
          <w:rFonts w:eastAsia="Times New Roman" w:cs="Times New Roman"/>
          <w:b/>
          <w:bCs/>
          <w:lang w:val="lt-LT"/>
        </w:rPr>
      </w:r>
    </w:p>
    <w:p>
      <w:pPr>
        <w:pStyle w:val="Prastasis1"/>
        <w:spacing w:before="0" w:after="0"/>
        <w:jc w:val="center"/>
        <w:rPr>
          <w:rFonts w:eastAsia="Times New Roman" w:cs="Times New Roman"/>
          <w:b/>
          <w:bCs/>
          <w:lang w:val="lt-LT"/>
        </w:rPr>
      </w:pPr>
      <w:r>
        <w:rPr>
          <w:rFonts w:eastAsia="Times New Roman" w:cs="Times New Roman"/>
          <w:b/>
          <w:bCs/>
          <w:lang w:val="lt-LT"/>
        </w:rPr>
        <w:t>VI SKYRIUS</w:t>
      </w:r>
    </w:p>
    <w:p>
      <w:pPr>
        <w:pStyle w:val="Prastasis1"/>
        <w:tabs>
          <w:tab w:val="clear" w:pos="1296"/>
          <w:tab w:val="left" w:pos="851" w:leader="none"/>
          <w:tab w:val="left" w:pos="993" w:leader="none"/>
          <w:tab w:val="left" w:pos="1276" w:leader="none"/>
        </w:tabs>
        <w:spacing w:before="0" w:after="0"/>
        <w:jc w:val="center"/>
        <w:rPr>
          <w:rFonts w:eastAsia="Times New Roman" w:cs="Times New Roman"/>
          <w:b/>
          <w:bCs/>
          <w:color w:themeColor="text1" w:val="000000"/>
          <w:lang w:val="lt-LT"/>
        </w:rPr>
      </w:pPr>
      <w:r>
        <w:rPr>
          <w:rFonts w:eastAsia="Times New Roman" w:cs="Times New Roman"/>
          <w:b/>
          <w:bCs/>
          <w:color w:themeColor="text1" w:val="000000"/>
          <w:lang w:val="lt-LT"/>
        </w:rPr>
        <w:t>BENDRI REIKALAVIMAI PIRKIMUI</w:t>
      </w:r>
    </w:p>
    <w:p>
      <w:pPr>
        <w:pStyle w:val="Prastasis1"/>
        <w:tabs>
          <w:tab w:val="clear" w:pos="1296"/>
          <w:tab w:val="left" w:pos="851" w:leader="none"/>
          <w:tab w:val="left" w:pos="993" w:leader="none"/>
          <w:tab w:val="left" w:pos="1276" w:leader="none"/>
        </w:tabs>
        <w:spacing w:before="0" w:after="0"/>
        <w:jc w:val="center"/>
        <w:rPr>
          <w:rFonts w:eastAsia="Times New Roman" w:cs="Times New Roman"/>
          <w:b/>
          <w:bCs/>
          <w:color w:themeColor="text1" w:val="000000"/>
          <w:lang w:val="lt-LT"/>
        </w:rPr>
      </w:pPr>
      <w:r>
        <w:rPr>
          <w:rFonts w:eastAsia="Times New Roman" w:cs="Times New Roman"/>
          <w:b/>
          <w:bCs/>
          <w:color w:themeColor="text1" w:val="000000"/>
          <w:lang w:val="lt-LT"/>
        </w:rPr>
      </w:r>
    </w:p>
    <w:p>
      <w:pPr>
        <w:pStyle w:val="Standard"/>
        <w:widowControl w:val="false"/>
        <w:numPr>
          <w:ilvl w:val="0"/>
          <w:numId w:val="1"/>
        </w:numPr>
        <w:tabs>
          <w:tab w:val="clear" w:pos="1296"/>
          <w:tab w:val="left" w:pos="270" w:leader="none"/>
          <w:tab w:val="left" w:pos="540" w:leader="none"/>
          <w:tab w:val="left" w:pos="851" w:leader="none"/>
          <w:tab w:val="left" w:pos="993" w:leader="none"/>
        </w:tabs>
        <w:spacing w:lineRule="auto" w:line="276"/>
        <w:ind w:firstLine="851" w:left="0"/>
        <w:jc w:val="both"/>
        <w:rPr>
          <w:color w:themeColor="text1" w:val="000000"/>
        </w:rPr>
      </w:pPr>
      <w:r>
        <w:rPr>
          <w:color w:themeColor="text1" w:val="000000"/>
        </w:rPr>
        <w:t>Tiekėjas turi paskirti atsakingą asmenį, į kurį Perkančioji organizacija galėtų kreiptis dėl teikiamos Paslaugos.</w:t>
      </w:r>
      <w:r>
        <w:rPr/>
        <w:t xml:space="preserve"> </w:t>
      </w:r>
    </w:p>
    <w:p>
      <w:pPr>
        <w:pStyle w:val="Prastasis1"/>
        <w:widowControl/>
        <w:numPr>
          <w:ilvl w:val="0"/>
          <w:numId w:val="1"/>
        </w:numPr>
        <w:tabs>
          <w:tab w:val="clear" w:pos="1296"/>
          <w:tab w:val="left" w:pos="851" w:leader="none"/>
          <w:tab w:val="left" w:pos="993" w:leader="none"/>
          <w:tab w:val="left" w:pos="1134" w:leader="none"/>
        </w:tabs>
        <w:suppressAutoHyphens w:val="false"/>
        <w:spacing w:before="0" w:after="0"/>
        <w:ind w:firstLine="851" w:left="0"/>
        <w:contextualSpacing/>
        <w:jc w:val="both"/>
        <w:rPr>
          <w:rFonts w:eastAsia="Times New Roman" w:cs="Times New Roman"/>
          <w:color w:val="auto"/>
          <w:lang w:val="lt-LT"/>
        </w:rPr>
      </w:pPr>
      <w:r>
        <w:rPr>
          <w:rFonts w:eastAsia="Times New Roman" w:cs="Times New Roman"/>
          <w:color w:val="auto"/>
          <w:lang w:val="lt-LT"/>
        </w:rPr>
        <w:t xml:space="preserve">Jeigu tiekėjas, teikdamas Paslaugą, pasinaudoja trečiųjų asmenų intelektine nuosavybe, įskaitant, bet </w:t>
      </w:r>
      <w:r>
        <w:rPr>
          <w:rFonts w:eastAsia="Times New Roman" w:cs="Times New Roman"/>
          <w:lang w:val="lt-LT"/>
        </w:rPr>
        <w:t>tuo neapsiribojant, autorių teises, licencijas, patentus, brėžinius, modelius, prekių ženklus, kuri integruojama ar kitaip susiejama su Paslaugų rezultatu, tai teikėjas užtikrina ir garantuoja savo sąskaita, kad nebus pažeistos šių trečiųjų asmenų teisės.</w:t>
      </w:r>
    </w:p>
    <w:p>
      <w:pPr>
        <w:pStyle w:val="Prastasis1"/>
        <w:widowControl/>
        <w:numPr>
          <w:ilvl w:val="0"/>
          <w:numId w:val="1"/>
        </w:numPr>
        <w:tabs>
          <w:tab w:val="clear" w:pos="1296"/>
          <w:tab w:val="left" w:pos="851" w:leader="none"/>
          <w:tab w:val="left" w:pos="993" w:leader="none"/>
          <w:tab w:val="left" w:pos="1134" w:leader="none"/>
        </w:tabs>
        <w:suppressAutoHyphens w:val="false"/>
        <w:spacing w:before="0" w:after="0"/>
        <w:ind w:firstLine="851" w:left="0"/>
        <w:contextualSpacing/>
        <w:jc w:val="both"/>
        <w:rPr>
          <w:rFonts w:eastAsia="Times New Roman" w:cs="Times New Roman"/>
          <w:lang w:val="lt-LT"/>
        </w:rPr>
      </w:pPr>
      <w:r>
        <w:rPr>
          <w:rFonts w:eastAsia="Times New Roman" w:cs="Times New Roman"/>
          <w:lang w:val="lt-LT"/>
        </w:rPr>
        <w:t>Tiekėjas užtikrina ir atsako, kad jo suteiktos Paslaugos ir jų rezultatas nepažeis trečiųjų asmenų intelektinės nuosavybės teisių ir, kad Perkančioji organizacija nepatirs jokių teisinių išlaidų ar nuostolių dėl reikalavimų arba įsipareigojimų, susijusių su intelektinės nuosavybės teisėmis į Sutarties dalyką.</w:t>
      </w:r>
    </w:p>
    <w:p>
      <w:pPr>
        <w:pStyle w:val="Prastasis1"/>
        <w:widowControl/>
        <w:numPr>
          <w:ilvl w:val="0"/>
          <w:numId w:val="1"/>
        </w:numPr>
        <w:tabs>
          <w:tab w:val="clear" w:pos="1296"/>
          <w:tab w:val="left" w:pos="851" w:leader="none"/>
          <w:tab w:val="left" w:pos="993" w:leader="none"/>
          <w:tab w:val="left" w:pos="1134" w:leader="none"/>
        </w:tabs>
        <w:suppressAutoHyphens w:val="false"/>
        <w:spacing w:before="0" w:after="0"/>
        <w:ind w:firstLine="851" w:left="0"/>
        <w:contextualSpacing/>
        <w:jc w:val="both"/>
        <w:rPr>
          <w:rFonts w:eastAsia="Times New Roman" w:cs="Times New Roman"/>
          <w:lang w:val="lt-LT"/>
        </w:rPr>
      </w:pPr>
      <w:r>
        <w:rPr>
          <w:rFonts w:eastAsia="Times New Roman" w:cs="Times New Roman"/>
          <w:lang w:val="lt-LT"/>
        </w:rPr>
        <w:t>Paslauga bus laikoma suteikta tinkamai Perkančiajai organizacijai pasirašius Paslaugų priėmimo–perdavimo aktą.</w:t>
      </w:r>
    </w:p>
    <w:p>
      <w:pPr>
        <w:pStyle w:val="Standard"/>
        <w:widowControl w:val="false"/>
        <w:numPr>
          <w:ilvl w:val="0"/>
          <w:numId w:val="1"/>
        </w:numPr>
        <w:tabs>
          <w:tab w:val="clear" w:pos="1296"/>
          <w:tab w:val="left" w:pos="540" w:leader="none"/>
          <w:tab w:val="left" w:pos="851" w:leader="none"/>
          <w:tab w:val="left" w:pos="993" w:leader="none"/>
        </w:tabs>
        <w:spacing w:lineRule="auto" w:line="276"/>
        <w:ind w:firstLine="851" w:left="0"/>
        <w:jc w:val="both"/>
        <w:rPr>
          <w:color w:themeColor="text1" w:val="000000"/>
        </w:rPr>
      </w:pPr>
      <w:r>
        <w:rPr/>
        <w:t xml:space="preserve">Nuo Perkančiosios organizacijos galutinio atsiskaitymo su Tiekėju dienos sukurtos Paslaugos intelektinė nuosavybė perduodama Perkančiajai organizacijai neterminuotai ir su galimybe jomis naudotis be apribojimų. Perkančiajai organizacijai suteikiama teisė naudotis minėtais rezultatais bet kokia forma, daryti kopijas, platinti, daryti pakeitimus ar kitaip disponuoti. Tiekėjas patvirtina, kad perduotos autorių turtinės teisės į jo sukurtus paslaugų rezultatus yra įskaičiuotos į pateikto pasiūlymo kainą už suteiktas paslaugas. </w:t>
      </w:r>
    </w:p>
    <w:p>
      <w:pPr>
        <w:pStyle w:val="ListParagraph"/>
        <w:numPr>
          <w:ilvl w:val="0"/>
          <w:numId w:val="1"/>
        </w:numPr>
        <w:tabs>
          <w:tab w:val="clear" w:pos="1296"/>
          <w:tab w:val="left" w:pos="180" w:leader="none"/>
          <w:tab w:val="left" w:pos="426" w:leader="none"/>
          <w:tab w:val="left" w:pos="567" w:leader="none"/>
          <w:tab w:val="left" w:pos="993" w:leader="none"/>
          <w:tab w:val="left" w:pos="1134" w:leader="none"/>
          <w:tab w:val="left" w:pos="1418" w:leader="none"/>
          <w:tab w:val="left" w:pos="2410" w:leader="none"/>
          <w:tab w:val="left" w:pos="3402" w:leader="none"/>
          <w:tab w:val="left" w:pos="3969" w:leader="none"/>
          <w:tab w:val="center" w:pos="4819" w:leader="none"/>
          <w:tab w:val="right" w:pos="9638" w:leader="none"/>
        </w:tabs>
        <w:suppressAutoHyphens w:val="true"/>
        <w:spacing w:lineRule="auto" w:line="276"/>
        <w:ind w:firstLine="851" w:left="0"/>
        <w:jc w:val="both"/>
        <w:textAlignment w:val="baseline"/>
        <w:rPr>
          <w:rFonts w:cs="Times New Roman"/>
        </w:rPr>
      </w:pPr>
      <w:r>
        <w:rPr>
          <w:rFonts w:cs="Times New Roman"/>
        </w:rPr>
        <w:t xml:space="preserve">Minimalūs aplinkos apsaugos kriterijai, kurie taikomi paslaugoms - vadovaujantis Aplinkos apsaugos kriterijų taikymo, vykdant žaliuosius pirkimus, tvarkos </w:t>
      </w:r>
      <w:r>
        <w:rPr>
          <w:rFonts w:cs="Times New Roman"/>
          <w:color w:themeColor="text1" w:val="000000"/>
        </w:rPr>
        <w:t>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p>
    <w:p>
      <w:pPr>
        <w:pStyle w:val="Normal"/>
        <w:tabs>
          <w:tab w:val="clear" w:pos="1296"/>
          <w:tab w:val="left" w:pos="0" w:leader="none"/>
          <w:tab w:val="left" w:pos="180" w:leader="none"/>
          <w:tab w:val="left" w:pos="426" w:leader="none"/>
          <w:tab w:val="left" w:pos="567" w:leader="none"/>
          <w:tab w:val="left" w:pos="993" w:leader="none"/>
          <w:tab w:val="left" w:pos="1134" w:leader="none"/>
          <w:tab w:val="left" w:pos="1418" w:leader="none"/>
          <w:tab w:val="left" w:pos="2410" w:leader="none"/>
          <w:tab w:val="left" w:pos="3402" w:leader="none"/>
          <w:tab w:val="left" w:pos="3969" w:leader="none"/>
          <w:tab w:val="center" w:pos="4819" w:leader="none"/>
          <w:tab w:val="right" w:pos="9638" w:leader="none"/>
        </w:tabs>
        <w:suppressAutoHyphens w:val="true"/>
        <w:spacing w:lineRule="auto" w:line="276"/>
        <w:ind w:firstLine="851"/>
        <w:jc w:val="both"/>
        <w:textAlignment w:val="baseline"/>
        <w:rPr>
          <w:rFonts w:cs="Times New Roman"/>
          <w:szCs w:val="24"/>
        </w:rPr>
      </w:pPr>
      <w:r>
        <w:rPr>
          <w:rFonts w:cs="Times New Roman"/>
          <w:szCs w:val="24"/>
        </w:rPr>
      </w:r>
    </w:p>
    <w:p>
      <w:pPr>
        <w:pStyle w:val="Normal"/>
        <w:spacing w:lineRule="auto" w:line="276"/>
        <w:jc w:val="center"/>
        <w:rPr>
          <w:rFonts w:cs="Times New Roman"/>
          <w:b/>
          <w:bCs/>
          <w:szCs w:val="24"/>
        </w:rPr>
      </w:pPr>
      <w:r>
        <w:rPr>
          <w:rFonts w:cs="Times New Roman"/>
          <w:b/>
          <w:bCs/>
          <w:szCs w:val="24"/>
        </w:rPr>
        <w:t>VII SKYRIUS</w:t>
      </w:r>
    </w:p>
    <w:p>
      <w:pPr>
        <w:pStyle w:val="Normal"/>
        <w:spacing w:lineRule="auto" w:line="276"/>
        <w:jc w:val="center"/>
        <w:rPr>
          <w:rFonts w:cs="Times New Roman"/>
          <w:b/>
          <w:bCs/>
          <w:szCs w:val="24"/>
        </w:rPr>
      </w:pPr>
      <w:r>
        <w:rPr>
          <w:rFonts w:cs="Times New Roman"/>
          <w:b/>
          <w:bCs/>
          <w:szCs w:val="24"/>
        </w:rPr>
        <w:t>ASMENS DUOMENŲ TVARKYMAS</w:t>
      </w:r>
    </w:p>
    <w:p>
      <w:pPr>
        <w:pStyle w:val="Normal"/>
        <w:spacing w:lineRule="auto" w:line="276"/>
        <w:ind w:firstLine="851"/>
        <w:jc w:val="center"/>
        <w:rPr>
          <w:rFonts w:cs="Times New Roman"/>
          <w:b/>
          <w:bCs/>
          <w:sz w:val="20"/>
          <w:szCs w:val="20"/>
        </w:rPr>
      </w:pPr>
      <w:r>
        <w:rPr>
          <w:rFonts w:cs="Times New Roman"/>
          <w:b/>
          <w:bCs/>
          <w:sz w:val="20"/>
          <w:szCs w:val="20"/>
        </w:rPr>
      </w:r>
    </w:p>
    <w:p>
      <w:pPr>
        <w:pStyle w:val="ListParagraph"/>
        <w:numPr>
          <w:ilvl w:val="0"/>
          <w:numId w:val="1"/>
        </w:numPr>
        <w:tabs>
          <w:tab w:val="clear" w:pos="1296"/>
          <w:tab w:val="left" w:pos="284" w:leader="none"/>
          <w:tab w:val="left" w:pos="426" w:leader="none"/>
          <w:tab w:val="left" w:pos="993" w:leader="none"/>
        </w:tabs>
        <w:spacing w:lineRule="auto" w:line="276"/>
        <w:ind w:firstLine="851" w:left="0"/>
        <w:jc w:val="both"/>
        <w:rPr>
          <w:rFonts w:cs="Times New Roman"/>
        </w:rPr>
      </w:pPr>
      <w:r>
        <w:rPr>
          <w:rFonts w:cs="Times New Roman"/>
        </w:rPr>
        <w:t>Perkančioji organizacija, kaip duomenų valdytojas, tvarkys pasiūlyme nurodytus bei pirkimo procedūrų metu iš Tiekėjo gautus duomenų subjektų – fizinių asmenų –Tiekėjo arba jo įgaliotų asmenų, darbuotojų, subtiekėjų, partnerių, kitų asmenų duomenis (vardas, pavardė, pareigos, telefono ryšio numeris, elektroninio pašto adresas, atitiktį kvalifikaciniams reikalavimams patvirtinantys duomenys, kiti Perkančiajai organizacijai Tiekėjo pateikti būtini duomenys) viešųjų pirkimų organizavimo ir vykdymo tikslu vadovaudamasi Reglamento (ES) 2016/679 6 straipsnio 1 dalies c punktu, įgyvendindama pareigas, įtvirtintas Lietuvos Respublikos viešųjų pirkimų įstatyme ir kituose viešuosius pirkimus reglamentuojančiuose teisės aktuose, bei saugos juos pirkimų organizavimo ir vykdymo laikotarpiu bei 10 metų pirkimo procedūroms pasibaigus.</w:t>
      </w:r>
    </w:p>
    <w:p>
      <w:pPr>
        <w:pStyle w:val="ListParagraph"/>
        <w:numPr>
          <w:ilvl w:val="0"/>
          <w:numId w:val="1"/>
        </w:numPr>
        <w:tabs>
          <w:tab w:val="clear" w:pos="1296"/>
          <w:tab w:val="left" w:pos="284" w:leader="none"/>
          <w:tab w:val="left" w:pos="426" w:leader="none"/>
          <w:tab w:val="left" w:pos="993" w:leader="none"/>
        </w:tabs>
        <w:spacing w:lineRule="auto" w:line="276"/>
        <w:ind w:firstLine="851" w:left="0"/>
        <w:jc w:val="both"/>
        <w:rPr>
          <w:rFonts w:cs="Times New Roman"/>
        </w:rPr>
      </w:pPr>
      <w:r>
        <w:rPr>
          <w:rFonts w:cs="Times New Roman"/>
        </w:rPr>
        <w:t>Perkančioji organizacija tvarkys Tiekėjo, kurio pasiūlymas bus pripažintas laimėjusiu ir su kuriuo bus sudaryta Sutartis, pateiktus fizinių asmenų – Tiekėjo arba jo įgaliotų asmenų, darbuotojų,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cs="Times New Roman"/>
        </w:rPr>
      </w:pPr>
      <w:r>
        <w:rPr>
          <w:rFonts w:cs="Times New Roman"/>
        </w:rPr>
        <w:t>Kilus ginčams dėl viešųjų pirkimų organizavimo ar Sutarties vykdymo, Perkančioji organizacija gali tvarkyti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cs="Times New Roman"/>
        </w:rPr>
      </w:pPr>
      <w:r>
        <w:rPr>
          <w:rFonts w:cs="Times New Roman"/>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cs="Times New Roman"/>
        </w:rPr>
      </w:pPr>
      <w:r>
        <w:rPr>
          <w:rFonts w:cs="Times New Roman"/>
        </w:rPr>
        <w:t>Tuo atveju, kai nurodytų asmenų duomenys bus pateikiami finansiniuose dokumentuose, Perkančioji organizacija juos tvarkys finansinės apskaitos tikslu  vadovaudamasi Reglamento (ES) 2016/679 6 straipsnio 1 dalies c punktu, įgyvendindama pareigas, įtvirtintas Lietuvos Respublikos finansinės apskaitos įstatyme, kituose teisės aktuose.</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cs="Times New Roman"/>
        </w:rPr>
      </w:pPr>
      <w:r>
        <w:rPr>
          <w:rFonts w:cs="Times New Roman"/>
        </w:rPr>
        <w:t>Asmens duomenų pateikimas yra privalomas. Nepateikus asmens duomenų Tiekėjo pasiūlymas negalės būti vertinamas bei nebus galima sudaryti ir vykdyti Sutarties.</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cs="Times New Roman"/>
        </w:rPr>
      </w:pPr>
      <w:r>
        <w:rPr>
          <w:rFonts w:cs="Times New Roman"/>
        </w:rPr>
        <w:t xml:space="preserve">Asmens duomenis Perkančioji organizacija gali teikti Viešųjų pirkimų tarnybai, teismams, kitoms ginčus nagrinėjančioms institucijoms, bankams ar kitoms mokėjimo įstaigoms (atliekant mokėjimus už paslaugas), paslaugų teikėjams, teikiantiems Perkančiajai organizacijai informacinių technologijų infrastruktūros, programinės įrangos ir jų priežiūros bei administravimo, elektroninių ryšių, auditorių, teisines, konsultavimo, duomenų apsaugos pareigūno bei kitas paslaugas. Laimėjusio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709" w:left="0"/>
        <w:jc w:val="both"/>
        <w:rPr>
          <w:rFonts w:cs="Times New Roman"/>
        </w:rPr>
      </w:pPr>
      <w:r>
        <w:rPr>
          <w:rFonts w:cs="Times New Roman"/>
        </w:rPr>
        <w:t xml:space="preserve">Duomenų subjektai – fiziniai asmenys – Tiekėjas arba jo įgalioti asmenys, darbuotojai, subtiekėjai, partneriai, kiti asmenys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Perkančiosios organizacijos intereso; 7) teisę į duomenų perkeliamumą, tuo atveju, kai asmens duomenys tvarkomi sutarties sudarymo ir vykdymo pagrindu; 8) teisę pateikti skundą Valstybinei duomenų apsaugos inspekcijai, kurios kontaktai skelbiami čia: </w:t>
      </w:r>
      <w:hyperlink r:id="rId2">
        <w:r>
          <w:rPr>
            <w:rStyle w:val="Hyperlink"/>
            <w:rFonts w:cs="Times New Roman"/>
            <w:u w:val="none"/>
          </w:rPr>
          <w:t>https://vdai.lrv.lt/</w:t>
        </w:r>
      </w:hyperlink>
      <w:r>
        <w:rPr>
          <w:rFonts w:cs="Times New Roman"/>
        </w:rPr>
        <w:t xml:space="preserve">. </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709" w:left="0"/>
        <w:jc w:val="both"/>
        <w:rPr>
          <w:rFonts w:cs="Times New Roman"/>
        </w:rPr>
      </w:pPr>
      <w:r>
        <w:rPr>
          <w:rFonts w:cs="Times New Roman"/>
        </w:rPr>
        <w:t xml:space="preserve">Duomenų subjektai prašymus dėl aukščiau nurodytų savo teisių įgyvendinimo, taip pat kitus skundus/prašymus dėl asmens duomenų tvarkymo gali pateikti Perkančiajai organizacijai paštu adresu Studentų g. 45A, Vilnius, el. paštu </w:t>
      </w:r>
      <w:hyperlink r:id="rId3">
        <w:r>
          <w:rPr>
            <w:rStyle w:val="Hyperlink"/>
            <w:rFonts w:cs="Times New Roman"/>
            <w:u w:val="none"/>
          </w:rPr>
          <w:t>institutas@hi.lt</w:t>
        </w:r>
      </w:hyperlink>
      <w:r>
        <w:rPr>
          <w:rFonts w:cs="Times New Roman"/>
        </w:rPr>
        <w:t xml:space="preserve"> arba jos duomenų apsaugos pareigūnui el. paštu info@adaekspertai.lt. </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709" w:left="0"/>
        <w:jc w:val="both"/>
        <w:rPr>
          <w:rFonts w:cs="Times New Roman"/>
        </w:rPr>
      </w:pPr>
      <w:r>
        <w:rPr>
          <w:rFonts w:cs="Times New Roman"/>
        </w:rPr>
        <w:t>Daugiau informacijos apie Perkančiosios organizacijos atliekamą asmens duomenų tvarkymą galima rasti jos interneto svetainėje adresu https://www.hi.lt/asmens-duomenu-apsauga/.</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709" w:left="0"/>
        <w:jc w:val="both"/>
        <w:rPr>
          <w:rFonts w:cs="Times New Roman"/>
        </w:rPr>
      </w:pPr>
      <w:r>
        <w:rPr>
          <w:rFonts w:cs="Times New Roman"/>
        </w:rPr>
        <w:t xml:space="preserve">Tiekėjas, prieš teikdamas pasiūlymą ir prieš sudarydamas Sutartį, nurodytus fizinius asmenis privalo supažindinti su 32-41 punktuose pateikta informacija apie Perkančiosios organizacijos vykdomą asmens duomenų tvarkymą. </w:t>
      </w:r>
    </w:p>
    <w:p>
      <w:pPr>
        <w:pStyle w:val="Normal"/>
        <w:spacing w:lineRule="auto" w:line="276"/>
        <w:jc w:val="center"/>
        <w:rPr>
          <w:szCs w:val="24"/>
        </w:rPr>
      </w:pPr>
      <w:r>
        <w:rPr>
          <w:szCs w:val="24"/>
        </w:rPr>
        <w:t>___________________</w:t>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alibri">
    <w:charset w:val="00"/>
    <w:family w:val="roman"/>
    <w:pitch w:val="variable"/>
  </w:font>
  <w:font w:name="Liberation Sans">
    <w:altName w:val="Arial"/>
    <w:charset w:val="00"/>
    <w:family w:val="swiss"/>
    <w:pitch w:val="variable"/>
  </w:font>
  <w:font w:name="Apto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11" w:hanging="360"/>
      </w:pPr>
      <w:rPr>
        <w:color w:val="auto"/>
      </w:rPr>
    </w:lvl>
    <w:lvl w:ilvl="1">
      <w:start w:val="1"/>
      <w:numFmt w:val="decimal"/>
      <w:lvlText w:val="%1.%2."/>
      <w:lvlJc w:val="left"/>
      <w:pPr>
        <w:tabs>
          <w:tab w:val="num" w:pos="0"/>
        </w:tabs>
        <w:ind w:left="1931" w:hanging="360"/>
      </w:pPr>
      <w:rPr/>
    </w:lvl>
    <w:lvl w:ilvl="2">
      <w:start w:val="1"/>
      <w:numFmt w:val="decimal"/>
      <w:lvlText w:val="%1.%2.%3."/>
      <w:lvlJc w:val="left"/>
      <w:pPr>
        <w:tabs>
          <w:tab w:val="num" w:pos="0"/>
        </w:tabs>
        <w:ind w:left="2651" w:hanging="180"/>
      </w:pPr>
      <w:rPr/>
    </w:lvl>
    <w:lvl w:ilvl="3">
      <w:start w:val="1"/>
      <w:numFmt w:val="decimal"/>
      <w:lvlText w:val="%1.%2.%3.%4."/>
      <w:lvlJc w:val="left"/>
      <w:pPr>
        <w:tabs>
          <w:tab w:val="num" w:pos="0"/>
        </w:tabs>
        <w:ind w:left="3371" w:hanging="360"/>
      </w:pPr>
      <w:rPr/>
    </w:lvl>
    <w:lvl w:ilvl="4">
      <w:start w:val="1"/>
      <w:numFmt w:val="decimal"/>
      <w:lvlText w:val="%1.%2.%3.%4.%5."/>
      <w:lvlJc w:val="left"/>
      <w:pPr>
        <w:tabs>
          <w:tab w:val="num" w:pos="0"/>
        </w:tabs>
        <w:ind w:left="4091" w:hanging="360"/>
      </w:pPr>
      <w:rPr/>
    </w:lvl>
    <w:lvl w:ilvl="5">
      <w:start w:val="1"/>
      <w:numFmt w:val="decimal"/>
      <w:lvlText w:val="%1.%2.%3.%4.%5.%6."/>
      <w:lvlJc w:val="left"/>
      <w:pPr>
        <w:tabs>
          <w:tab w:val="num" w:pos="0"/>
        </w:tabs>
        <w:ind w:left="4811" w:hanging="180"/>
      </w:pPr>
      <w:rPr/>
    </w:lvl>
    <w:lvl w:ilvl="6">
      <w:start w:val="1"/>
      <w:numFmt w:val="decimal"/>
      <w:lvlText w:val="%1.%2.%3.%4.%5.%6.%7."/>
      <w:lvlJc w:val="left"/>
      <w:pPr>
        <w:tabs>
          <w:tab w:val="num" w:pos="0"/>
        </w:tabs>
        <w:ind w:left="5531" w:hanging="360"/>
      </w:pPr>
      <w:rPr/>
    </w:lvl>
    <w:lvl w:ilvl="7">
      <w:start w:val="1"/>
      <w:numFmt w:val="decimal"/>
      <w:lvlText w:val="%1.%2.%3.%4.%5.%6.%7.%8."/>
      <w:lvlJc w:val="left"/>
      <w:pPr>
        <w:tabs>
          <w:tab w:val="num" w:pos="0"/>
        </w:tabs>
        <w:ind w:left="6251" w:hanging="360"/>
      </w:pPr>
      <w:rPr/>
    </w:lvl>
    <w:lvl w:ilvl="8">
      <w:start w:val="1"/>
      <w:numFmt w:val="decimal"/>
      <w:lvlText w:val="%1.%2.%3.%4.%5.%6.%7.%8.%9."/>
      <w:lvlJc w:val="left"/>
      <w:pPr>
        <w:tabs>
          <w:tab w:val="num" w:pos="0"/>
        </w:tabs>
        <w:ind w:left="6971" w:hanging="180"/>
      </w:pPr>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kern w:val="2"/>
        <w:sz w:val="24"/>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59de"/>
    <w:pPr>
      <w:widowControl/>
      <w:bidi w:val="0"/>
      <w:spacing w:before="0" w:after="0"/>
      <w:jc w:val="left"/>
    </w:pPr>
    <w:rPr>
      <w:rFonts w:ascii="Times New Roman" w:hAnsi="Times New Roman" w:eastAsia="Calibri" w:cs="" w:cstheme="minorBidi" w:eastAsiaTheme="minorHAnsi"/>
      <w:color w:val="auto"/>
      <w:kern w:val="2"/>
      <w:sz w:val="24"/>
      <w:szCs w:val="22"/>
      <w:lang w:val="lt-LT" w:eastAsia="en-US" w:bidi="ar-SA"/>
      <w14:ligatures w14:val="standardContextual"/>
    </w:rPr>
  </w:style>
  <w:style w:type="paragraph" w:styleId="Heading1">
    <w:name w:val="Heading 1"/>
    <w:basedOn w:val="Normal"/>
    <w:next w:val="Normal"/>
    <w:link w:val="Heading1Char"/>
    <w:uiPriority w:val="9"/>
    <w:qFormat/>
    <w:rsid w:val="00a61bac"/>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a61bac"/>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a61bac"/>
    <w:pPr>
      <w:keepNext w:val="true"/>
      <w:keepLines/>
      <w:spacing w:before="160" w:after="80"/>
      <w:outlineLvl w:val="2"/>
    </w:pPr>
    <w:rPr>
      <w:rFonts w:ascii="Calibri" w:hAnsi="Calibri" w:eastAsia="" w:cs="" w:asciiTheme="minorHAnsi" w:cstheme="majorBidi" w:eastAsiaTheme="majorEastAsia" w:hAnsiTheme="minorHAnsi"/>
      <w:color w:themeColor="accent1" w:themeShade="bf" w:val="2F5496"/>
      <w:sz w:val="28"/>
      <w:szCs w:val="28"/>
    </w:rPr>
  </w:style>
  <w:style w:type="paragraph" w:styleId="Heading4">
    <w:name w:val="Heading 4"/>
    <w:basedOn w:val="Normal"/>
    <w:next w:val="Normal"/>
    <w:link w:val="Heading4Char"/>
    <w:uiPriority w:val="9"/>
    <w:semiHidden/>
    <w:unhideWhenUsed/>
    <w:qFormat/>
    <w:rsid w:val="00a61bac"/>
    <w:pPr>
      <w:keepNext w:val="true"/>
      <w:keepLines/>
      <w:spacing w:before="80" w:after="40"/>
      <w:outlineLvl w:val="3"/>
    </w:pPr>
    <w:rPr>
      <w:rFonts w:ascii="Calibri" w:hAnsi="Calibri" w:eastAsia="" w:cs="" w:asciiTheme="minorHAnsi" w:cstheme="majorBidi" w:eastAsiaTheme="majorEastAsia" w:hAnsiTheme="minorHAnsi"/>
      <w:i/>
      <w:iCs/>
      <w:color w:themeColor="accent1" w:themeShade="bf" w:val="2F5496"/>
    </w:rPr>
  </w:style>
  <w:style w:type="paragraph" w:styleId="Heading5">
    <w:name w:val="Heading 5"/>
    <w:basedOn w:val="Normal"/>
    <w:next w:val="Normal"/>
    <w:link w:val="Heading5Char"/>
    <w:uiPriority w:val="9"/>
    <w:semiHidden/>
    <w:unhideWhenUsed/>
    <w:qFormat/>
    <w:rsid w:val="00a61bac"/>
    <w:pPr>
      <w:keepNext w:val="true"/>
      <w:keepLines/>
      <w:spacing w:before="80" w:after="40"/>
      <w:outlineLvl w:val="4"/>
    </w:pPr>
    <w:rPr>
      <w:rFonts w:ascii="Calibri" w:hAnsi="Calibri" w:eastAsia="" w:cs="" w:asciiTheme="minorHAnsi" w:cstheme="majorBidi" w:eastAsiaTheme="majorEastAsia" w:hAnsiTheme="minorHAnsi"/>
      <w:color w:themeColor="accent1" w:themeShade="bf" w:val="2F5496"/>
    </w:rPr>
  </w:style>
  <w:style w:type="paragraph" w:styleId="Heading6">
    <w:name w:val="Heading 6"/>
    <w:basedOn w:val="Normal"/>
    <w:next w:val="Normal"/>
    <w:link w:val="Heading6Char"/>
    <w:uiPriority w:val="9"/>
    <w:semiHidden/>
    <w:unhideWhenUsed/>
    <w:qFormat/>
    <w:rsid w:val="00a61bac"/>
    <w:pPr>
      <w:keepNext w:val="true"/>
      <w:keepLines/>
      <w:spacing w:before="40" w:after="0"/>
      <w:outlineLvl w:val="5"/>
    </w:pPr>
    <w:rPr>
      <w:rFonts w:ascii="Calibri" w:hAnsi="Calibri"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a61bac"/>
    <w:pPr>
      <w:keepNext w:val="true"/>
      <w:keepLines/>
      <w:spacing w:before="40" w:after="0"/>
      <w:outlineLvl w:val="6"/>
    </w:pPr>
    <w:rPr>
      <w:rFonts w:ascii="Calibri" w:hAnsi="Calibri"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a61bac"/>
    <w:pPr>
      <w:keepNext w:val="true"/>
      <w:keepLines/>
      <w:outlineLvl w:val="7"/>
    </w:pPr>
    <w:rPr>
      <w:rFonts w:ascii="Calibri" w:hAnsi="Calibri"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a61bac"/>
    <w:pPr>
      <w:keepNext w:val="true"/>
      <w:keepLines/>
      <w:outlineLvl w:val="8"/>
    </w:pPr>
    <w:rPr>
      <w:rFonts w:ascii="Calibri" w:hAnsi="Calibri"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a61bac"/>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a61bac"/>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a61bac"/>
    <w:rPr>
      <w:rFonts w:ascii="Calibri" w:hAnsi="Calibri" w:eastAsia="" w:cs="" w:asciiTheme="minorHAnsi" w:cstheme="majorBidi" w:eastAsiaTheme="majorEastAsia" w:hAnsiTheme="minorHAnsi"/>
      <w:color w:themeColor="accent1" w:themeShade="bf" w:val="2F5496"/>
      <w:sz w:val="28"/>
      <w:szCs w:val="28"/>
    </w:rPr>
  </w:style>
  <w:style w:type="character" w:styleId="Heading4Char" w:customStyle="1">
    <w:name w:val="Heading 4 Char"/>
    <w:basedOn w:val="DefaultParagraphFont"/>
    <w:link w:val="Heading4"/>
    <w:uiPriority w:val="9"/>
    <w:semiHidden/>
    <w:qFormat/>
    <w:rsid w:val="00a61bac"/>
    <w:rPr>
      <w:rFonts w:ascii="Calibri" w:hAnsi="Calibri" w:eastAsia="" w:cs="" w:asciiTheme="minorHAnsi" w:cstheme="majorBidi" w:eastAsiaTheme="majorEastAsia" w:hAnsiTheme="minorHAnsi"/>
      <w:i/>
      <w:iCs/>
      <w:color w:themeColor="accent1" w:themeShade="bf" w:val="2F5496"/>
    </w:rPr>
  </w:style>
  <w:style w:type="character" w:styleId="Heading5Char" w:customStyle="1">
    <w:name w:val="Heading 5 Char"/>
    <w:basedOn w:val="DefaultParagraphFont"/>
    <w:link w:val="Heading5"/>
    <w:uiPriority w:val="9"/>
    <w:semiHidden/>
    <w:qFormat/>
    <w:rsid w:val="00a61bac"/>
    <w:rPr>
      <w:rFonts w:ascii="Calibri" w:hAnsi="Calibri" w:eastAsia="" w:cs="" w:asciiTheme="minorHAnsi" w:cstheme="majorBidi" w:eastAsiaTheme="majorEastAsia" w:hAnsiTheme="minorHAnsi"/>
      <w:color w:themeColor="accent1" w:themeShade="bf" w:val="2F5496"/>
    </w:rPr>
  </w:style>
  <w:style w:type="character" w:styleId="Heading6Char" w:customStyle="1">
    <w:name w:val="Heading 6 Char"/>
    <w:basedOn w:val="DefaultParagraphFont"/>
    <w:link w:val="Heading6"/>
    <w:uiPriority w:val="9"/>
    <w:semiHidden/>
    <w:qFormat/>
    <w:rsid w:val="00a61bac"/>
    <w:rPr>
      <w:rFonts w:ascii="Calibri" w:hAnsi="Calibri" w:eastAsia="" w:cs="" w:asciiTheme="minorHAnsi" w:cstheme="majorBidi" w:eastAsiaTheme="majorEastAsia" w:hAnsiTheme="minorHAnsi"/>
      <w:i/>
      <w:iCs/>
      <w:color w:themeColor="text1" w:themeTint="a6" w:val="595959"/>
    </w:rPr>
  </w:style>
  <w:style w:type="character" w:styleId="Heading7Char" w:customStyle="1">
    <w:name w:val="Heading 7 Char"/>
    <w:basedOn w:val="DefaultParagraphFont"/>
    <w:link w:val="Heading7"/>
    <w:uiPriority w:val="9"/>
    <w:semiHidden/>
    <w:qFormat/>
    <w:rsid w:val="00a61bac"/>
    <w:rPr>
      <w:rFonts w:ascii="Calibri" w:hAnsi="Calibri" w:eastAsia="" w:cs="" w:asciiTheme="minorHAnsi" w:cstheme="majorBidi" w:eastAsiaTheme="majorEastAsia" w:hAnsiTheme="minorHAnsi"/>
      <w:color w:themeColor="text1" w:themeTint="a6" w:val="595959"/>
    </w:rPr>
  </w:style>
  <w:style w:type="character" w:styleId="Heading8Char" w:customStyle="1">
    <w:name w:val="Heading 8 Char"/>
    <w:basedOn w:val="DefaultParagraphFont"/>
    <w:link w:val="Heading8"/>
    <w:uiPriority w:val="9"/>
    <w:semiHidden/>
    <w:qFormat/>
    <w:rsid w:val="00a61bac"/>
    <w:rPr>
      <w:rFonts w:ascii="Calibri" w:hAnsi="Calibri" w:eastAsia="" w:cs="" w:asciiTheme="minorHAnsi" w:cstheme="majorBidi" w:eastAsiaTheme="majorEastAsia" w:hAnsiTheme="minorHAnsi"/>
      <w:i/>
      <w:iCs/>
      <w:color w:themeColor="text1" w:themeTint="d8" w:val="272727"/>
    </w:rPr>
  </w:style>
  <w:style w:type="character" w:styleId="Heading9Char" w:customStyle="1">
    <w:name w:val="Heading 9 Char"/>
    <w:basedOn w:val="DefaultParagraphFont"/>
    <w:link w:val="Heading9"/>
    <w:uiPriority w:val="9"/>
    <w:semiHidden/>
    <w:qFormat/>
    <w:rsid w:val="00a61bac"/>
    <w:rPr>
      <w:rFonts w:ascii="Calibri" w:hAnsi="Calibri" w:eastAsia="" w:cs="" w:asciiTheme="minorHAnsi" w:cstheme="majorBidi" w:eastAsiaTheme="majorEastAsia" w:hAnsiTheme="minorHAnsi"/>
      <w:color w:themeColor="text1" w:themeTint="d8" w:val="272727"/>
    </w:rPr>
  </w:style>
  <w:style w:type="character" w:styleId="TitleChar" w:customStyle="1">
    <w:name w:val="Title Char"/>
    <w:basedOn w:val="DefaultParagraphFont"/>
    <w:link w:val="Title"/>
    <w:uiPriority w:val="10"/>
    <w:qFormat/>
    <w:rsid w:val="00a61bac"/>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61bac"/>
    <w:rPr>
      <w:rFonts w:ascii="Calibri" w:hAnsi="Calibri" w:eastAsia="" w:cs="" w:asciiTheme="minorHAnsi" w:cstheme="majorBidi" w:eastAsiaTheme="majorEastAsia" w:hAnsiTheme="minorHAnsi"/>
      <w:color w:themeColor="text1" w:themeTint="a6" w:val="595959"/>
      <w:spacing w:val="15"/>
      <w:sz w:val="28"/>
      <w:szCs w:val="28"/>
    </w:rPr>
  </w:style>
  <w:style w:type="character" w:styleId="QuoteChar" w:customStyle="1">
    <w:name w:val="Quote Char"/>
    <w:basedOn w:val="DefaultParagraphFont"/>
    <w:link w:val="Quote"/>
    <w:uiPriority w:val="29"/>
    <w:qFormat/>
    <w:rsid w:val="00a61bac"/>
    <w:rPr>
      <w:i/>
      <w:iCs/>
      <w:color w:themeColor="text1" w:themeTint="bf" w:val="404040"/>
    </w:rPr>
  </w:style>
  <w:style w:type="character" w:styleId="IntenseEmphasis">
    <w:name w:val="Intense Emphasis"/>
    <w:basedOn w:val="DefaultParagraphFont"/>
    <w:uiPriority w:val="21"/>
    <w:qFormat/>
    <w:rsid w:val="00a61bac"/>
    <w:rPr>
      <w:i/>
      <w:iCs/>
      <w:color w:themeColor="accent1" w:themeShade="bf" w:val="2F5496"/>
    </w:rPr>
  </w:style>
  <w:style w:type="character" w:styleId="IntenseQuoteChar" w:customStyle="1">
    <w:name w:val="Intense Quote Char"/>
    <w:basedOn w:val="DefaultParagraphFont"/>
    <w:link w:val="IntenseQuote"/>
    <w:uiPriority w:val="30"/>
    <w:qFormat/>
    <w:rsid w:val="00a61bac"/>
    <w:rPr>
      <w:i/>
      <w:iCs/>
      <w:color w:themeColor="accent1" w:themeShade="bf" w:val="2F5496"/>
    </w:rPr>
  </w:style>
  <w:style w:type="character" w:styleId="IntenseReference">
    <w:name w:val="Intense Reference"/>
    <w:basedOn w:val="DefaultParagraphFont"/>
    <w:uiPriority w:val="32"/>
    <w:qFormat/>
    <w:rsid w:val="00a61bac"/>
    <w:rPr>
      <w:b/>
      <w:bCs/>
      <w:smallCaps/>
      <w:color w:themeColor="accent1" w:themeShade="bf" w:val="2F5496"/>
      <w:spacing w:val="5"/>
    </w:rPr>
  </w:style>
  <w:style w:type="character" w:styleId="Hyperlink">
    <w:name w:val="Hyperlink"/>
    <w:rsid w:val="00ea2e5f"/>
    <w:rPr>
      <w:u w:val="single"/>
    </w:rPr>
  </w:style>
  <w:style w:type="character" w:styleId="ListParagraphChar" w:customStyle="1">
    <w:name w:val="List Paragraph Char"/>
    <w:link w:val="ListParagraph"/>
    <w:uiPriority w:val="34"/>
    <w:qFormat/>
    <w:locked/>
    <w:rsid w:val="00ea2e5f"/>
    <w:rPr/>
  </w:style>
  <w:style w:type="character" w:styleId="Eop" w:customStyle="1">
    <w:name w:val="eop"/>
    <w:basedOn w:val="DefaultParagraphFont"/>
    <w:qFormat/>
    <w:rsid w:val="00ea2e5f"/>
    <w:rPr/>
  </w:style>
  <w:style w:type="character" w:styleId="CommentTextChar" w:customStyle="1">
    <w:name w:val="Comment Text Char"/>
    <w:basedOn w:val="DefaultParagraphFont"/>
    <w:link w:val="Annotationtext"/>
    <w:uiPriority w:val="99"/>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CommentSubjectChar" w:customStyle="1">
    <w:name w:val="Comment Subject Char"/>
    <w:basedOn w:val="CommentTextChar"/>
    <w:link w:val="Annotationsubject"/>
    <w:uiPriority w:val="99"/>
    <w:semiHidden/>
    <w:qFormat/>
    <w:rsid w:val="00a205bb"/>
    <w:rPr>
      <w:b/>
      <w:bCs/>
      <w:sz w:val="20"/>
      <w:szCs w:val="20"/>
    </w:rPr>
  </w:style>
  <w:style w:type="character" w:styleId="Normaltextrun" w:customStyle="1">
    <w:name w:val="normaltextrun"/>
    <w:basedOn w:val="DefaultParagraphFont"/>
    <w:qFormat/>
    <w:rsid w:val="002d23c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a61bac"/>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a61bac"/>
    <w:pPr>
      <w:spacing w:before="0" w:after="160"/>
    </w:pPr>
    <w:rPr>
      <w:rFonts w:ascii="Calibri" w:hAnsi="Calibri"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a61bac"/>
    <w:pPr>
      <w:spacing w:before="160" w:after="160"/>
      <w:jc w:val="center"/>
    </w:pPr>
    <w:rPr>
      <w:i/>
      <w:iCs/>
      <w:color w:themeColor="text1" w:themeTint="bf" w:val="404040"/>
    </w:rPr>
  </w:style>
  <w:style w:type="paragraph" w:styleId="ListParagraph">
    <w:name w:val="List Paragraph"/>
    <w:basedOn w:val="Normal"/>
    <w:link w:val="ListParagraphChar"/>
    <w:uiPriority w:val="34"/>
    <w:qFormat/>
    <w:rsid w:val="00a61bac"/>
    <w:pPr>
      <w:spacing w:before="0" w:after="0"/>
      <w:ind w:left="720"/>
      <w:contextualSpacing/>
    </w:pPr>
    <w:rPr/>
  </w:style>
  <w:style w:type="paragraph" w:styleId="IntenseQuote">
    <w:name w:val="Intense Quote"/>
    <w:basedOn w:val="Normal"/>
    <w:next w:val="Normal"/>
    <w:link w:val="IntenseQuoteChar"/>
    <w:uiPriority w:val="30"/>
    <w:qFormat/>
    <w:rsid w:val="00a61bac"/>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Standard" w:customStyle="1">
    <w:name w:val="Standard"/>
    <w:qFormat/>
    <w:rsid w:val="00ea2e5f"/>
    <w:pPr>
      <w:widowControl/>
      <w:suppressAutoHyphens w:val="true"/>
      <w:bidi w:val="0"/>
      <w:spacing w:before="0" w:after="0"/>
      <w:jc w:val="left"/>
    </w:pPr>
    <w:rPr>
      <w:rFonts w:eastAsia="Times New Roman" w:cs="Times New Roman" w:ascii="Times New Roman" w:hAnsi="Times New Roman"/>
      <w:color w:val="auto"/>
      <w:kern w:val="2"/>
      <w:sz w:val="24"/>
      <w:szCs w:val="24"/>
      <w:lang w:eastAsia="lt-LT" w:val="lt-LT" w:bidi="ar-SA"/>
      <w14:ligatures w14:val="none"/>
    </w:rPr>
  </w:style>
  <w:style w:type="paragraph" w:styleId="Prastasis1" w:customStyle="1">
    <w:name w:val="Įprastasis1"/>
    <w:qFormat/>
    <w:rsid w:val="00ea2e5f"/>
    <w:pPr>
      <w:widowControl w:val="false"/>
      <w:suppressAutoHyphens w:val="true"/>
      <w:bidi w:val="0"/>
      <w:spacing w:lineRule="auto" w:line="276" w:before="0" w:after="200"/>
      <w:jc w:val="left"/>
    </w:pPr>
    <w:rPr>
      <w:rFonts w:eastAsia="Calibri" w:cs="Calibri" w:ascii="Times New Roman" w:hAnsi="Times New Roman"/>
      <w:color w:val="00000A"/>
      <w:kern w:val="2"/>
      <w:sz w:val="24"/>
      <w:szCs w:val="24"/>
      <w:lang w:val="en-US" w:eastAsia="en-US" w:bidi="ar-SA"/>
      <w14:ligatures w14:val="none"/>
    </w:rPr>
  </w:style>
  <w:style w:type="paragraph" w:styleId="NoSpacing">
    <w:name w:val="No Spacing"/>
    <w:uiPriority w:val="1"/>
    <w:qFormat/>
    <w:rsid w:val="00ef5dec"/>
    <w:pPr>
      <w:widowControl/>
      <w:bidi w:val="0"/>
      <w:spacing w:before="0" w:after="0"/>
      <w:jc w:val="left"/>
    </w:pPr>
    <w:rPr>
      <w:rFonts w:ascii="Aptos" w:hAnsi="Aptos" w:cs="Calibri" w:eastAsia="Calibri" w:eastAsiaTheme="minorHAnsi"/>
      <w:color w:val="auto"/>
      <w:kern w:val="0"/>
      <w:sz w:val="24"/>
      <w:szCs w:val="24"/>
      <w:lang w:val="lt-LT" w:eastAsia="en-US" w:bidi="ar-SA"/>
      <w14:ligatures w14:val="standardContextual"/>
    </w:rPr>
  </w:style>
  <w:style w:type="paragraph" w:styleId="Annotationtext">
    <w:name w:val="annotation text"/>
    <w:basedOn w:val="Normal"/>
    <w:link w:val="CommentTextChar"/>
    <w:uiPriority w:val="99"/>
    <w:unhideWhenUsed/>
    <w:qFormat/>
    <w:pPr/>
    <w:rPr>
      <w:sz w:val="20"/>
      <w:szCs w:val="20"/>
    </w:rPr>
  </w:style>
  <w:style w:type="paragraph" w:styleId="Revision">
    <w:name w:val="Revision"/>
    <w:uiPriority w:val="99"/>
    <w:semiHidden/>
    <w:qFormat/>
    <w:rsid w:val="005724a6"/>
    <w:pPr>
      <w:widowControl/>
      <w:bidi w:val="0"/>
      <w:spacing w:before="0" w:after="0"/>
      <w:jc w:val="left"/>
    </w:pPr>
    <w:rPr>
      <w:rFonts w:ascii="Times New Roman" w:hAnsi="Times New Roman" w:eastAsia="Calibri" w:cs="" w:cstheme="minorBidi" w:eastAsiaTheme="minorHAnsi"/>
      <w:color w:val="auto"/>
      <w:kern w:val="2"/>
      <w:sz w:val="24"/>
      <w:szCs w:val="22"/>
      <w:lang w:val="lt-LT" w:eastAsia="en-US" w:bidi="ar-SA"/>
      <w14:ligatures w14:val="standardContextual"/>
    </w:rPr>
  </w:style>
  <w:style w:type="paragraph" w:styleId="Annotationsubject">
    <w:name w:val="annotation subject"/>
    <w:basedOn w:val="Annotationtext"/>
    <w:next w:val="Annotationtext"/>
    <w:link w:val="CommentSubjectChar"/>
    <w:uiPriority w:val="99"/>
    <w:semiHidden/>
    <w:unhideWhenUsed/>
    <w:qFormat/>
    <w:rsid w:val="00a205bb"/>
    <w:pPr/>
    <w:rPr>
      <w:b/>
      <w:bCs/>
    </w:rPr>
  </w:style>
  <w:style w:type="paragraph" w:styleId="S1lygis" w:customStyle="1">
    <w:name w:val="_S 1 lygis"/>
    <w:basedOn w:val="Normal"/>
    <w:qFormat/>
    <w:rsid w:val="00d55398"/>
    <w:pPr>
      <w:numPr>
        <w:ilvl w:val="0"/>
        <w:numId w:val="2"/>
      </w:numPr>
      <w:spacing w:before="240" w:after="240"/>
    </w:pPr>
    <w:rPr>
      <w:rFonts w:eastAsia="Times New Roman" w:cs="Times New Roman"/>
      <w:b/>
      <w:kern w:val="0"/>
      <w:szCs w:val="24"/>
      <w:lang w:eastAsia="lt-LT"/>
      <w14:ligatures w14:val="none"/>
    </w:rPr>
  </w:style>
  <w:style w:type="paragraph" w:styleId="S2lygis" w:customStyle="1">
    <w:name w:val="_S 2 lygis"/>
    <w:basedOn w:val="Normal"/>
    <w:qFormat/>
    <w:rsid w:val="00d55398"/>
    <w:pPr>
      <w:numPr>
        <w:ilvl w:val="1"/>
        <w:numId w:val="2"/>
      </w:numPr>
      <w:spacing w:before="120" w:after="120"/>
      <w:jc w:val="both"/>
    </w:pPr>
    <w:rPr>
      <w:rFonts w:eastAsia="Times New Roman" w:cs="Times New Roman"/>
      <w:kern w:val="0"/>
      <w:szCs w:val="24"/>
      <w:lang w:eastAsia="lt-LT"/>
      <w14:ligatures w14:val="none"/>
    </w:rPr>
  </w:style>
  <w:style w:type="paragraph" w:styleId="S3lygis" w:customStyle="1">
    <w:name w:val="_S 3 lygis"/>
    <w:basedOn w:val="S2lygis"/>
    <w:qFormat/>
    <w:rsid w:val="00d55398"/>
    <w:pPr/>
    <w:rPr/>
  </w:style>
  <w:style w:type="paragraph" w:styleId="Paragraph" w:customStyle="1">
    <w:name w:val="paragraph"/>
    <w:basedOn w:val="Normal"/>
    <w:qFormat/>
    <w:rsid w:val="002d23c8"/>
    <w:pPr>
      <w:spacing w:beforeAutospacing="1" w:afterAutospacing="1"/>
    </w:pPr>
    <w:rPr>
      <w:rFonts w:eastAsia="Times New Roman" w:cs="Times New Roman"/>
      <w:kern w:val="0"/>
      <w:szCs w:val="24"/>
      <w:lang w:eastAsia="lt-LT"/>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ef5de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EFDA2C65D6224D9439375ECE311475" ma:contentTypeVersion="14" ma:contentTypeDescription="Create a new document." ma:contentTypeScope="" ma:versionID="4ebc0bf0f3bf90f6f89a8847b6b49266">
  <xsd:schema xmlns:xsd="http://www.w3.org/2001/XMLSchema" xmlns:xs="http://www.w3.org/2001/XMLSchema" xmlns:p="http://schemas.microsoft.com/office/2006/metadata/properties" xmlns:ns2="e23d28df-e5a5-4504-bbfa-78b0ca6e2848" xmlns:ns3="9ac06ba8-6033-48ed-bbfb-9112f795015f" targetNamespace="http://schemas.microsoft.com/office/2006/metadata/properties" ma:root="true" ma:fieldsID="305131a50188d1f945b0cb8f0f35587f" ns2:_="" ns3:_="">
    <xsd:import namespace="e23d28df-e5a5-4504-bbfa-78b0ca6e2848"/>
    <xsd:import namespace="9ac06ba8-6033-48ed-bbfb-9112f79501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28df-e5a5-4504-bbfa-78b0ca6e2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c06ba8-6033-48ed-bbfb-9112f79501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071b37-2883-4fd2-b14a-e42ed70351a0}" ma:internalName="TaxCatchAll" ma:showField="CatchAllData" ma:web="9ac06ba8-6033-48ed-bbfb-9112f7950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28df-e5a5-4504-bbfa-78b0ca6e2848">
      <Terms xmlns="http://schemas.microsoft.com/office/infopath/2007/PartnerControls"/>
    </lcf76f155ced4ddcb4097134ff3c332f>
    <TaxCatchAll xmlns="9ac06ba8-6033-48ed-bbfb-9112f79501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E2D80-732F-4CA9-8D1B-EB7D5DBB7A7F}">
  <ds:schemaRefs>
    <ds:schemaRef ds:uri="http://schemas.microsoft.com/sharepoint/v3/contenttype/forms"/>
  </ds:schemaRefs>
</ds:datastoreItem>
</file>

<file path=customXml/itemProps2.xml><?xml version="1.0" encoding="utf-8"?>
<ds:datastoreItem xmlns:ds="http://schemas.openxmlformats.org/officeDocument/2006/customXml" ds:itemID="{8047A7C5-C5D0-4F59-B9C6-F3294A597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28df-e5a5-4504-bbfa-78b0ca6e2848"/>
    <ds:schemaRef ds:uri="9ac06ba8-6033-48ed-bbfb-9112f7950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F53D9-AACD-4B2A-AB3E-F75EEDD52B35}">
  <ds:schemaRefs>
    <ds:schemaRef ds:uri="http://schemas.microsoft.com/office/2006/metadata/properties"/>
    <ds:schemaRef ds:uri="http://schemas.microsoft.com/office/infopath/2007/PartnerControls"/>
    <ds:schemaRef ds:uri="e23d28df-e5a5-4504-bbfa-78b0ca6e2848"/>
    <ds:schemaRef ds:uri="9ac06ba8-6033-48ed-bbfb-9112f795015f"/>
  </ds:schemaRefs>
</ds:datastoreItem>
</file>

<file path=customXml/itemProps4.xml><?xml version="1.0" encoding="utf-8"?>
<ds:datastoreItem xmlns:ds="http://schemas.openxmlformats.org/officeDocument/2006/customXml" ds:itemID="{6C89EDB2-C81C-44E0-BE41-6CEF5ECE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Application>LibreOffice/7.6.4.1$Windows_X86_64 LibreOffice_project/e19e193f88cd6c0525a17fb7a176ed8e6a3e2aa1</Application>
  <AppVersion>15.0000</AppVersion>
  <Pages>7</Pages>
  <Words>2855</Words>
  <Characters>20817</Characters>
  <CharactersWithSpaces>23519</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2025-08-01T07:03:00Z</dcterms:created>
  <dc:creator>Jūratė Šilgalytė</dc:creator>
  <dc:description/>
  <dc:language>en-US</dc:language>
  <cp:lastModifiedBy>Augustė Šalnaitė</cp:lastModifiedBy>
  <dcterms:modified xsi:type="dcterms:W3CDTF">2025-09-09T13:13:00Z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0x01010046EFDA2C65D6224D9439375ECE311475</vt:lpwstr>
  </property>
  <property fmtid="{D5CDD505-2E9C-101B-9397-08002B2CF9AE}" pid="3" name="MediaServiceImageTags">
    <vt:lpwstr/>
  </property>
</Properties>
</file>