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EDA42D2" w:rsidR="00027B83" w:rsidRDefault="00651B17">
            <w:pPr>
              <w:jc w:val="both"/>
              <w:rPr>
                <w:kern w:val="2"/>
                <w:szCs w:val="24"/>
              </w:rPr>
            </w:pPr>
            <w:r w:rsidRPr="00651B17">
              <w:rPr>
                <w:lang w:eastAsia="ar-SA"/>
              </w:rPr>
              <w:t>Kauno rajone, Nemuno baseino Nevėžio pabaseinyje, esančių, valstybei nuosavybės teise priklausančių, blogos būklės melioracijos inžinerinių statinių rekonstravimo techninio darbo projekto parengim</w:t>
            </w:r>
            <w:r>
              <w:rPr>
                <w:lang w:eastAsia="ar-SA"/>
              </w:rPr>
              <w:t>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586C2B8E" w:rsidR="00E20F04" w:rsidRDefault="00E20F04" w:rsidP="00E20F04">
            <w:pPr>
              <w:jc w:val="center"/>
              <w:rPr>
                <w:kern w:val="2"/>
                <w:szCs w:val="24"/>
              </w:rPr>
            </w:pP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AEFC73E"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651B17" w:rsidRPr="00651B17">
              <w:rPr>
                <w:bCs/>
                <w:szCs w:val="24"/>
              </w:rPr>
              <w:t xml:space="preserve">Kauno rajone, Nemuno baseino Nevėžio pabaseinyje, </w:t>
            </w:r>
            <w:r w:rsidR="00651B17" w:rsidRPr="00651B17">
              <w:rPr>
                <w:bCs/>
                <w:szCs w:val="24"/>
              </w:rPr>
              <w:lastRenderedPageBreak/>
              <w:t>esančių, valstybei nuosavybės teise priklausančių, blogos būklės melioracijos inžinerinių statinių rekonstravimo techninio darbo projekto parengim</w:t>
            </w:r>
            <w:r w:rsidR="00651B17">
              <w:rPr>
                <w:bCs/>
                <w:szCs w:val="24"/>
              </w:rPr>
              <w:t>o paslaugas</w:t>
            </w:r>
            <w:r w:rsidR="00F161FF">
              <w:rPr>
                <w:bCs/>
                <w:szCs w:val="24"/>
              </w:rPr>
              <w:t xml:space="preserve"> (</w:t>
            </w:r>
            <w:r>
              <w:rPr>
                <w:color w:val="000000"/>
                <w:kern w:val="2"/>
                <w:szCs w:val="24"/>
              </w:rPr>
              <w:t>toliau – Paslaugos).</w:t>
            </w:r>
          </w:p>
          <w:p w14:paraId="6B5360F1" w14:textId="3BA8DC23"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56BDA">
              <w:rPr>
                <w:color w:val="000000"/>
                <w:kern w:val="2"/>
                <w:szCs w:val="24"/>
              </w:rPr>
              <w:t xml:space="preserve"> </w:t>
            </w:r>
            <w:r w:rsidR="00CB2458">
              <w:rPr>
                <w:color w:val="000000"/>
                <w:kern w:val="2"/>
                <w:szCs w:val="24"/>
              </w:rPr>
              <w:t>1</w:t>
            </w:r>
            <w:r w:rsidR="00A56BDA">
              <w:rPr>
                <w:color w:val="000000"/>
                <w:kern w:val="2"/>
                <w:szCs w:val="24"/>
              </w:rPr>
              <w:t xml:space="preserve"> </w:t>
            </w:r>
            <w:r>
              <w:rPr>
                <w:color w:val="000000"/>
                <w:kern w:val="2"/>
                <w:szCs w:val="24"/>
              </w:rPr>
              <w:t>„Techninė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35B5D1EF" w:rsidR="00027B83" w:rsidRDefault="00651B17" w:rsidP="0031442D">
            <w:pPr>
              <w:jc w:val="both"/>
              <w:rPr>
                <w:kern w:val="2"/>
                <w:szCs w:val="24"/>
              </w:rPr>
            </w:pPr>
            <w:r w:rsidRPr="00651B17">
              <w:rPr>
                <w:kern w:val="2"/>
                <w:szCs w:val="24"/>
              </w:rPr>
              <w:t>Kauno rajone, Nemuno baseino Nevėžio pabaseinyje, esančių, valstybei nuosavybės teise priklausančių, blogos būklės melioracijos inžinerinių statinių rekonstravimo techninio darbo projekto parengim</w:t>
            </w:r>
            <w:r>
              <w:rPr>
                <w:kern w:val="2"/>
                <w:szCs w:val="24"/>
              </w:rPr>
              <w:t>o</w:t>
            </w:r>
            <w:r w:rsidR="00666569" w:rsidRPr="00666569">
              <w:rPr>
                <w:kern w:val="2"/>
                <w:szCs w:val="24"/>
              </w:rPr>
              <w:t xml:space="preserve"> paslaugos</w:t>
            </w:r>
            <w:r w:rsidR="00373BC2">
              <w:rPr>
                <w:kern w:val="2"/>
                <w:szCs w:val="24"/>
              </w:rPr>
              <w:t xml:space="preserve"> (Pirkimo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1B591DA" w14:textId="31AC713B" w:rsidR="00651B17" w:rsidRDefault="00651B17" w:rsidP="00ED2535">
            <w:pPr>
              <w:jc w:val="both"/>
            </w:pPr>
            <w:r w:rsidRPr="00651B17">
              <w:t>Paslaugų suteikimo terminas</w:t>
            </w:r>
            <w:r w:rsidR="00ED2535">
              <w:t xml:space="preserve"> </w:t>
            </w:r>
            <w:r w:rsidR="00ED2535" w:rsidRPr="00ED2535">
              <w:t>iki 2026-01-30</w:t>
            </w:r>
            <w:r w:rsidR="00ED2535">
              <w:t xml:space="preserve">. </w:t>
            </w:r>
            <w:r w:rsidRPr="00651B17">
              <w:t xml:space="preserve"> </w:t>
            </w:r>
          </w:p>
          <w:p w14:paraId="02A1F4BB" w14:textId="3893735D" w:rsidR="00F61F72" w:rsidRDefault="00F61F72" w:rsidP="00F61F72">
            <w:pPr>
              <w:jc w:val="both"/>
            </w:pPr>
            <w:r>
              <w:t xml:space="preserve">Paslaugų teikėjas po sutarties pasirašymo per 5 (penkias) darbo dienas privalo pateikti ir su </w:t>
            </w:r>
            <w:r w:rsidR="00F5269D">
              <w:t xml:space="preserve">Pirkėju </w:t>
            </w:r>
            <w:r>
              <w:t xml:space="preserve">suderinti </w:t>
            </w:r>
            <w:r w:rsidR="00F5269D">
              <w:t xml:space="preserve">Paslaugų </w:t>
            </w:r>
            <w:r>
              <w:t xml:space="preserve">atlikimo grafiką. </w:t>
            </w:r>
            <w:r w:rsidR="00F5269D">
              <w:t xml:space="preserve">Paslaugų atlikimo </w:t>
            </w:r>
            <w:r>
              <w:t xml:space="preserve">grafiko </w:t>
            </w:r>
            <w:r w:rsidR="00F5269D">
              <w:t>laikymasis yra esminė Sutarties sąlyga</w:t>
            </w:r>
            <w:r>
              <w:t xml:space="preserve">. Už </w:t>
            </w:r>
            <w:r w:rsidR="00F5269D">
              <w:t xml:space="preserve">Paslaugų atlikimo </w:t>
            </w:r>
            <w:r>
              <w:t xml:space="preserve">grafiko nesilaikymą taikoma 0,1 proc. bauda nuo </w:t>
            </w:r>
            <w:r w:rsidR="00F5269D">
              <w:t>S</w:t>
            </w:r>
            <w:r>
              <w:t xml:space="preserve">utarties vertės </w:t>
            </w:r>
            <w:r w:rsidR="007966B8">
              <w:t xml:space="preserve">be PVM </w:t>
            </w:r>
            <w:r>
              <w:t>už kiekvieną pavėluotą dieną.</w:t>
            </w:r>
          </w:p>
          <w:p w14:paraId="69C6AE54" w14:textId="659FA1A6" w:rsidR="00027B83" w:rsidRDefault="00027B83" w:rsidP="00F61F72">
            <w:pPr>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A56BDA" w:rsidRDefault="00F61F72" w:rsidP="00F61F72">
            <w:pPr>
              <w:jc w:val="both"/>
              <w:rPr>
                <w:lang w:bidi="lo-LA"/>
              </w:rPr>
            </w:pPr>
            <w:r w:rsidRPr="00A56BDA">
              <w:rPr>
                <w:lang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363556CE" w14:textId="7BCD6882" w:rsidR="00ED2535" w:rsidRDefault="00ED2535" w:rsidP="0031442D">
            <w:pPr>
              <w:jc w:val="both"/>
              <w:rPr>
                <w:szCs w:val="24"/>
              </w:rPr>
            </w:pPr>
            <w:r>
              <w:rPr>
                <w:szCs w:val="24"/>
              </w:rPr>
              <w:t>P</w:t>
            </w:r>
            <w:r w:rsidRPr="00ED2535">
              <w:rPr>
                <w:szCs w:val="24"/>
              </w:rPr>
              <w:t>arengti tyrinėjimo dokumentaciją (parengti ir teisės aktų nustatyta tvarka suderinti su atsakingomis institucijomis topografinę medžiagą, atlikti reikalingus inžinerinius, geologinius ir kt. tyrinėjimus). Techninis darbo projektas turės būti parengtas atskirai kiekvienai kadastro vietovei</w:t>
            </w:r>
            <w:r>
              <w:rPr>
                <w:szCs w:val="24"/>
              </w:rPr>
              <w:t>.</w:t>
            </w:r>
          </w:p>
          <w:p w14:paraId="4D2325A0" w14:textId="7ECA6944" w:rsidR="00027B83" w:rsidRDefault="00ED2535" w:rsidP="0031442D">
            <w:pPr>
              <w:jc w:val="both"/>
              <w:rPr>
                <w:szCs w:val="24"/>
              </w:rPr>
            </w:pPr>
            <w:r>
              <w:rPr>
                <w:szCs w:val="24"/>
              </w:rPr>
              <w:t>T</w:t>
            </w:r>
            <w:r w:rsidRPr="00ED2535">
              <w:rPr>
                <w:szCs w:val="24"/>
              </w:rPr>
              <w:t xml:space="preserve">echninio darbo projekto rengėjas atsakingas už parengto Projekto įkėlimą į IS Infostatybą </w:t>
            </w:r>
            <w:r w:rsidR="00F61F72" w:rsidRPr="00F61F72">
              <w:rPr>
                <w:szCs w:val="24"/>
              </w:rPr>
              <w:t>ir statybą leidžiančio dokumento išėmimą (jei statybą leidžiantis dokumentas privalomas).</w:t>
            </w:r>
          </w:p>
          <w:p w14:paraId="6BA95380" w14:textId="0BBD9666" w:rsidR="00F61F72" w:rsidRDefault="00F61F72" w:rsidP="0031442D">
            <w:pPr>
              <w:jc w:val="both"/>
              <w:rPr>
                <w:szCs w:val="24"/>
              </w:rPr>
            </w:pPr>
            <w:r w:rsidRPr="00F61F72">
              <w:rPr>
                <w:szCs w:val="24"/>
              </w:rPr>
              <w:t>Statytojui (</w:t>
            </w:r>
            <w:r w:rsidR="00F5269D">
              <w:rPr>
                <w:szCs w:val="24"/>
              </w:rPr>
              <w:t>Pirkėjui</w:t>
            </w:r>
            <w:r w:rsidRPr="00F61F72">
              <w:rPr>
                <w:szCs w:val="24"/>
              </w:rPr>
              <w:t>) pateikiami 4 (keturi) techninio darbo projekto popieriniai egzemplioriai ir 2 (du) egzemplioriai techninio darbo projekto (pilnos apimties) įrašyto į kompiuterinę laikmeną</w:t>
            </w:r>
            <w:r>
              <w:rPr>
                <w:szCs w:val="24"/>
              </w:rPr>
              <w:t xml:space="preserve">; </w:t>
            </w:r>
            <w:r w:rsidRPr="00F61F72">
              <w:rPr>
                <w:szCs w:val="24"/>
              </w:rPr>
              <w:t>papildomai pateikiami brėžiniai</w:t>
            </w:r>
            <w:r>
              <w:rPr>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lastRenderedPageBreak/>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lastRenderedPageBreak/>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1758A111" w:rsidR="00191352" w:rsidRPr="00C822E6" w:rsidRDefault="0005584A" w:rsidP="00C822E6">
            <w:pPr>
              <w:tabs>
                <w:tab w:val="left" w:pos="851"/>
                <w:tab w:val="left" w:pos="1418"/>
                <w:tab w:val="left" w:pos="3119"/>
              </w:tabs>
              <w:jc w:val="both"/>
              <w:rPr>
                <w:rFonts w:eastAsia="Calibri"/>
                <w:szCs w:val="24"/>
                <w:lang w:eastAsia="lt-LT"/>
              </w:rPr>
            </w:pPr>
            <w:r w:rsidRPr="0005584A">
              <w:rPr>
                <w:kern w:val="2"/>
                <w:szCs w:val="24"/>
              </w:rPr>
              <w:t>Netaikoma</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02E14675" w:rsidR="00027B83" w:rsidRPr="00547C71" w:rsidRDefault="0005584A" w:rsidP="00547C71">
            <w:pPr>
              <w:rPr>
                <w:color w:val="FF0000"/>
                <w:kern w:val="2"/>
                <w:szCs w:val="24"/>
              </w:rPr>
            </w:pPr>
            <w:r w:rsidRPr="0005584A">
              <w:rPr>
                <w:kern w:val="2"/>
                <w:szCs w:val="24"/>
              </w:rPr>
              <w:t>Netaikoma</w:t>
            </w:r>
            <w:r>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342E6974" w:rsidR="00027B83" w:rsidRPr="0005584A" w:rsidRDefault="0005584A" w:rsidP="0005584A">
            <w:pPr>
              <w:rPr>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18D5A81" w14:textId="77777777" w:rsidR="00566D61" w:rsidRDefault="00566D61" w:rsidP="0023253C">
            <w:pPr>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36454920" w14:textId="77777777" w:rsidR="00566D61" w:rsidRDefault="00566D61" w:rsidP="0023253C">
            <w:pPr>
              <w:jc w:val="both"/>
              <w:rPr>
                <w:szCs w:val="24"/>
              </w:rPr>
            </w:pPr>
          </w:p>
          <w:p w14:paraId="38EC9A63" w14:textId="66D5E1D3" w:rsidR="00027B83" w:rsidRPr="0023253C"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3FF1415" w:rsidR="00027B83" w:rsidRPr="0023253C" w:rsidRDefault="00F5269D" w:rsidP="0023253C">
            <w:pPr>
              <w:rPr>
                <w:kern w:val="2"/>
                <w:szCs w:val="24"/>
              </w:rPr>
            </w:pPr>
            <w:r>
              <w:rPr>
                <w:kern w:val="2"/>
                <w:szCs w:val="24"/>
              </w:rPr>
              <w:t>Pirkėjui</w:t>
            </w:r>
            <w:r w:rsidR="00626CCC" w:rsidRPr="00626CCC">
              <w:rPr>
                <w:kern w:val="2"/>
                <w:szCs w:val="24"/>
              </w:rPr>
              <w:t xml:space="preserve"> raštu arba elektroniniu paštu pareikalavus, ne ilgiau kaip per 2 darbo</w:t>
            </w:r>
            <w:r w:rsidR="000D6BC7">
              <w:rPr>
                <w:kern w:val="2"/>
                <w:szCs w:val="24"/>
              </w:rPr>
              <w:t xml:space="preserve"> </w:t>
            </w:r>
            <w:r w:rsidR="00626CCC" w:rsidRPr="00626CCC">
              <w:rPr>
                <w:kern w:val="2"/>
                <w:szCs w:val="24"/>
              </w:rPr>
              <w:t xml:space="preserve">dienas neatlygintinai ištaisyti netinkamai suteiktų </w:t>
            </w:r>
            <w:r>
              <w:rPr>
                <w:kern w:val="2"/>
                <w:szCs w:val="24"/>
              </w:rPr>
              <w:t>P</w:t>
            </w:r>
            <w:r w:rsidR="00626CCC" w:rsidRPr="00626CCC">
              <w:rPr>
                <w:kern w:val="2"/>
                <w:szCs w:val="24"/>
              </w:rPr>
              <w:t>aslaugų trūkumus</w:t>
            </w:r>
            <w:r w:rsidR="00626CCC">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77777777" w:rsidR="00F61F72" w:rsidRPr="00F61F72" w:rsidRDefault="00F61F72" w:rsidP="007966B8">
            <w:pPr>
              <w:jc w:val="both"/>
              <w:rPr>
                <w:kern w:val="2"/>
                <w:szCs w:val="24"/>
              </w:rPr>
            </w:pPr>
            <w:r w:rsidRPr="00F61F72">
              <w:rPr>
                <w:kern w:val="2"/>
                <w:szCs w:val="24"/>
              </w:rPr>
              <w:t>Prievolių pagal Sutartį įvykdymas užtikrinamas;</w:t>
            </w:r>
          </w:p>
          <w:p w14:paraId="053EC134" w14:textId="77777777" w:rsidR="00F61F72" w:rsidRPr="00F61F72" w:rsidRDefault="00F61F72" w:rsidP="007966B8">
            <w:pPr>
              <w:jc w:val="both"/>
              <w:rPr>
                <w:kern w:val="2"/>
                <w:szCs w:val="24"/>
              </w:rPr>
            </w:pPr>
            <w:r w:rsidRPr="00F61F72">
              <w:rPr>
                <w:kern w:val="2"/>
                <w:szCs w:val="24"/>
              </w:rPr>
              <w:t>Netesybomis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3FDAF77" w14:textId="5BB22E57" w:rsidR="00E1292C" w:rsidRDefault="0023253C" w:rsidP="0031442D">
            <w:pPr>
              <w:jc w:val="both"/>
              <w:rPr>
                <w:color w:val="000000"/>
                <w:kern w:val="2"/>
                <w:szCs w:val="24"/>
              </w:rPr>
            </w:pPr>
            <w:r w:rsidRPr="0023253C">
              <w:rPr>
                <w:color w:val="000000"/>
                <w:kern w:val="2"/>
                <w:szCs w:val="24"/>
              </w:rPr>
              <w:t>9.2.1.</w:t>
            </w:r>
            <w:r w:rsidR="00E1292C" w:rsidRPr="00E1292C">
              <w:rPr>
                <w:color w:val="000000"/>
                <w:kern w:val="2"/>
                <w:szCs w:val="24"/>
              </w:rPr>
              <w:t xml:space="preserve"> Už </w:t>
            </w:r>
            <w:r w:rsidR="00995E14">
              <w:rPr>
                <w:color w:val="000000"/>
                <w:kern w:val="2"/>
                <w:szCs w:val="24"/>
              </w:rPr>
              <w:t>Paslaugų teikimo</w:t>
            </w:r>
            <w:r w:rsidR="00995E14" w:rsidRPr="00E1292C">
              <w:rPr>
                <w:color w:val="000000"/>
                <w:kern w:val="2"/>
                <w:szCs w:val="24"/>
              </w:rPr>
              <w:t xml:space="preserve"> </w:t>
            </w:r>
            <w:r w:rsidR="00E1292C" w:rsidRPr="00E1292C">
              <w:rPr>
                <w:color w:val="000000"/>
                <w:kern w:val="2"/>
                <w:szCs w:val="24"/>
              </w:rPr>
              <w:t xml:space="preserve">grafiko nesilaikymą taikoma 0,1 proc. bauda nuo </w:t>
            </w:r>
            <w:r w:rsidR="00995E14">
              <w:rPr>
                <w:color w:val="000000"/>
                <w:kern w:val="2"/>
                <w:szCs w:val="24"/>
              </w:rPr>
              <w:t>S</w:t>
            </w:r>
            <w:r w:rsidR="00E1292C" w:rsidRPr="00E1292C">
              <w:rPr>
                <w:color w:val="000000"/>
                <w:kern w:val="2"/>
                <w:szCs w:val="24"/>
              </w:rPr>
              <w:t>utarties vertės be PVM</w:t>
            </w:r>
            <w:r w:rsidR="00E1292C">
              <w:rPr>
                <w:color w:val="000000"/>
                <w:kern w:val="2"/>
                <w:szCs w:val="24"/>
              </w:rPr>
              <w:t xml:space="preserve"> </w:t>
            </w:r>
            <w:r w:rsidR="00E1292C" w:rsidRPr="00E1292C">
              <w:rPr>
                <w:color w:val="000000"/>
                <w:kern w:val="2"/>
                <w:szCs w:val="24"/>
              </w:rPr>
              <w:t>už kiekvieną pavėluotą dieną.</w:t>
            </w:r>
          </w:p>
          <w:p w14:paraId="505A780B" w14:textId="3C4120C4"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skaičiuoja 0,03 (trys šimtosios)</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E9322CF" w14:textId="655A8759" w:rsidR="00027B83" w:rsidRDefault="00566D61" w:rsidP="0031442D">
            <w:pPr>
              <w:jc w:val="both"/>
              <w:rPr>
                <w:szCs w:val="24"/>
              </w:rPr>
            </w:pPr>
            <w:r w:rsidRPr="00F6023D">
              <w:rPr>
                <w:color w:val="000000"/>
                <w:kern w:val="2"/>
                <w:szCs w:val="24"/>
              </w:rPr>
              <w:t>Tiekėjas</w:t>
            </w:r>
            <w:r w:rsidRPr="00F6023D">
              <w:rPr>
                <w:szCs w:val="24"/>
              </w:rPr>
              <w:t xml:space="preserve"> įsipareigoja turėti </w:t>
            </w:r>
            <w:r w:rsidRPr="0047261E">
              <w:rPr>
                <w:szCs w:val="24"/>
              </w:rPr>
              <w:t>13.1 p. nurodytų aplinkosaugin</w:t>
            </w:r>
            <w:r w:rsidR="00C01F36">
              <w:rPr>
                <w:szCs w:val="24"/>
              </w:rPr>
              <w:t>i</w:t>
            </w:r>
            <w:r w:rsidRPr="0047261E">
              <w:rPr>
                <w:szCs w:val="24"/>
              </w:rPr>
              <w:t xml:space="preserve">ų reikalavimų laikymąsi </w:t>
            </w:r>
            <w:r w:rsidRPr="00F6023D">
              <w:rPr>
                <w:szCs w:val="24"/>
              </w:rPr>
              <w:t xml:space="preserve">patvirtinančius dokumentus ir </w:t>
            </w:r>
            <w:r>
              <w:rPr>
                <w:szCs w:val="24"/>
              </w:rPr>
              <w:t>Pirkėjui</w:t>
            </w:r>
            <w:r w:rsidRPr="00F6023D">
              <w:rPr>
                <w:szCs w:val="24"/>
              </w:rPr>
              <w:t xml:space="preserve"> paprašius juos pateikti. Už šio reikalavimo pakartotiną nevykdymą </w:t>
            </w:r>
            <w:r w:rsidRPr="0047261E">
              <w:rPr>
                <w:szCs w:val="24"/>
              </w:rPr>
              <w:t>Tiekėjas</w:t>
            </w:r>
            <w:r w:rsidRPr="00F6023D">
              <w:rPr>
                <w:szCs w:val="24"/>
              </w:rPr>
              <w:t xml:space="preserve"> moka 50 (penkiasdešimt) Eur baudą už kiekvieną nevykdymo dieną, kuomet buvo </w:t>
            </w:r>
            <w:r w:rsidRPr="0047261E">
              <w:rPr>
                <w:szCs w:val="24"/>
              </w:rPr>
              <w:t>teikiamos Paslaugos</w:t>
            </w:r>
            <w:r>
              <w:rPr>
                <w:szCs w:val="24"/>
              </w:rPr>
              <w:t>.</w:t>
            </w:r>
          </w:p>
          <w:p w14:paraId="4C8C0993" w14:textId="31DB05A8" w:rsidR="00566D61" w:rsidRPr="0023253C" w:rsidRDefault="00566D61" w:rsidP="0031442D">
            <w:pPr>
              <w:jc w:val="both"/>
              <w:rPr>
                <w:color w:val="000000"/>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0BD1DC4" w:rsidR="00027B83" w:rsidRDefault="00AE192A" w:rsidP="0031442D">
            <w:pPr>
              <w:jc w:val="both"/>
              <w:rPr>
                <w:color w:val="4472C4"/>
                <w:kern w:val="2"/>
                <w:szCs w:val="24"/>
              </w:rPr>
            </w:pPr>
            <w:r>
              <w:rPr>
                <w:kern w:val="2"/>
                <w:szCs w:val="24"/>
              </w:rPr>
              <w:t xml:space="preserve">Esminės </w:t>
            </w:r>
            <w:r w:rsidR="00373BC2" w:rsidRPr="00373BC2">
              <w:rPr>
                <w:kern w:val="2"/>
                <w:szCs w:val="24"/>
              </w:rPr>
              <w:t xml:space="preserve">Sutarties </w:t>
            </w:r>
            <w:r>
              <w:rPr>
                <w:kern w:val="2"/>
                <w:szCs w:val="24"/>
              </w:rPr>
              <w:t>Sąlygos nurodytos 12.2. p.</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43D4D8C5" w14:textId="0249017C" w:rsidR="00651B17" w:rsidRDefault="00ED2535" w:rsidP="0031442D">
            <w:pPr>
              <w:jc w:val="both"/>
              <w:rPr>
                <w:kern w:val="2"/>
                <w:szCs w:val="24"/>
              </w:rPr>
            </w:pPr>
            <w:r>
              <w:rPr>
                <w:kern w:val="2"/>
                <w:szCs w:val="24"/>
              </w:rPr>
              <w:t xml:space="preserve">Sutarties </w:t>
            </w:r>
            <w:r w:rsidR="00651B17" w:rsidRPr="00651B17">
              <w:rPr>
                <w:kern w:val="2"/>
                <w:szCs w:val="24"/>
              </w:rPr>
              <w:t>termina</w:t>
            </w:r>
            <w:r>
              <w:rPr>
                <w:kern w:val="2"/>
                <w:szCs w:val="24"/>
              </w:rPr>
              <w:t xml:space="preserve">s </w:t>
            </w:r>
            <w:r w:rsidRPr="00ED2535">
              <w:rPr>
                <w:kern w:val="2"/>
                <w:szCs w:val="24"/>
              </w:rPr>
              <w:t>iki 2026-01-30</w:t>
            </w:r>
            <w:r>
              <w:rPr>
                <w:kern w:val="2"/>
                <w:szCs w:val="24"/>
              </w:rPr>
              <w:t xml:space="preserve"> </w:t>
            </w:r>
            <w:r w:rsidR="00651B17" w:rsidRPr="00651B17">
              <w:rPr>
                <w:kern w:val="2"/>
                <w:szCs w:val="24"/>
              </w:rPr>
              <w:t>+ 1 mėn., atsiskaitymui.</w:t>
            </w:r>
            <w:r w:rsidR="00651B17">
              <w:rPr>
                <w:kern w:val="2"/>
                <w:szCs w:val="24"/>
              </w:rPr>
              <w:t xml:space="preserve"> </w:t>
            </w:r>
          </w:p>
          <w:p w14:paraId="3747B1CC" w14:textId="77B2FAF4" w:rsidR="00373BC2" w:rsidRPr="002C6F60" w:rsidRDefault="00373BC2" w:rsidP="00651B17">
            <w:pPr>
              <w:jc w:val="both"/>
              <w:rPr>
                <w:kern w:val="2"/>
                <w:szCs w:val="24"/>
              </w:rPr>
            </w:pPr>
            <w:r w:rsidRPr="00EB0F3F">
              <w:rPr>
                <w:kern w:val="2"/>
                <w:szCs w:val="24"/>
              </w:rPr>
              <w:t>Ši Sutartis laikoma sudaryta ir įsigalioja nuo Sutarties pasirašymo dienos (antrosios Šalies pasirašymo dieną).</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9BF49C1" w:rsidR="00373BC2" w:rsidRDefault="00C77BA4"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4A8E1C3A"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00FD4216" w:rsidRPr="00FA2983">
              <w:rPr>
                <w:rFonts w:eastAsia="Arial"/>
                <w:kern w:val="2"/>
                <w:szCs w:val="24"/>
                <w:lang w:val="lt"/>
              </w:rPr>
              <w:t>Techninėje specifikacijoje</w:t>
            </w:r>
            <w:r w:rsidR="00FD4216">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98D2600" w:rsidR="00373BC2" w:rsidRPr="0016623F" w:rsidRDefault="00373BC2" w:rsidP="005F1B26">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sidR="005F1B26">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2F757922" w:rsidR="00373BC2" w:rsidRDefault="00373BC2" w:rsidP="00C32E82">
            <w:pPr>
              <w:spacing w:line="257" w:lineRule="auto"/>
              <w:rPr>
                <w:rFonts w:eastAsia="Arial"/>
                <w:color w:val="FF0000"/>
                <w:kern w:val="2"/>
                <w:szCs w:val="24"/>
              </w:rPr>
            </w:pPr>
            <w:r w:rsidRPr="0016623F">
              <w:rPr>
                <w:rFonts w:eastAsia="Arial"/>
                <w:kern w:val="2"/>
                <w:szCs w:val="24"/>
                <w:lang w:val="lt"/>
              </w:rPr>
              <w:t xml:space="preserve">12.2.9. Tiekėjas 2 (du) kartus pažeidžia </w:t>
            </w:r>
            <w:r w:rsidR="001E10AB">
              <w:rPr>
                <w:rFonts w:eastAsia="Arial"/>
                <w:kern w:val="2"/>
                <w:szCs w:val="24"/>
                <w:lang w:val="lt"/>
              </w:rPr>
              <w:t>Techninėje specifikacijoje nurodytus reikalavimus</w:t>
            </w:r>
            <w:r w:rsidRPr="0016623F">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3FDE02BA"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 </w:t>
            </w:r>
            <w:r w:rsidR="00AB364F" w:rsidRPr="00AB364F">
              <w:rPr>
                <w:bCs/>
                <w:iCs/>
                <w:noProof/>
                <w:spacing w:val="2"/>
                <w:shd w:val="clear" w:color="auto" w:fill="FFFFFF"/>
              </w:rPr>
              <w:t>4.3 punktas</w:t>
            </w:r>
            <w:r w:rsidR="00C01F36">
              <w:rPr>
                <w:bCs/>
                <w:iCs/>
                <w:noProof/>
                <w:spacing w:val="2"/>
                <w:shd w:val="clear" w:color="auto" w:fill="FFFFFF"/>
              </w:rPr>
              <w:t xml:space="preserve">: reikalavimai dėl </w:t>
            </w:r>
            <w:r w:rsidR="00C858E5" w:rsidRPr="00C858E5">
              <w:rPr>
                <w:bCs/>
                <w:iCs/>
                <w:noProof/>
                <w:spacing w:val="2"/>
                <w:shd w:val="clear" w:color="auto" w:fill="FFFFFF"/>
              </w:rPr>
              <w:t>aplinkos apsaugos vadybos sistemos standartų taikymą</w:t>
            </w:r>
            <w:r w:rsidR="00C858E5">
              <w:rPr>
                <w:bCs/>
                <w:iCs/>
                <w:noProof/>
                <w:spacing w:val="2"/>
                <w:shd w:val="clear" w:color="auto" w:fill="FFFFFF"/>
              </w:rPr>
              <w:t xml:space="preserve">, </w:t>
            </w:r>
            <w:r w:rsidR="00C01F36">
              <w:rPr>
                <w:bCs/>
                <w:iCs/>
                <w:noProof/>
                <w:spacing w:val="2"/>
                <w:shd w:val="clear" w:color="auto" w:fill="FFFFFF"/>
              </w:rPr>
              <w:t xml:space="preserve">plačiau žiūrėti bendrųjų sąlygų </w:t>
            </w:r>
            <w:r w:rsidR="00C01F36" w:rsidRPr="00C01F36">
              <w:rPr>
                <w:bCs/>
                <w:iCs/>
                <w:noProof/>
                <w:spacing w:val="2"/>
                <w:shd w:val="clear" w:color="auto" w:fill="FFFFFF"/>
              </w:rPr>
              <w:t>3.1.1.4.</w:t>
            </w:r>
            <w:r w:rsidR="00C01F36">
              <w:rPr>
                <w:bCs/>
                <w:iCs/>
                <w:noProof/>
                <w:spacing w:val="2"/>
                <w:shd w:val="clear" w:color="auto" w:fill="FFFFFF"/>
              </w:rPr>
              <w:t xml:space="preserve"> punkte.</w:t>
            </w:r>
            <w:r w:rsidR="00C858E5">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35CE6EF1" w:rsidR="00373BC2" w:rsidRDefault="00AB364F" w:rsidP="00C32E82">
            <w:pPr>
              <w:rPr>
                <w:kern w:val="2"/>
                <w:szCs w:val="24"/>
              </w:rPr>
            </w:pPr>
            <w:r w:rsidRPr="00AB364F">
              <w:rPr>
                <w:kern w:val="2"/>
                <w:szCs w:val="24"/>
              </w:rPr>
              <w:t>Paslaugų teikėjas gavęs atlygį už parengtą projektą, raštiškai atsisako visų autorinių teisių į šį projektą.</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Mantas Rikteris</w:t>
            </w:r>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74D1" w14:textId="77777777" w:rsidR="004763AE" w:rsidRDefault="004763AE">
      <w:pPr>
        <w:rPr>
          <w:sz w:val="20"/>
        </w:rPr>
      </w:pPr>
      <w:r>
        <w:rPr>
          <w:sz w:val="20"/>
        </w:rPr>
        <w:separator/>
      </w:r>
    </w:p>
  </w:endnote>
  <w:endnote w:type="continuationSeparator" w:id="0">
    <w:p w14:paraId="5A16B517" w14:textId="77777777" w:rsidR="004763AE" w:rsidRDefault="004763AE">
      <w:pPr>
        <w:rPr>
          <w:sz w:val="20"/>
        </w:rPr>
      </w:pPr>
      <w:r>
        <w:rPr>
          <w:sz w:val="20"/>
        </w:rPr>
        <w:continuationSeparator/>
      </w:r>
    </w:p>
  </w:endnote>
  <w:endnote w:type="continuationNotice" w:id="1">
    <w:p w14:paraId="68522B17" w14:textId="77777777" w:rsidR="004763AE" w:rsidRDefault="00476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58E7" w14:textId="77777777" w:rsidR="004763AE" w:rsidRDefault="004763AE">
      <w:pPr>
        <w:rPr>
          <w:sz w:val="20"/>
        </w:rPr>
      </w:pPr>
      <w:r>
        <w:rPr>
          <w:sz w:val="20"/>
        </w:rPr>
        <w:separator/>
      </w:r>
    </w:p>
  </w:footnote>
  <w:footnote w:type="continuationSeparator" w:id="0">
    <w:p w14:paraId="2E916AFE" w14:textId="77777777" w:rsidR="004763AE" w:rsidRDefault="004763AE">
      <w:pPr>
        <w:rPr>
          <w:sz w:val="20"/>
        </w:rPr>
      </w:pPr>
      <w:r>
        <w:rPr>
          <w:sz w:val="20"/>
        </w:rPr>
        <w:continuationSeparator/>
      </w:r>
    </w:p>
  </w:footnote>
  <w:footnote w:type="continuationNotice" w:id="1">
    <w:p w14:paraId="0C196D74" w14:textId="77777777" w:rsidR="004763AE" w:rsidRDefault="00476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55E1"/>
    <w:rsid w:val="00047AA7"/>
    <w:rsid w:val="00054F6D"/>
    <w:rsid w:val="0005584A"/>
    <w:rsid w:val="00096C65"/>
    <w:rsid w:val="000B0897"/>
    <w:rsid w:val="000B3E38"/>
    <w:rsid w:val="000D6BC7"/>
    <w:rsid w:val="000E0F0C"/>
    <w:rsid w:val="001314F3"/>
    <w:rsid w:val="00140836"/>
    <w:rsid w:val="00140FD9"/>
    <w:rsid w:val="00191352"/>
    <w:rsid w:val="001936DE"/>
    <w:rsid w:val="001B7789"/>
    <w:rsid w:val="001B79D4"/>
    <w:rsid w:val="001E10AB"/>
    <w:rsid w:val="001E7779"/>
    <w:rsid w:val="0020000C"/>
    <w:rsid w:val="00201E19"/>
    <w:rsid w:val="0021462A"/>
    <w:rsid w:val="0023253C"/>
    <w:rsid w:val="00232EF7"/>
    <w:rsid w:val="00254100"/>
    <w:rsid w:val="00272573"/>
    <w:rsid w:val="002A0B04"/>
    <w:rsid w:val="002B0D03"/>
    <w:rsid w:val="002B78B4"/>
    <w:rsid w:val="002C6F60"/>
    <w:rsid w:val="003133CC"/>
    <w:rsid w:val="0031442D"/>
    <w:rsid w:val="00333E42"/>
    <w:rsid w:val="00360944"/>
    <w:rsid w:val="00373BC2"/>
    <w:rsid w:val="00392CF6"/>
    <w:rsid w:val="003A06A7"/>
    <w:rsid w:val="003A1C16"/>
    <w:rsid w:val="003D6B33"/>
    <w:rsid w:val="003F4C25"/>
    <w:rsid w:val="00415253"/>
    <w:rsid w:val="004301ED"/>
    <w:rsid w:val="00433B6B"/>
    <w:rsid w:val="00443807"/>
    <w:rsid w:val="00443E74"/>
    <w:rsid w:val="004763AE"/>
    <w:rsid w:val="00490CBB"/>
    <w:rsid w:val="004A1A2E"/>
    <w:rsid w:val="004F0EDA"/>
    <w:rsid w:val="004F1852"/>
    <w:rsid w:val="00521F4C"/>
    <w:rsid w:val="005302C3"/>
    <w:rsid w:val="00547C71"/>
    <w:rsid w:val="00566D61"/>
    <w:rsid w:val="005735FB"/>
    <w:rsid w:val="00577660"/>
    <w:rsid w:val="00582101"/>
    <w:rsid w:val="005C5D4F"/>
    <w:rsid w:val="005F1B26"/>
    <w:rsid w:val="00612654"/>
    <w:rsid w:val="00626CCC"/>
    <w:rsid w:val="00651B17"/>
    <w:rsid w:val="00660A3E"/>
    <w:rsid w:val="00666569"/>
    <w:rsid w:val="0068645B"/>
    <w:rsid w:val="006A6A81"/>
    <w:rsid w:val="006E2F41"/>
    <w:rsid w:val="007966B8"/>
    <w:rsid w:val="007A47FB"/>
    <w:rsid w:val="007B2AC7"/>
    <w:rsid w:val="007B7303"/>
    <w:rsid w:val="007D0850"/>
    <w:rsid w:val="00802239"/>
    <w:rsid w:val="00837F0E"/>
    <w:rsid w:val="00841914"/>
    <w:rsid w:val="008A15AA"/>
    <w:rsid w:val="008B31EF"/>
    <w:rsid w:val="008B3784"/>
    <w:rsid w:val="008C46F4"/>
    <w:rsid w:val="008F0B46"/>
    <w:rsid w:val="00964544"/>
    <w:rsid w:val="009728BC"/>
    <w:rsid w:val="00995E14"/>
    <w:rsid w:val="009D2548"/>
    <w:rsid w:val="009D3468"/>
    <w:rsid w:val="009E0152"/>
    <w:rsid w:val="009F3B59"/>
    <w:rsid w:val="00A028B5"/>
    <w:rsid w:val="00A120B5"/>
    <w:rsid w:val="00A21F93"/>
    <w:rsid w:val="00A25F0B"/>
    <w:rsid w:val="00A440E5"/>
    <w:rsid w:val="00A52F2E"/>
    <w:rsid w:val="00A56BDA"/>
    <w:rsid w:val="00A72765"/>
    <w:rsid w:val="00A82B76"/>
    <w:rsid w:val="00A958E9"/>
    <w:rsid w:val="00AB2781"/>
    <w:rsid w:val="00AB364F"/>
    <w:rsid w:val="00AE192A"/>
    <w:rsid w:val="00AF538F"/>
    <w:rsid w:val="00B3616C"/>
    <w:rsid w:val="00B45D8B"/>
    <w:rsid w:val="00B53036"/>
    <w:rsid w:val="00B76792"/>
    <w:rsid w:val="00BB7726"/>
    <w:rsid w:val="00BD335B"/>
    <w:rsid w:val="00BE2565"/>
    <w:rsid w:val="00BE5340"/>
    <w:rsid w:val="00BF1FD0"/>
    <w:rsid w:val="00C01F36"/>
    <w:rsid w:val="00C03FA9"/>
    <w:rsid w:val="00C1151D"/>
    <w:rsid w:val="00C77BA4"/>
    <w:rsid w:val="00C822E6"/>
    <w:rsid w:val="00C858E5"/>
    <w:rsid w:val="00C9138C"/>
    <w:rsid w:val="00CB2458"/>
    <w:rsid w:val="00CD7A60"/>
    <w:rsid w:val="00CE3A70"/>
    <w:rsid w:val="00D65DFC"/>
    <w:rsid w:val="00D67F4E"/>
    <w:rsid w:val="00D84819"/>
    <w:rsid w:val="00D85ED5"/>
    <w:rsid w:val="00D92427"/>
    <w:rsid w:val="00DA4ABC"/>
    <w:rsid w:val="00DA4E0C"/>
    <w:rsid w:val="00DE1CC7"/>
    <w:rsid w:val="00E07D75"/>
    <w:rsid w:val="00E1292C"/>
    <w:rsid w:val="00E20F04"/>
    <w:rsid w:val="00E64945"/>
    <w:rsid w:val="00E95705"/>
    <w:rsid w:val="00EB78C1"/>
    <w:rsid w:val="00EC01F1"/>
    <w:rsid w:val="00ED2535"/>
    <w:rsid w:val="00F129FC"/>
    <w:rsid w:val="00F161FF"/>
    <w:rsid w:val="00F2379E"/>
    <w:rsid w:val="00F31F3E"/>
    <w:rsid w:val="00F41431"/>
    <w:rsid w:val="00F46A3E"/>
    <w:rsid w:val="00F5269D"/>
    <w:rsid w:val="00F542DA"/>
    <w:rsid w:val="00F60BD9"/>
    <w:rsid w:val="00F60CD3"/>
    <w:rsid w:val="00F61F72"/>
    <w:rsid w:val="00F71055"/>
    <w:rsid w:val="00FA25C7"/>
    <w:rsid w:val="00FA2983"/>
    <w:rsid w:val="00FA5E0D"/>
    <w:rsid w:val="00FD42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 w:type="paragraph" w:styleId="Pataisymai">
    <w:name w:val="Revision"/>
    <w:hidden/>
    <w:semiHidden/>
    <w:rsid w:val="00F52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15193</Words>
  <Characters>86605</Characters>
  <Application>Microsoft Office Word</Application>
  <DocSecurity>0</DocSecurity>
  <Lines>721</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3</cp:revision>
  <cp:lastPrinted>2017-06-29T23:42:00Z</cp:lastPrinted>
  <dcterms:created xsi:type="dcterms:W3CDTF">2025-09-12T11:38:00Z</dcterms:created>
  <dcterms:modified xsi:type="dcterms:W3CDTF">2025-09-15T06:01:00Z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