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EA1A" w14:textId="77777777" w:rsidR="00666C8F" w:rsidRDefault="00666C8F" w:rsidP="00666C8F"/>
    <w:p w14:paraId="4E06C807" w14:textId="77777777" w:rsidR="00666C8F" w:rsidRDefault="00666C8F" w:rsidP="00666C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7534938D" w14:textId="77777777" w:rsidR="00666C8F" w:rsidRDefault="00666C8F" w:rsidP="00666C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JĖGOS INSTRUMENTŲ KOMPLEKTAS ORTOPEDIJAI IR TRAUMATOLOGIJAI </w:t>
      </w:r>
    </w:p>
    <w:p w14:paraId="7D0D6E59" w14:textId="77777777" w:rsidR="00666C8F" w:rsidRDefault="00666C8F" w:rsidP="00666C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3514860</w:t>
      </w:r>
    </w:p>
    <w:p w14:paraId="074F3C5B" w14:textId="77777777" w:rsidR="00666C8F" w:rsidRDefault="00666C8F" w:rsidP="00666C8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05CB1174" w14:textId="77777777" w:rsidR="00666C8F" w:rsidRDefault="00666C8F" w:rsidP="00666C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atsakymai į tiekėjo(-ų) prašymus (pastebėjimus) dėl paskelbtos rinkos konsultacijos</w:t>
      </w:r>
    </w:p>
    <w:p w14:paraId="5A6950ED" w14:textId="77777777" w:rsidR="00666C8F" w:rsidRDefault="00666C8F" w:rsidP="00666C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475"/>
        <w:gridCol w:w="4562"/>
        <w:gridCol w:w="4595"/>
      </w:tblGrid>
      <w:tr w:rsidR="00666C8F" w14:paraId="5ECC472D" w14:textId="77777777" w:rsidTr="00666C8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805F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Techninės specifikacijos</w:t>
            </w:r>
          </w:p>
          <w:p w14:paraId="1913820C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parametro Nr.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CF6B" w14:textId="77777777" w:rsidR="00666C8F" w:rsidRDefault="00666C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2ED1F32B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(stiliaus klaidos netaisytos)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9468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666C8F" w14:paraId="5BA4B9C9" w14:textId="77777777" w:rsidTr="00666C8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6AAE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6D2E" w14:textId="77777777" w:rsidR="00666C8F" w:rsidRDefault="00666C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1. Gręžimui - 4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Nm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14:paraId="15593AA1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2. Frezavimui – 16,5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FFD1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3.1. Nesutinkame keisti parametrų. S</w:t>
            </w:r>
            <w:r>
              <w:rPr>
                <w:rFonts w:ascii="Times New Roman" w:hAnsi="Times New Roman" w:cs="Times New Roman"/>
              </w:rPr>
              <w:t xml:space="preserve">umažinus sukimo momentus įrankio pajėgumas ženkliai sumažėja, ypač medicinos srityje, kur </w:t>
            </w:r>
            <w:r>
              <w:rPr>
                <w:rStyle w:val="Grietas"/>
                <w:rFonts w:ascii="Times New Roman" w:hAnsi="Times New Roman" w:cs="Times New Roman"/>
                <w:b w:val="0"/>
              </w:rPr>
              <w:t>tikslumas, patikimumas ir nuoseklumas yra kritišk</w:t>
            </w:r>
            <w:r>
              <w:rPr>
                <w:rStyle w:val="Grietas"/>
                <w:rFonts w:ascii="Times New Roman" w:hAnsi="Times New Roman" w:cs="Times New Roman"/>
              </w:rPr>
              <w:t xml:space="preserve">ai </w:t>
            </w:r>
            <w:r>
              <w:rPr>
                <w:rStyle w:val="Grietas"/>
                <w:rFonts w:ascii="Times New Roman" w:hAnsi="Times New Roman" w:cs="Times New Roman"/>
                <w:b w:val="0"/>
              </w:rPr>
              <w:t>svarbūs</w:t>
            </w:r>
            <w:r>
              <w:rPr>
                <w:rFonts w:ascii="Times New Roman" w:hAnsi="Times New Roman" w:cs="Times New Roman"/>
              </w:rPr>
              <w:t>. Tokie pakeitimai gali pakenkti saugumui. Frezavimo  13 % sumažėjimas – gali sumažinti tikslumą, bei didinti instrumento perkaitimą.</w:t>
            </w:r>
          </w:p>
        </w:tc>
      </w:tr>
      <w:tr w:rsidR="00666C8F" w14:paraId="1BA66966" w14:textId="77777777" w:rsidTr="00666C8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2B16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C760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4,4 mm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ACA7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Sutinkame keisti į: </w:t>
            </w:r>
            <w:r>
              <w:rPr>
                <w:rFonts w:ascii="Times New Roman" w:eastAsia="Times New Roman" w:hAnsi="Times New Roman" w:cs="Times New Roman"/>
                <w:lang w:val="en-GB" w:eastAsia="ar-SA"/>
              </w:rPr>
              <w:t>4,3 mm ± 0,1 mm</w:t>
            </w:r>
          </w:p>
        </w:tc>
      </w:tr>
      <w:tr w:rsidR="00666C8F" w14:paraId="63B6CB81" w14:textId="77777777" w:rsidTr="00666C8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22A7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4E24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Aktyvuojama spaudžiant abu mygtukus vienu metu atskirus atitinkamus mygtukus</w:t>
            </w:r>
          </w:p>
          <w:p w14:paraId="671E7D03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Grąžtas pakaitomis sukasi pagal laikrodžio ir prieš laikrodžio rodyklės kryptį.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64D" w14:textId="77777777" w:rsidR="00666C8F" w:rsidRDefault="00666C8F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 xml:space="preserve">Sutinkame keisti į: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Aktyvuojama spaudžiant atskirus atitinkamus  mygtukus arba </w:t>
            </w:r>
            <w:r>
              <w:rPr>
                <w:rFonts w:ascii="Times New Roman" w:hAnsi="Times New Roman" w:cs="Times New Roman"/>
              </w:rPr>
              <w:t>abu mygtukus vienu metu.</w:t>
            </w:r>
          </w:p>
          <w:p w14:paraId="29600544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6C8F" w14:paraId="4F614F28" w14:textId="77777777" w:rsidTr="00666C8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10D7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0768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Baterijos įstatomos į gręžimo/pjovimo rankenose integruotą baterijos skyrių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arba į prie rankenos atskirai tvirtinamą baterijos korpusą;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11FF" w14:textId="04C98215" w:rsidR="00666C8F" w:rsidRDefault="00666C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Nesutinkame keisti parametrų</w:t>
            </w:r>
            <w:r w:rsidRPr="00E00034">
              <w:rPr>
                <w:rFonts w:ascii="Times New Roman" w:hAnsi="Times New Roman" w:cs="Times New Roman"/>
              </w:rPr>
              <w:t xml:space="preserve">. </w:t>
            </w:r>
            <w:r w:rsidR="00E00034" w:rsidRPr="00E00034">
              <w:rPr>
                <w:rFonts w:ascii="Times New Roman" w:hAnsi="Times New Roman" w:cs="Times New Roman"/>
              </w:rPr>
              <w:t xml:space="preserve"> Dėl balanso ir svorio centr</w:t>
            </w:r>
            <w:r w:rsidR="00E00034">
              <w:rPr>
                <w:rFonts w:ascii="Times New Roman" w:hAnsi="Times New Roman" w:cs="Times New Roman"/>
              </w:rPr>
              <w:t xml:space="preserve">o - </w:t>
            </w:r>
            <w:r w:rsidR="00E00034" w:rsidRPr="00E00034">
              <w:rPr>
                <w:rFonts w:ascii="Times New Roman" w:hAnsi="Times New Roman" w:cs="Times New Roman"/>
              </w:rPr>
              <w:t>baterija būna tiesiai po ranka, todėl svoris labiau koncentruotas prie įrankio ašies. Tai sumažina riešo nuovargį.</w:t>
            </w:r>
            <w:r w:rsidR="00E00034">
              <w:rPr>
                <w:rFonts w:ascii="Times New Roman" w:hAnsi="Times New Roman" w:cs="Times New Roman"/>
              </w:rPr>
              <w:t xml:space="preserve">  </w:t>
            </w:r>
            <w:r w:rsidR="00E00034" w:rsidRPr="00E00034">
              <w:rPr>
                <w:rFonts w:ascii="Times New Roman" w:hAnsi="Times New Roman" w:cs="Times New Roman"/>
              </w:rPr>
              <w:t>Integruota baterija rankenoje reiškia, kad instrumentas yra geriau subalansuotas, todėl mažiau pavargsta ranka ir riešas, sumažėja klaidų rizika.</w:t>
            </w:r>
          </w:p>
        </w:tc>
      </w:tr>
      <w:tr w:rsidR="00666C8F" w14:paraId="06FA2063" w14:textId="77777777" w:rsidTr="00666C8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A478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81DC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Baterijų keitimas nesudėtingas - nuspaudžiant užraktą ant gręžimo/pjovimo rankenų dangtelio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arba atidarius prie rankenos tvirtinamo baterijos korpuso dangtelį.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ED6" w14:textId="4DD43F32" w:rsidR="00666C8F" w:rsidRPr="00FD0A03" w:rsidRDefault="00FD0A03" w:rsidP="00FD0A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D0A03">
              <w:rPr>
                <w:rFonts w:ascii="Times New Roman" w:hAnsi="Times New Roman" w:cs="Times New Roman"/>
                <w:b/>
              </w:rPr>
              <w:t>Nesutinkame keis</w:t>
            </w:r>
            <w:r w:rsidR="00E02CEC">
              <w:rPr>
                <w:rFonts w:ascii="Times New Roman" w:hAnsi="Times New Roman" w:cs="Times New Roman"/>
                <w:b/>
              </w:rPr>
              <w:t xml:space="preserve">ti </w:t>
            </w:r>
            <w:r w:rsidRPr="00FD0A03">
              <w:rPr>
                <w:rFonts w:ascii="Times New Roman" w:hAnsi="Times New Roman" w:cs="Times New Roman"/>
                <w:b/>
              </w:rPr>
              <w:t xml:space="preserve">parametrų.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0A03">
              <w:rPr>
                <w:rFonts w:ascii="Times New Roman" w:hAnsi="Times New Roman" w:cs="Times New Roman"/>
              </w:rPr>
              <w:t>Kadangi nekeičiamas 8.2 punktas todėl netikslinga keisti ir šį parametrą.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66C8F" w14:paraId="456A089E" w14:textId="77777777" w:rsidTr="00666C8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850D" w14:textId="77777777" w:rsidR="00666C8F" w:rsidRDefault="00666C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 įtraukti į techninę specifikaciją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EF2F" w14:textId="77777777" w:rsidR="00666C8F" w:rsidRDefault="00666C8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Įtraukti bent 10 vnt. osciliuojančio pjūklo geležčių: „Osciliuojančio pjovimo rankena pateikiama komplekte kartu su pasirenkamo ilgio, storio ir pločio ≥ 10 vnt. geležtėmis“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F0A" w14:textId="2B2A6E7E" w:rsidR="00666C8F" w:rsidRDefault="00B123EF" w:rsidP="009E7C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Geležtės nebus įtrauktos į techninė specifikaciją. </w:t>
            </w:r>
            <w:r w:rsidR="009E7CE0">
              <w:rPr>
                <w:rFonts w:ascii="Times New Roman" w:hAnsi="Times New Roman" w:cs="Times New Roman"/>
              </w:rPr>
              <w:t>R</w:t>
            </w:r>
            <w:r w:rsidR="009E7CE0" w:rsidRPr="009E7CE0">
              <w:rPr>
                <w:rFonts w:ascii="Times New Roman" w:hAnsi="Times New Roman" w:cs="Times New Roman"/>
              </w:rPr>
              <w:t>eikalingas geležtes gydymo įstaiga įsigis atskirai, pasibaigus viešojo pirkimo konkursui, pagal faktinį poreikį.</w:t>
            </w:r>
          </w:p>
        </w:tc>
      </w:tr>
    </w:tbl>
    <w:p w14:paraId="448B4BB3" w14:textId="77777777" w:rsidR="00666C8F" w:rsidRDefault="00666C8F" w:rsidP="00666C8F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EE3EAD2" w14:textId="77777777" w:rsidR="00666C8F" w:rsidRDefault="00666C8F" w:rsidP="00666C8F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8B43721" w14:textId="77777777" w:rsidR="00666C8F" w:rsidRDefault="00666C8F" w:rsidP="00666C8F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34B3D9B6" w14:textId="77777777" w:rsidR="00666C8F" w:rsidRDefault="00666C8F" w:rsidP="00666C8F"/>
    <w:p w14:paraId="7816A87D" w14:textId="77777777" w:rsidR="00B1146F" w:rsidRDefault="00B1146F">
      <w:bookmarkStart w:id="0" w:name="_GoBack"/>
      <w:bookmarkEnd w:id="0"/>
    </w:p>
    <w:sectPr w:rsidR="00B114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47"/>
    <w:rsid w:val="004A0847"/>
    <w:rsid w:val="00666C8F"/>
    <w:rsid w:val="009E7CE0"/>
    <w:rsid w:val="00B1146F"/>
    <w:rsid w:val="00B123EF"/>
    <w:rsid w:val="00E00034"/>
    <w:rsid w:val="00E02CEC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F34C"/>
  <w15:chartTrackingRefBased/>
  <w15:docId w15:val="{980C9116-F345-497B-8A67-27E51FC2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66C8F"/>
    <w:pPr>
      <w:spacing w:line="256" w:lineRule="auto"/>
    </w:pPr>
    <w:rPr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66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Lentelstinklelis">
    <w:name w:val="Table Grid"/>
    <w:basedOn w:val="prastojilentel"/>
    <w:uiPriority w:val="39"/>
    <w:rsid w:val="00666C8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66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2025-09-14T20:21:00Z</dcterms:created>
  <dcterms:modified xsi:type="dcterms:W3CDTF">2025-09-15T05:53:00Z</dcterms:modified>
</cp:coreProperties>
</file>