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A846" w14:textId="4937FF24" w:rsidR="00B7046F" w:rsidRPr="00B7046F" w:rsidRDefault="00B7046F" w:rsidP="00B7046F">
      <w:pPr>
        <w:pStyle w:val="Antrat2"/>
        <w:ind w:left="5103"/>
        <w:jc w:val="right"/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</w:pPr>
      <w:bookmarkStart w:id="0" w:name="_Ref38540913"/>
      <w:bookmarkStart w:id="1" w:name="_Ref38898051"/>
      <w:bookmarkStart w:id="2" w:name="_Ref38901392"/>
      <w:bookmarkStart w:id="3" w:name="_Toc48053189"/>
      <w:proofErr w:type="spellStart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>Pirkimo</w:t>
      </w:r>
      <w:proofErr w:type="spellEnd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 xml:space="preserve"> </w:t>
      </w:r>
      <w:proofErr w:type="spellStart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>sąlygų</w:t>
      </w:r>
      <w:proofErr w:type="spellEnd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 xml:space="preserve"> 2 </w:t>
      </w:r>
      <w:proofErr w:type="spellStart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>priedas</w:t>
      </w:r>
      <w:proofErr w:type="spellEnd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 xml:space="preserve"> „</w:t>
      </w:r>
      <w:proofErr w:type="spellStart"/>
      <w:r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>Techninė</w:t>
      </w:r>
      <w:proofErr w:type="spellEnd"/>
      <w:r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 xml:space="preserve"> </w:t>
      </w:r>
      <w:proofErr w:type="spellStart"/>
      <w:r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>specifikacija</w:t>
      </w:r>
      <w:proofErr w:type="spellEnd"/>
      <w:r w:rsidRPr="00B7046F">
        <w:rPr>
          <w:rFonts w:ascii="Times New Roman" w:eastAsia="Calibri" w:hAnsi="Times New Roman" w:cs="Times New Roman"/>
          <w:i w:val="0"/>
          <w:iCs w:val="0"/>
          <w:color w:val="0070C0"/>
          <w:sz w:val="21"/>
          <w:szCs w:val="21"/>
        </w:rPr>
        <w:t>“</w:t>
      </w:r>
      <w:bookmarkEnd w:id="0"/>
      <w:bookmarkEnd w:id="1"/>
      <w:bookmarkEnd w:id="2"/>
      <w:bookmarkEnd w:id="3"/>
    </w:p>
    <w:p w14:paraId="275B0109" w14:textId="77777777" w:rsidR="00B7046F" w:rsidRPr="005F494E" w:rsidRDefault="00B7046F" w:rsidP="00B7046F">
      <w:pPr>
        <w:tabs>
          <w:tab w:val="left" w:pos="0"/>
          <w:tab w:val="left" w:pos="1080"/>
        </w:tabs>
        <w:suppressAutoHyphens/>
        <w:ind w:firstLine="0"/>
        <w:jc w:val="right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14:paraId="615BD1E5" w14:textId="77777777" w:rsidR="00B7046F" w:rsidRDefault="00B7046F" w:rsidP="00A03E8F">
      <w:pPr>
        <w:tabs>
          <w:tab w:val="left" w:pos="0"/>
          <w:tab w:val="left" w:pos="1080"/>
        </w:tabs>
        <w:suppressAutoHyphens/>
        <w:ind w:firstLine="0"/>
        <w:jc w:val="right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14:paraId="4C2856E3" w14:textId="1287736B" w:rsidR="00B7288A" w:rsidRPr="005F494E" w:rsidRDefault="00F0119D" w:rsidP="00A03E8F">
      <w:pPr>
        <w:tabs>
          <w:tab w:val="left" w:pos="0"/>
          <w:tab w:val="left" w:pos="1080"/>
        </w:tabs>
        <w:suppressAutoHyphens/>
        <w:ind w:firstLine="0"/>
        <w:jc w:val="right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proofErr w:type="spellStart"/>
      <w:r w:rsidRPr="005F494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Annex</w:t>
      </w:r>
      <w:proofErr w:type="spellEnd"/>
      <w:r w:rsidRPr="005F494E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 xml:space="preserve"> </w:t>
      </w:r>
      <w:bookmarkStart w:id="4" w:name="_Hlk193371640"/>
      <w:r w:rsidR="008B52E6">
        <w:rPr>
          <w:rFonts w:ascii="Times New Roman" w:eastAsia="Batang" w:hAnsi="Times New Roman" w:cs="Times New Roman"/>
          <w:b/>
          <w:sz w:val="24"/>
          <w:szCs w:val="24"/>
          <w:lang w:eastAsia="ar-SA"/>
        </w:rPr>
        <w:t>2</w:t>
      </w:r>
    </w:p>
    <w:p w14:paraId="43D3945C" w14:textId="77777777" w:rsidR="00B7288A" w:rsidRPr="005F494E" w:rsidRDefault="00B7288A" w:rsidP="008517B6">
      <w:pPr>
        <w:tabs>
          <w:tab w:val="left" w:pos="0"/>
          <w:tab w:val="left" w:pos="1080"/>
        </w:tabs>
        <w:suppressAutoHyphens/>
        <w:ind w:firstLine="0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p w14:paraId="063D404F" w14:textId="77777777" w:rsidR="00B7288A" w:rsidRPr="005F494E" w:rsidRDefault="00B7288A" w:rsidP="00B7288A">
      <w:pPr>
        <w:tabs>
          <w:tab w:val="left" w:pos="0"/>
          <w:tab w:val="left" w:pos="1080"/>
        </w:tabs>
        <w:suppressAutoHyphens/>
        <w:ind w:firstLine="0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5F494E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TECHNICAL REQUIREMENTS</w:t>
      </w:r>
    </w:p>
    <w:p w14:paraId="3BB7DE2D" w14:textId="255082C8" w:rsidR="00B7288A" w:rsidRPr="005F494E" w:rsidRDefault="00B7288A" w:rsidP="00B7288A">
      <w:pPr>
        <w:tabs>
          <w:tab w:val="left" w:pos="0"/>
          <w:tab w:val="left" w:pos="1080"/>
        </w:tabs>
        <w:suppressAutoHyphens/>
        <w:ind w:firstLine="0"/>
        <w:jc w:val="center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  <w:r w:rsidRPr="005F494E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 xml:space="preserve">REPAIR AND MAINTENANCE SERVICES FOR PROGRAMS AND COMPONENTS OF THE STATE BORDER GUARD SERVICE RADAR SUBSYSTEM </w:t>
      </w:r>
      <w:r w:rsidR="008761C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(</w:t>
      </w:r>
      <w:proofErr w:type="spellStart"/>
      <w:r w:rsidR="008761C8" w:rsidRPr="008761C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hereinafter</w:t>
      </w:r>
      <w:proofErr w:type="spellEnd"/>
      <w:r w:rsidR="008761C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-SBGS)</w:t>
      </w:r>
    </w:p>
    <w:bookmarkEnd w:id="4"/>
    <w:p w14:paraId="1090FDE9" w14:textId="77777777" w:rsidR="004F1FDC" w:rsidRPr="005F494E" w:rsidRDefault="004F1FDC" w:rsidP="004F1FDC">
      <w:pPr>
        <w:tabs>
          <w:tab w:val="left" w:pos="0"/>
          <w:tab w:val="left" w:pos="1080"/>
        </w:tabs>
        <w:suppressAutoHyphens/>
        <w:ind w:firstLine="0"/>
        <w:rPr>
          <w:rFonts w:ascii="Times New Roman" w:eastAsia="Batang" w:hAnsi="Times New Roman" w:cs="Times New Roman"/>
          <w:b/>
          <w:sz w:val="24"/>
          <w:szCs w:val="24"/>
          <w:lang w:eastAsia="ar-SA"/>
        </w:rPr>
      </w:pPr>
    </w:p>
    <w:tbl>
      <w:tblPr>
        <w:tblW w:w="964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14"/>
        <w:gridCol w:w="8930"/>
      </w:tblGrid>
      <w:tr w:rsidR="00170CF9" w:rsidRPr="005F494E" w14:paraId="5AB247CB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9816D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No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0BC3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Requirement</w:t>
            </w:r>
            <w:proofErr w:type="spellEnd"/>
          </w:p>
        </w:tc>
      </w:tr>
      <w:tr w:rsidR="00170CF9" w:rsidRPr="005F494E" w14:paraId="3A237DCB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7927F7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F3D1" w14:textId="4CE2763F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support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provided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application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functional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components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consist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During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entire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support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period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designated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contract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authorized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representative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give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technical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advice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assistance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written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form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using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mutually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agreed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electronic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collaboration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services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messaging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e-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mail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etc.)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verbally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phone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601D5376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DAE48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02AF" w14:textId="4E7FD23A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technical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advice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assistance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provided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include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detailed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instructions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how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eliminate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possible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issues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installation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configuration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maintenance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application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components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0FD1CA15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7BE77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CAF4" w14:textId="77777777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Providing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technical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advice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assistance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start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later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working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business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days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after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receiving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Customer’s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request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Response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request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include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corrective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procedures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either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Customer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25AD63FA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25028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0824" w14:textId="1C07775F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During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entire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contractual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support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period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eliminate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identified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Purchaser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accordance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with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requirements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herein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</w:tc>
      </w:tr>
      <w:tr w:rsidR="00170CF9" w:rsidRPr="005F494E" w14:paraId="32B76DEC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13D53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41E9" w14:textId="4840C475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understood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flaw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failure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fault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component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made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results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inability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operate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entire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system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causes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produce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incorrect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unexpected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result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behave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unintended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ways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Aforementioned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situation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understood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only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it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caused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gross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negligence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willful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incompetence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Customer’s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personnel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such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improper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configuration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etc. </w:t>
            </w:r>
          </w:p>
        </w:tc>
      </w:tr>
      <w:tr w:rsidR="00170CF9" w:rsidRPr="005F494E" w14:paraId="7394FDE1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00B5C0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42F9" w14:textId="1C8C5282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classified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Purchaser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considering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importance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urgency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resolving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following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13E8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four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categories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14:paraId="30495760" w14:textId="7A217DB7" w:rsidR="00170CF9" w:rsidRPr="005F494E" w:rsidRDefault="00170CF9" w:rsidP="001F3BBC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CE38C1">
              <w:rPr>
                <w:rFonts w:ascii="Times New Roman" w:hAnsi="Times New Roman" w:cs="Times New Roman"/>
                <w:b/>
                <w:bCs/>
              </w:rPr>
              <w:t>high</w:t>
            </w:r>
            <w:proofErr w:type="spellEnd"/>
            <w:r w:rsidRPr="00CE38C1">
              <w:rPr>
                <w:rFonts w:ascii="Times New Roman" w:hAnsi="Times New Roman" w:cs="Times New Roman"/>
                <w:b/>
                <w:bCs/>
              </w:rPr>
              <w:t>,</w:t>
            </w:r>
            <w:r w:rsidRPr="00CE38C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CE38C1">
              <w:rPr>
                <w:rFonts w:ascii="Times New Roman" w:hAnsi="Times New Roman" w:cs="Times New Roman"/>
                <w:b/>
                <w:bCs/>
              </w:rPr>
              <w:t>medium</w:t>
            </w:r>
            <w:proofErr w:type="spellEnd"/>
            <w:r w:rsidRPr="00CE38C1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CE38C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low</w:t>
            </w:r>
            <w:proofErr w:type="spellEnd"/>
            <w:r w:rsidRPr="00CE38C1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CE38C1">
              <w:rPr>
                <w:rFonts w:ascii="Times New Roman" w:eastAsia="Times New Roman" w:hAnsi="Times New Roman" w:cs="Times New Roman"/>
                <w:lang w:eastAsia="ar-SA"/>
              </w:rPr>
              <w:t>and</w:t>
            </w:r>
            <w:proofErr w:type="spellEnd"/>
            <w:r w:rsidRPr="00CE38C1"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  <w:t xml:space="preserve"> other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 w:eastAsia="ar-SA"/>
              </w:rPr>
              <w:t>.</w:t>
            </w:r>
          </w:p>
        </w:tc>
      </w:tr>
      <w:tr w:rsidR="00170CF9" w:rsidRPr="005F494E" w14:paraId="4F393DE2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DC8D9C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4990" w14:textId="18012474" w:rsidR="00170CF9" w:rsidRPr="005F494E" w:rsidRDefault="00170CF9" w:rsidP="001F3BB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493B">
              <w:rPr>
                <w:rFonts w:ascii="Times New Roman" w:hAnsi="Times New Roman" w:cs="Times New Roman"/>
                <w:b/>
                <w:bCs/>
              </w:rPr>
              <w:t>High</w:t>
            </w:r>
            <w:proofErr w:type="spellEnd"/>
            <w:r w:rsidRPr="00C3493B">
              <w:rPr>
                <w:rFonts w:ascii="Times New Roman" w:hAnsi="Times New Roman" w:cs="Times New Roman"/>
                <w:b/>
                <w:bCs/>
              </w:rPr>
              <w:t>.</w:t>
            </w:r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Situations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that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lead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to a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state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which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critical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key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functionality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not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operating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can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such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scenario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function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properly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and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may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not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5F494E">
              <w:rPr>
                <w:rFonts w:ascii="Times New Roman" w:hAnsi="Times New Roman" w:cs="Times New Roman"/>
              </w:rPr>
              <w:t>used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conduct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primary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operational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mission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of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or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such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state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that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it </w:t>
            </w:r>
            <w:proofErr w:type="spellStart"/>
            <w:r w:rsidRPr="005F494E">
              <w:rPr>
                <w:rFonts w:ascii="Times New Roman" w:hAnsi="Times New Roman" w:cs="Times New Roman"/>
              </w:rPr>
              <w:t>requires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immediate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actions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order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for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customer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continue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its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operations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Situations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that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categorized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this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class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are </w:t>
            </w:r>
            <w:proofErr w:type="spellStart"/>
            <w:r w:rsidRPr="005F494E">
              <w:rPr>
                <w:rFonts w:ascii="Times New Roman" w:hAnsi="Times New Roman" w:cs="Times New Roman"/>
              </w:rPr>
              <w:t>e.g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.: </w:t>
            </w:r>
          </w:p>
          <w:p w14:paraId="708A116B" w14:textId="77777777" w:rsidR="00170CF9" w:rsidRPr="005F494E" w:rsidRDefault="00170CF9" w:rsidP="001F3BB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494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494E">
              <w:rPr>
                <w:rFonts w:ascii="Times New Roman" w:hAnsi="Times New Roman" w:cs="Times New Roman"/>
              </w:rPr>
              <w:t>Errors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core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functionality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critical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to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customer’s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core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operations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494E">
              <w:rPr>
                <w:rFonts w:ascii="Times New Roman" w:hAnsi="Times New Roman" w:cs="Times New Roman"/>
              </w:rPr>
              <w:t>e.g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cannot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process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and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compile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situational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picture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F494E">
              <w:rPr>
                <w:rFonts w:ascii="Times New Roman" w:hAnsi="Times New Roman" w:cs="Times New Roman"/>
              </w:rPr>
              <w:t>errors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in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MMHS. </w:t>
            </w:r>
          </w:p>
          <w:p w14:paraId="7BCB3CAA" w14:textId="77777777" w:rsidR="00170CF9" w:rsidRPr="005F494E" w:rsidRDefault="00170CF9" w:rsidP="001F3BB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494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494E">
              <w:rPr>
                <w:rFonts w:ascii="Times New Roman" w:hAnsi="Times New Roman" w:cs="Times New Roman"/>
              </w:rPr>
              <w:t>Recurrent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non-continuous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system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crashes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</w:p>
          <w:p w14:paraId="3EE33D45" w14:textId="77777777" w:rsidR="00170CF9" w:rsidRPr="005F494E" w:rsidRDefault="00170CF9" w:rsidP="001F3BB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F494E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Service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restarts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that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significantly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impairs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processing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of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situational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</w:rPr>
              <w:t>picture</w:t>
            </w:r>
            <w:proofErr w:type="spellEnd"/>
            <w:r w:rsidRPr="005F494E">
              <w:rPr>
                <w:rFonts w:ascii="Times New Roman" w:hAnsi="Times New Roman" w:cs="Times New Roman"/>
              </w:rPr>
              <w:t xml:space="preserve"> </w:t>
            </w:r>
          </w:p>
          <w:p w14:paraId="2EB24F1E" w14:textId="77777777" w:rsidR="00170CF9" w:rsidRPr="005F494E" w:rsidRDefault="00170CF9" w:rsidP="001F3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errors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partners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regarding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endangers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mission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proofErr w:type="spellEnd"/>
            <w:r w:rsidRPr="005F49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3170A9" w14:textId="4E506FF1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70CF9" w:rsidRPr="005F494E" w14:paraId="417C3A2B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07ED74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6.2.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59A0" w14:textId="6E356863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3493B">
              <w:rPr>
                <w:rFonts w:ascii="Times New Roman" w:hAnsi="Times New Roman" w:cs="Times New Roman"/>
                <w:b/>
                <w:bCs/>
              </w:rPr>
              <w:t>Medium</w:t>
            </w:r>
            <w:proofErr w:type="spellEnd"/>
            <w:r w:rsidRPr="00C3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which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result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failure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entire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component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cause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produce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incorrect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results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some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processing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alternatives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which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allow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further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operation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170CF9" w:rsidRPr="005F494E" w14:paraId="5BB9CE55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D06913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D57F" w14:textId="7B5133AE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349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Low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cause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produce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incomplete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inconsistent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results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measures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operator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able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use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order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eliminate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effect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such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defect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170CF9" w:rsidRPr="005F494E" w14:paraId="445D0C2B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D7C3B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A5BF" w14:textId="2C30794C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34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Other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covered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either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three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above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listed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categories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prevent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hinder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functionality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0B5E9A46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A8B6BF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9129" w14:textId="486C5927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eliminate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within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following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time-periods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counting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from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moment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submission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required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understand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problem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):</w:t>
            </w:r>
          </w:p>
        </w:tc>
      </w:tr>
      <w:tr w:rsidR="00170CF9" w:rsidRPr="005F494E" w14:paraId="24F12067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11F4F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5" w:name="_Hlk193451641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F62A" w14:textId="3F3F1EDE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3493B">
              <w:rPr>
                <w:rFonts w:ascii="Times New Roman" w:hAnsi="Times New Roman" w:cs="Times New Roman"/>
                <w:b/>
                <w:bCs/>
              </w:rPr>
              <w:t>High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later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calendar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days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remedy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situation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14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calendar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days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fix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situation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);</w:t>
            </w:r>
          </w:p>
        </w:tc>
      </w:tr>
      <w:bookmarkEnd w:id="5"/>
      <w:tr w:rsidR="00170CF9" w:rsidRPr="005F494E" w14:paraId="466D3621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4C464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1A48" w14:textId="78EEF655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3493B">
              <w:rPr>
                <w:rFonts w:ascii="Times New Roman" w:hAnsi="Times New Roman" w:cs="Times New Roman"/>
                <w:b/>
                <w:bCs/>
              </w:rPr>
              <w:t>Medium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later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within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40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calendar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days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</w:tc>
      </w:tr>
      <w:tr w:rsidR="00170CF9" w:rsidRPr="005F494E" w14:paraId="0D6257A8" w14:textId="77777777" w:rsidTr="00170CF9">
        <w:trPr>
          <w:trHeight w:val="21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C26208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923" w14:textId="289C18B5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3493B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Low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next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scheduled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release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262D07CC" w14:textId="77777777" w:rsidTr="00170CF9">
        <w:trPr>
          <w:trHeight w:val="21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C98267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C7001" w14:textId="7A48D22C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85D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Other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errors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fixed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developed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accordance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with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’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development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schedule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743691FE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0D7C8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CFBF" w14:textId="6C35EEFC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During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contractual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support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period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periodically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provide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components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developed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accordance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with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’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development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schedule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including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licenses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such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required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supplier’s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licensing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policy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application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be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provided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not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later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than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months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after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issues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new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version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annually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case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Supplier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accordance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with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regular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development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schedule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application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several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times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year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70CF9" w:rsidRPr="005F494E" w14:paraId="138448A3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BB695" w14:textId="77777777" w:rsidR="00170CF9" w:rsidRPr="005F494E" w:rsidRDefault="00170CF9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65E5" w14:textId="20107E80" w:rsidR="00170CF9" w:rsidRPr="005F494E" w:rsidRDefault="00170CF9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The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updated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version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SBGS</w:t>
            </w:r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application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software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shall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include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instructions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updating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process</w:t>
            </w:r>
            <w:proofErr w:type="spellEnd"/>
            <w:r w:rsidRPr="005F49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0261E" w:rsidRPr="0000261E" w14:paraId="645BA050" w14:textId="77777777" w:rsidTr="00170CF9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14C5C2" w14:textId="78EF455F" w:rsidR="002D3395" w:rsidRPr="0000261E" w:rsidRDefault="002D3395" w:rsidP="004F1FDC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56F3" w14:textId="73FE4E1B" w:rsidR="002D3395" w:rsidRPr="0000261E" w:rsidRDefault="002D3395" w:rsidP="00A7595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All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new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equipment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covered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minimum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warranty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24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months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and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refurbished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equipment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is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covered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by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minimum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warranty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of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 </w:t>
            </w:r>
            <w:proofErr w:type="spellStart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months</w:t>
            </w:r>
            <w:proofErr w:type="spellEnd"/>
            <w:r w:rsidRPr="0000261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14:paraId="13354C9E" w14:textId="77777777" w:rsidR="00400E11" w:rsidRDefault="00400E11" w:rsidP="00624F6B">
      <w:pPr>
        <w:tabs>
          <w:tab w:val="left" w:pos="0"/>
          <w:tab w:val="left" w:pos="1080"/>
        </w:tabs>
        <w:suppressAutoHyphens/>
        <w:ind w:firstLine="0"/>
        <w:jc w:val="center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</w:p>
    <w:p w14:paraId="2E3A820B" w14:textId="4E8659F1" w:rsidR="004F1FDC" w:rsidRPr="00624F6B" w:rsidRDefault="00750BFF" w:rsidP="00624F6B">
      <w:pPr>
        <w:tabs>
          <w:tab w:val="left" w:pos="0"/>
          <w:tab w:val="left" w:pos="1080"/>
        </w:tabs>
        <w:suppressAutoHyphens/>
        <w:ind w:firstLine="0"/>
        <w:jc w:val="center"/>
        <w:rPr>
          <w:rFonts w:ascii="Times New Roman" w:eastAsia="Batang" w:hAnsi="Times New Roman" w:cs="Times New Roman"/>
          <w:bCs/>
          <w:sz w:val="24"/>
          <w:szCs w:val="24"/>
          <w:lang w:eastAsia="ar-SA"/>
        </w:rPr>
      </w:pPr>
      <w:r w:rsidRPr="00897562">
        <w:rPr>
          <w:rFonts w:ascii="Times New Roman" w:eastAsia="Batang" w:hAnsi="Times New Roman" w:cs="Times New Roman"/>
          <w:bCs/>
          <w:sz w:val="24"/>
          <w:szCs w:val="24"/>
          <w:lang w:eastAsia="ar-SA"/>
        </w:rPr>
        <w:t>__________________________________________________________________</w:t>
      </w:r>
    </w:p>
    <w:sectPr w:rsidR="004F1FDC" w:rsidRPr="00624F6B" w:rsidSect="001C21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2647" w14:textId="77777777" w:rsidR="00520FE7" w:rsidRDefault="00520FE7" w:rsidP="001C21B1">
      <w:r>
        <w:separator/>
      </w:r>
    </w:p>
  </w:endnote>
  <w:endnote w:type="continuationSeparator" w:id="0">
    <w:p w14:paraId="5489F0C2" w14:textId="77777777" w:rsidR="00520FE7" w:rsidRDefault="00520FE7" w:rsidP="001C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2C3B" w14:textId="77777777" w:rsidR="001C21B1" w:rsidRDefault="001C21B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F39B1" w14:textId="77777777" w:rsidR="001C21B1" w:rsidRDefault="001C21B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E3B8A" w14:textId="77777777" w:rsidR="001C21B1" w:rsidRDefault="001C21B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4C449" w14:textId="77777777" w:rsidR="00520FE7" w:rsidRDefault="00520FE7" w:rsidP="001C21B1">
      <w:r>
        <w:separator/>
      </w:r>
    </w:p>
  </w:footnote>
  <w:footnote w:type="continuationSeparator" w:id="0">
    <w:p w14:paraId="10B1D397" w14:textId="77777777" w:rsidR="00520FE7" w:rsidRDefault="00520FE7" w:rsidP="001C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D0CC" w14:textId="77777777" w:rsidR="001C21B1" w:rsidRDefault="001C21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3256683"/>
      <w:docPartObj>
        <w:docPartGallery w:val="Page Numbers (Top of Page)"/>
        <w:docPartUnique/>
      </w:docPartObj>
    </w:sdtPr>
    <w:sdtContent>
      <w:p w14:paraId="0E4EBF14" w14:textId="22F880F7" w:rsidR="001C21B1" w:rsidRDefault="001C21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E4C733" w14:textId="77777777" w:rsidR="001C21B1" w:rsidRDefault="001C21B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264" w14:textId="77777777" w:rsidR="001C21B1" w:rsidRDefault="001C21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numFmt w:val="bullet"/>
      <w:lvlText w:val="-"/>
      <w:lvlJc w:val="left"/>
      <w:pPr>
        <w:ind w:left="57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745" w:hanging="135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30" w:hanging="1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5" w:hanging="1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0" w:hanging="1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85" w:hanging="1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70" w:hanging="1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5" w:hanging="1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40" w:hanging="135"/>
      </w:pPr>
      <w:rPr>
        <w:rFonts w:hint="default"/>
        <w:lang w:val="en-US" w:eastAsia="en-US" w:bidi="ar-SA"/>
      </w:rPr>
    </w:lvl>
  </w:abstractNum>
  <w:abstractNum w:abstractNumId="1" w15:restartNumberingAfterBreak="0">
    <w:nsid w:val="B5E306ED"/>
    <w:multiLevelType w:val="multilevel"/>
    <w:tmpl w:val="076C291C"/>
    <w:lvl w:ilvl="0">
      <w:start w:val="1"/>
      <w:numFmt w:val="decimal"/>
      <w:lvlText w:val="%1."/>
      <w:lvlJc w:val="left"/>
      <w:pPr>
        <w:ind w:left="719" w:hanging="567"/>
        <w:jc w:val="left"/>
      </w:pPr>
      <w:rPr>
        <w:rFonts w:ascii="Times New Roman" w:eastAsia="Arial" w:hAnsi="Times New Roman" w:cs="Times New Roman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456" w:hanging="1304"/>
        <w:jc w:val="left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56" w:hanging="1304"/>
        <w:jc w:val="left"/>
      </w:pPr>
      <w:rPr>
        <w:rFonts w:ascii="Times New Roman" w:eastAsia="Arial" w:hAnsi="Times New Roman" w:cs="Times New Roman" w:hint="default"/>
        <w:b w:val="0"/>
        <w:bCs w:val="0"/>
        <w:i/>
        <w:iCs/>
        <w:spacing w:val="-2"/>
        <w:w w:val="100"/>
        <w:sz w:val="24"/>
        <w:szCs w:val="24"/>
        <w:lang w:val="en-US" w:eastAsia="en-US" w:bidi="ar-SA"/>
      </w:rPr>
    </w:lvl>
    <w:lvl w:ilvl="3">
      <w:numFmt w:val="bullet"/>
      <w:lvlText w:val="-"/>
      <w:lvlJc w:val="left"/>
      <w:pPr>
        <w:ind w:left="311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3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5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3"/>
    <w:multiLevelType w:val="multilevel"/>
    <w:tmpl w:val="2098E4E0"/>
    <w:name w:val="WW8Num3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248C179"/>
    <w:multiLevelType w:val="multilevel"/>
    <w:tmpl w:val="0248C179"/>
    <w:lvl w:ilvl="0">
      <w:numFmt w:val="bullet"/>
      <w:lvlText w:val="-"/>
      <w:lvlJc w:val="left"/>
      <w:pPr>
        <w:ind w:left="57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745" w:hanging="13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30" w:hanging="1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5" w:hanging="1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0" w:hanging="1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85" w:hanging="1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70" w:hanging="1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5" w:hanging="1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40" w:hanging="137"/>
      </w:pPr>
      <w:rPr>
        <w:rFonts w:hint="default"/>
        <w:lang w:val="en-US" w:eastAsia="en-US" w:bidi="ar-SA"/>
      </w:rPr>
    </w:lvl>
  </w:abstractNum>
  <w:abstractNum w:abstractNumId="4" w15:restartNumberingAfterBreak="0">
    <w:nsid w:val="25B654F3"/>
    <w:multiLevelType w:val="multilevel"/>
    <w:tmpl w:val="25B654F3"/>
    <w:lvl w:ilvl="0">
      <w:numFmt w:val="bullet"/>
      <w:lvlText w:val="-"/>
      <w:lvlJc w:val="left"/>
      <w:pPr>
        <w:ind w:left="21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A8F537B"/>
    <w:multiLevelType w:val="multilevel"/>
    <w:tmpl w:val="2A8F537B"/>
    <w:lvl w:ilvl="0">
      <w:numFmt w:val="bullet"/>
      <w:lvlText w:val="-"/>
      <w:lvlJc w:val="left"/>
      <w:pPr>
        <w:ind w:left="57" w:hanging="1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745" w:hanging="137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30" w:hanging="1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15" w:hanging="1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0" w:hanging="1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85" w:hanging="1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70" w:hanging="1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5" w:hanging="1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40" w:hanging="137"/>
      </w:pPr>
      <w:rPr>
        <w:rFonts w:hint="default"/>
        <w:lang w:val="en-US" w:eastAsia="en-US" w:bidi="ar-SA"/>
      </w:rPr>
    </w:lvl>
  </w:abstractNum>
  <w:abstractNum w:abstractNumId="6" w15:restartNumberingAfterBreak="0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217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789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17" w:hanging="360"/>
      </w:pPr>
      <w:rPr>
        <w:rFonts w:hint="default"/>
        <w:lang w:val="en-US" w:eastAsia="en-US" w:bidi="ar-SA"/>
      </w:rPr>
    </w:lvl>
  </w:abstractNum>
  <w:num w:numId="1" w16cid:durableId="1551528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4400610">
    <w:abstractNumId w:val="3"/>
  </w:num>
  <w:num w:numId="3" w16cid:durableId="828138454">
    <w:abstractNumId w:val="0"/>
  </w:num>
  <w:num w:numId="4" w16cid:durableId="1808814335">
    <w:abstractNumId w:val="5"/>
  </w:num>
  <w:num w:numId="5" w16cid:durableId="1210144944">
    <w:abstractNumId w:val="1"/>
  </w:num>
  <w:num w:numId="6" w16cid:durableId="1027410777">
    <w:abstractNumId w:val="4"/>
  </w:num>
  <w:num w:numId="7" w16cid:durableId="1933003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68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18"/>
    <w:rsid w:val="0000261E"/>
    <w:rsid w:val="00066804"/>
    <w:rsid w:val="0009480C"/>
    <w:rsid w:val="000E44B0"/>
    <w:rsid w:val="000F2CE5"/>
    <w:rsid w:val="00117E8B"/>
    <w:rsid w:val="00124F2D"/>
    <w:rsid w:val="0014368B"/>
    <w:rsid w:val="0015380C"/>
    <w:rsid w:val="00170CF9"/>
    <w:rsid w:val="001918DE"/>
    <w:rsid w:val="00192375"/>
    <w:rsid w:val="001C21B1"/>
    <w:rsid w:val="001F3BBC"/>
    <w:rsid w:val="0022079F"/>
    <w:rsid w:val="00297436"/>
    <w:rsid w:val="002D3395"/>
    <w:rsid w:val="002E5FE6"/>
    <w:rsid w:val="0030219F"/>
    <w:rsid w:val="00343E32"/>
    <w:rsid w:val="00377820"/>
    <w:rsid w:val="003D4608"/>
    <w:rsid w:val="003D7BAA"/>
    <w:rsid w:val="003E65ED"/>
    <w:rsid w:val="003E78F6"/>
    <w:rsid w:val="00400E11"/>
    <w:rsid w:val="00406F14"/>
    <w:rsid w:val="004B42A0"/>
    <w:rsid w:val="004C0447"/>
    <w:rsid w:val="004C1F18"/>
    <w:rsid w:val="004C33B3"/>
    <w:rsid w:val="004C3975"/>
    <w:rsid w:val="004E0565"/>
    <w:rsid w:val="004F1FDC"/>
    <w:rsid w:val="005128BA"/>
    <w:rsid w:val="00513E8D"/>
    <w:rsid w:val="00520FE7"/>
    <w:rsid w:val="00527543"/>
    <w:rsid w:val="00576179"/>
    <w:rsid w:val="0058254C"/>
    <w:rsid w:val="005F494E"/>
    <w:rsid w:val="006030A7"/>
    <w:rsid w:val="00624F6B"/>
    <w:rsid w:val="00646D45"/>
    <w:rsid w:val="0067720A"/>
    <w:rsid w:val="006811C9"/>
    <w:rsid w:val="006B155B"/>
    <w:rsid w:val="00750BFF"/>
    <w:rsid w:val="007E3459"/>
    <w:rsid w:val="00816B9F"/>
    <w:rsid w:val="00825F8C"/>
    <w:rsid w:val="0083671A"/>
    <w:rsid w:val="00842E2B"/>
    <w:rsid w:val="008478AD"/>
    <w:rsid w:val="008517B6"/>
    <w:rsid w:val="00867DCE"/>
    <w:rsid w:val="008761C8"/>
    <w:rsid w:val="00897562"/>
    <w:rsid w:val="008B52E6"/>
    <w:rsid w:val="00935A7F"/>
    <w:rsid w:val="00942ED1"/>
    <w:rsid w:val="00950CF1"/>
    <w:rsid w:val="00953B4B"/>
    <w:rsid w:val="009636CB"/>
    <w:rsid w:val="00985D50"/>
    <w:rsid w:val="00996998"/>
    <w:rsid w:val="009F3FC2"/>
    <w:rsid w:val="009F6FB6"/>
    <w:rsid w:val="00A03327"/>
    <w:rsid w:val="00A03E8F"/>
    <w:rsid w:val="00A308BE"/>
    <w:rsid w:val="00A60F6B"/>
    <w:rsid w:val="00A75959"/>
    <w:rsid w:val="00AB0B68"/>
    <w:rsid w:val="00AB7118"/>
    <w:rsid w:val="00AF1493"/>
    <w:rsid w:val="00B035BB"/>
    <w:rsid w:val="00B0671D"/>
    <w:rsid w:val="00B122AB"/>
    <w:rsid w:val="00B43EDC"/>
    <w:rsid w:val="00B476C0"/>
    <w:rsid w:val="00B7046F"/>
    <w:rsid w:val="00B7288A"/>
    <w:rsid w:val="00B75EC7"/>
    <w:rsid w:val="00B840BA"/>
    <w:rsid w:val="00B8506E"/>
    <w:rsid w:val="00BA4431"/>
    <w:rsid w:val="00BA4D57"/>
    <w:rsid w:val="00BB1B0F"/>
    <w:rsid w:val="00BD687C"/>
    <w:rsid w:val="00BE6FC5"/>
    <w:rsid w:val="00C14C3C"/>
    <w:rsid w:val="00C3493B"/>
    <w:rsid w:val="00C51547"/>
    <w:rsid w:val="00C62B1D"/>
    <w:rsid w:val="00C7633A"/>
    <w:rsid w:val="00C9077E"/>
    <w:rsid w:val="00CC493F"/>
    <w:rsid w:val="00CE38C1"/>
    <w:rsid w:val="00CF7E39"/>
    <w:rsid w:val="00D97D57"/>
    <w:rsid w:val="00DB3767"/>
    <w:rsid w:val="00DF181D"/>
    <w:rsid w:val="00E371A8"/>
    <w:rsid w:val="00E526D5"/>
    <w:rsid w:val="00E52C74"/>
    <w:rsid w:val="00E53C6C"/>
    <w:rsid w:val="00E61DB7"/>
    <w:rsid w:val="00E740CF"/>
    <w:rsid w:val="00E96374"/>
    <w:rsid w:val="00EA38FB"/>
    <w:rsid w:val="00F0119D"/>
    <w:rsid w:val="00F06C78"/>
    <w:rsid w:val="00F3766C"/>
    <w:rsid w:val="00F513F3"/>
    <w:rsid w:val="00F72616"/>
    <w:rsid w:val="00F90E52"/>
    <w:rsid w:val="00F966DD"/>
    <w:rsid w:val="00FE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684B"/>
  <w15:chartTrackingRefBased/>
  <w15:docId w15:val="{2CE12B0D-DA32-404D-B13D-1BF2629E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left"/>
    </w:pPr>
  </w:style>
  <w:style w:type="paragraph" w:styleId="Antrat1">
    <w:name w:val="heading 1"/>
    <w:basedOn w:val="prastasis"/>
    <w:link w:val="Antrat1Diagrama"/>
    <w:uiPriority w:val="1"/>
    <w:qFormat/>
    <w:rsid w:val="00DF181D"/>
    <w:pPr>
      <w:widowControl w:val="0"/>
      <w:autoSpaceDE w:val="0"/>
      <w:autoSpaceDN w:val="0"/>
      <w:spacing w:before="83"/>
      <w:ind w:left="718" w:hanging="566"/>
      <w:outlineLvl w:val="0"/>
    </w:pPr>
    <w:rPr>
      <w:rFonts w:ascii="Arial" w:eastAsia="Arial" w:hAnsi="Arial" w:cs="Arial"/>
      <w:b/>
      <w:bCs/>
      <w:sz w:val="32"/>
      <w:szCs w:val="32"/>
      <w:lang w:val="en-US"/>
    </w:rPr>
  </w:style>
  <w:style w:type="paragraph" w:styleId="Antrat2">
    <w:name w:val="heading 2"/>
    <w:basedOn w:val="prastasis"/>
    <w:link w:val="Antrat2Diagrama"/>
    <w:uiPriority w:val="1"/>
    <w:qFormat/>
    <w:rsid w:val="00DF181D"/>
    <w:pPr>
      <w:widowControl w:val="0"/>
      <w:autoSpaceDE w:val="0"/>
      <w:autoSpaceDN w:val="0"/>
      <w:ind w:left="1455" w:hanging="1303"/>
      <w:outlineLvl w:val="1"/>
    </w:pPr>
    <w:rPr>
      <w:rFonts w:ascii="Arial" w:eastAsia="Arial" w:hAnsi="Arial" w:cs="Arial"/>
      <w:i/>
      <w:iCs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1FD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1F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F3BBC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E371A8"/>
    <w:pPr>
      <w:widowControl w:val="0"/>
      <w:autoSpaceDE w:val="0"/>
      <w:autoSpaceDN w:val="0"/>
      <w:ind w:firstLine="0"/>
    </w:pPr>
    <w:rPr>
      <w:rFonts w:ascii="Arial MT" w:eastAsia="Arial MT" w:hAnsi="Arial MT" w:cs="Arial MT"/>
    </w:rPr>
  </w:style>
  <w:style w:type="character" w:customStyle="1" w:styleId="Antrat1Diagrama">
    <w:name w:val="Antraštė 1 Diagrama"/>
    <w:basedOn w:val="Numatytasispastraiposriftas"/>
    <w:link w:val="Antrat1"/>
    <w:uiPriority w:val="1"/>
    <w:rsid w:val="00DF181D"/>
    <w:rPr>
      <w:rFonts w:ascii="Arial" w:eastAsia="Arial" w:hAnsi="Arial" w:cs="Arial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1"/>
    <w:rsid w:val="00DF181D"/>
    <w:rPr>
      <w:rFonts w:ascii="Arial" w:eastAsia="Arial" w:hAnsi="Arial" w:cs="Arial"/>
      <w:i/>
      <w:iCs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"/>
    <w:uiPriority w:val="1"/>
    <w:qFormat/>
    <w:rsid w:val="00DF181D"/>
    <w:pPr>
      <w:widowControl w:val="0"/>
      <w:autoSpaceDE w:val="0"/>
      <w:autoSpaceDN w:val="0"/>
      <w:ind w:firstLine="0"/>
    </w:pPr>
    <w:rPr>
      <w:rFonts w:ascii="Arial MT" w:eastAsia="Arial MT" w:hAnsi="Arial MT" w:cs="Arial MT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181D"/>
    <w:rPr>
      <w:rFonts w:ascii="Arial MT" w:eastAsia="Arial MT" w:hAnsi="Arial MT" w:cs="Arial MT"/>
      <w:lang w:val="en-US"/>
    </w:rPr>
  </w:style>
  <w:style w:type="paragraph" w:styleId="Sraopastraipa">
    <w:name w:val="List Paragraph"/>
    <w:basedOn w:val="prastasis"/>
    <w:uiPriority w:val="1"/>
    <w:qFormat/>
    <w:rsid w:val="00DF181D"/>
    <w:pPr>
      <w:widowControl w:val="0"/>
      <w:autoSpaceDE w:val="0"/>
      <w:autoSpaceDN w:val="0"/>
      <w:ind w:left="1455" w:hanging="1303"/>
    </w:pPr>
    <w:rPr>
      <w:rFonts w:ascii="Arial MT" w:eastAsia="Arial MT" w:hAnsi="Arial MT" w:cs="Arial MT"/>
      <w:lang w:val="en-US"/>
    </w:rPr>
  </w:style>
  <w:style w:type="character" w:styleId="Komentaronuoroda">
    <w:name w:val="annotation reference"/>
    <w:basedOn w:val="Numatytasispastraiposriftas"/>
    <w:rsid w:val="00DF18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F181D"/>
    <w:pPr>
      <w:widowControl w:val="0"/>
      <w:autoSpaceDE w:val="0"/>
      <w:autoSpaceDN w:val="0"/>
      <w:ind w:firstLine="0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181D"/>
    <w:rPr>
      <w:rFonts w:ascii="Arial MT" w:eastAsia="Arial MT" w:hAnsi="Arial MT" w:cs="Arial MT"/>
      <w:sz w:val="20"/>
      <w:szCs w:val="20"/>
      <w:lang w:val="en-US"/>
    </w:rPr>
  </w:style>
  <w:style w:type="paragraph" w:styleId="Betarp">
    <w:name w:val="No Spacing"/>
    <w:uiPriority w:val="1"/>
    <w:qFormat/>
    <w:rsid w:val="00297436"/>
    <w:pPr>
      <w:jc w:val="left"/>
    </w:pPr>
  </w:style>
  <w:style w:type="paragraph" w:styleId="Antrats">
    <w:name w:val="header"/>
    <w:basedOn w:val="prastasis"/>
    <w:link w:val="AntratsDiagrama"/>
    <w:uiPriority w:val="99"/>
    <w:unhideWhenUsed/>
    <w:rsid w:val="001C21B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21B1"/>
  </w:style>
  <w:style w:type="paragraph" w:styleId="Porat">
    <w:name w:val="footer"/>
    <w:basedOn w:val="prastasis"/>
    <w:link w:val="PoratDiagrama"/>
    <w:uiPriority w:val="99"/>
    <w:unhideWhenUsed/>
    <w:rsid w:val="001C21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C2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3140</Words>
  <Characters>1791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Klišauskienė Jurgita</cp:lastModifiedBy>
  <cp:revision>2</cp:revision>
  <cp:lastPrinted>2023-09-01T10:17:00Z</cp:lastPrinted>
  <dcterms:created xsi:type="dcterms:W3CDTF">2025-06-04T11:29:00Z</dcterms:created>
  <dcterms:modified xsi:type="dcterms:W3CDTF">2025-06-04T11:29:00Z</dcterms:modified>
</cp:coreProperties>
</file>