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6FCBEC3E" w:rsidR="0056583C" w:rsidRPr="00876FCA" w:rsidRDefault="00B65AE2"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VP-</w:t>
      </w:r>
      <w:r w:rsidR="006723D7">
        <w:rPr>
          <w:rFonts w:ascii="Times New Roman" w:eastAsia="Calibri" w:hAnsi="Times New Roman" w:cs="Times New Roman"/>
          <w:b/>
          <w:sz w:val="24"/>
          <w:szCs w:val="24"/>
        </w:rPr>
        <w:t>3157</w:t>
      </w:r>
      <w:r>
        <w:rPr>
          <w:rFonts w:ascii="Times New Roman" w:eastAsia="Calibri" w:hAnsi="Times New Roman" w:cs="Times New Roman"/>
          <w:b/>
          <w:sz w:val="24"/>
          <w:szCs w:val="24"/>
        </w:rPr>
        <w:t xml:space="preserve"> </w:t>
      </w:r>
      <w:bookmarkStart w:id="0" w:name="_Hlk190412923"/>
      <w:r w:rsidR="00202C44" w:rsidRPr="00202C44">
        <w:rPr>
          <w:rFonts w:ascii="Times New Roman" w:eastAsia="Calibri" w:hAnsi="Times New Roman" w:cs="Times New Roman"/>
          <w:b/>
          <w:bCs/>
          <w:sz w:val="24"/>
          <w:szCs w:val="24"/>
        </w:rPr>
        <w:t>APSAUGOS SISTEMŲ (SIGNALIZACIJOS) PRIEŽIŪROS IR REMONTO PASLAUGŲ</w:t>
      </w:r>
      <w:r w:rsidR="00202C44" w:rsidRPr="00202C44">
        <w:rPr>
          <w:rFonts w:ascii="Times New Roman" w:eastAsia="Calibri" w:hAnsi="Times New Roman" w:cs="Times New Roman"/>
          <w:b/>
          <w:sz w:val="24"/>
          <w:szCs w:val="24"/>
          <w:lang w:val="en-US"/>
        </w:rPr>
        <w:t xml:space="preserve"> </w:t>
      </w:r>
      <w:bookmarkEnd w:id="0"/>
      <w:r>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6B560FB3"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AF39A9" w:rsidRPr="00AF39A9">
        <w:rPr>
          <w:rFonts w:ascii="Times New Roman" w:eastAsia="Calibri" w:hAnsi="Times New Roman" w:cs="Times New Roman"/>
          <w:i/>
          <w:iCs/>
          <w:sz w:val="24"/>
          <w:szCs w:val="24"/>
          <w:lang w:val="pt-BR"/>
        </w:rPr>
        <w:t>patalpų, esančių Vilniu</w:t>
      </w:r>
      <w:r w:rsidR="00D363D4">
        <w:rPr>
          <w:rFonts w:ascii="Times New Roman" w:eastAsia="Calibri" w:hAnsi="Times New Roman" w:cs="Times New Roman"/>
          <w:i/>
          <w:iCs/>
          <w:sz w:val="24"/>
          <w:szCs w:val="24"/>
          <w:lang w:val="pt-BR"/>
        </w:rPr>
        <w:t>je</w:t>
      </w:r>
      <w:r w:rsidR="00AF39A9" w:rsidRPr="00AF39A9">
        <w:rPr>
          <w:rFonts w:ascii="Times New Roman" w:eastAsia="Calibri" w:hAnsi="Times New Roman" w:cs="Times New Roman"/>
          <w:i/>
          <w:iCs/>
          <w:sz w:val="24"/>
          <w:szCs w:val="24"/>
          <w:lang w:val="pt-BR"/>
        </w:rPr>
        <w:t xml:space="preserve"> (Naujamiesčio seniūnijoje) apsauginės (įsilaužimo), pavojaus, gaisro signalizacijos ir kitos sumontuotos įrangos techninės priežiūros paslaug</w:t>
      </w:r>
      <w:r w:rsidR="00D363D4">
        <w:rPr>
          <w:rFonts w:ascii="Times New Roman" w:eastAsia="Calibri" w:hAnsi="Times New Roman" w:cs="Times New Roman"/>
          <w:i/>
          <w:iCs/>
          <w:sz w:val="24"/>
          <w:szCs w:val="24"/>
          <w:lang w:val="pt-BR"/>
        </w:rPr>
        <w:t>a</w:t>
      </w:r>
      <w:r w:rsidR="00AF39A9" w:rsidRPr="00AF39A9">
        <w:rPr>
          <w:rFonts w:ascii="Times New Roman" w:eastAsia="Calibri" w:hAnsi="Times New Roman" w:cs="Times New Roman"/>
          <w:i/>
          <w:iCs/>
          <w:sz w:val="24"/>
          <w:szCs w:val="24"/>
          <w:lang w:val="pt-BR"/>
        </w:rPr>
        <w:t>s</w:t>
      </w:r>
      <w:bookmarkEnd w:id="1"/>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11">
        <w:r w:rsidR="00636D4B" w:rsidRPr="00CC0E00">
          <w:rPr>
            <w:rStyle w:val="Hipersaitas"/>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5AE2"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0E1FB796"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E914CE" w:rsidRPr="00462466">
        <w:rPr>
          <w:rFonts w:ascii="Times New Roman" w:eastAsia="Calibri" w:hAnsi="Times New Roman" w:cs="Times New Roman"/>
          <w:b/>
          <w:bCs/>
          <w:sz w:val="24"/>
          <w:szCs w:val="24"/>
          <w:lang w:val="pt-BR"/>
        </w:rPr>
        <w:t>patalpų, esančių Vilniu</w:t>
      </w:r>
      <w:r w:rsidR="00462466">
        <w:rPr>
          <w:rFonts w:ascii="Times New Roman" w:eastAsia="Calibri" w:hAnsi="Times New Roman" w:cs="Times New Roman"/>
          <w:b/>
          <w:bCs/>
          <w:sz w:val="24"/>
          <w:szCs w:val="24"/>
          <w:lang w:val="pt-BR"/>
        </w:rPr>
        <w:t>je</w:t>
      </w:r>
      <w:r w:rsidR="00E914CE" w:rsidRPr="00462466">
        <w:rPr>
          <w:rFonts w:ascii="Times New Roman" w:eastAsia="Calibri" w:hAnsi="Times New Roman" w:cs="Times New Roman"/>
          <w:b/>
          <w:bCs/>
          <w:sz w:val="24"/>
          <w:szCs w:val="24"/>
          <w:lang w:val="pt-BR"/>
        </w:rPr>
        <w:t xml:space="preserve"> (Naujamiesčio seniūnijoje) apsauginės (įsilaužimo), pavojaus, gaisro signalizacijos ir kitos sumontuotos įrangos techninės priežiūros paslaugos</w:t>
      </w:r>
      <w:r w:rsidR="00E914CE" w:rsidRPr="00E914CE">
        <w:rPr>
          <w:rFonts w:ascii="Times New Roman" w:eastAsia="Calibri" w:hAnsi="Times New Roman" w:cs="Times New Roman"/>
          <w:b/>
          <w:bCs/>
          <w:sz w:val="24"/>
          <w:szCs w:val="24"/>
        </w:rPr>
        <w:t xml:space="preserve"> </w:t>
      </w:r>
      <w:r w:rsidR="009362F1">
        <w:rPr>
          <w:rFonts w:ascii="Times New Roman" w:eastAsia="Calibri" w:hAnsi="Times New Roman" w:cs="Times New Roman"/>
          <w:sz w:val="24"/>
          <w:szCs w:val="24"/>
        </w:rPr>
        <w:t>(</w:t>
      </w:r>
      <w:r w:rsidR="009362F1" w:rsidRPr="00C51E50">
        <w:rPr>
          <w:rFonts w:ascii="Times New Roman" w:eastAsia="Calibri" w:hAnsi="Times New Roman" w:cs="Times New Roman"/>
          <w:sz w:val="24"/>
          <w:szCs w:val="24"/>
        </w:rPr>
        <w:t xml:space="preserve">toliau - </w:t>
      </w:r>
      <w:r w:rsidR="00F910E5" w:rsidRPr="00C51E50">
        <w:rPr>
          <w:rFonts w:ascii="Times New Roman" w:eastAsia="Calibri" w:hAnsi="Times New Roman" w:cs="Times New Roman"/>
          <w:sz w:val="24"/>
          <w:szCs w:val="24"/>
        </w:rPr>
        <w:t>Paslaugos</w:t>
      </w:r>
      <w:r w:rsidR="009362F1" w:rsidRPr="00C51E50">
        <w:rPr>
          <w:rFonts w:ascii="Times New Roman" w:eastAsia="Calibri" w:hAnsi="Times New Roman" w:cs="Times New Roman"/>
          <w:sz w:val="24"/>
          <w:szCs w:val="24"/>
        </w:rPr>
        <w:t>)</w:t>
      </w:r>
      <w:r w:rsidRPr="00C51E50">
        <w:rPr>
          <w:rFonts w:ascii="Times New Roman" w:eastAsia="Calibri" w:hAnsi="Times New Roman" w:cs="Times New Roman"/>
          <w:sz w:val="24"/>
          <w:szCs w:val="24"/>
        </w:rPr>
        <w:t>.</w:t>
      </w:r>
    </w:p>
    <w:p w14:paraId="39D4EE4B" w14:textId="7DC6079D"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F910E5">
        <w:rPr>
          <w:rFonts w:ascii="Times New Roman" w:eastAsia="Calibri" w:hAnsi="Times New Roman" w:cs="Times New Roman"/>
          <w:sz w:val="24"/>
          <w:szCs w:val="24"/>
        </w:rPr>
        <w:t>Paslaugų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47DD8A46"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806B9B">
        <w:rPr>
          <w:rFonts w:ascii="Times New Roman" w:eastAsia="Calibri" w:hAnsi="Times New Roman" w:cs="Times New Roman"/>
          <w:sz w:val="24"/>
          <w:szCs w:val="24"/>
        </w:rPr>
        <w:t>te</w:t>
      </w:r>
      <w:r w:rsidR="00F910E5">
        <w:rPr>
          <w:rFonts w:ascii="Times New Roman" w:eastAsia="Calibri" w:hAnsi="Times New Roman" w:cs="Times New Roman"/>
          <w:sz w:val="24"/>
          <w:szCs w:val="24"/>
        </w:rPr>
        <w:t>i</w:t>
      </w:r>
      <w:r w:rsidR="00806B9B">
        <w:rPr>
          <w:rFonts w:ascii="Times New Roman" w:eastAsia="Calibri" w:hAnsi="Times New Roman" w:cs="Times New Roman"/>
          <w:sz w:val="24"/>
          <w:szCs w:val="24"/>
        </w:rPr>
        <w:t>k</w:t>
      </w:r>
      <w:r w:rsidR="00F910E5">
        <w:rPr>
          <w:rFonts w:ascii="Times New Roman" w:eastAsia="Calibri" w:hAnsi="Times New Roman" w:cs="Times New Roman"/>
          <w:sz w:val="24"/>
          <w:szCs w:val="24"/>
        </w:rPr>
        <w:t>i</w:t>
      </w:r>
      <w:r w:rsidR="00806B9B">
        <w:rPr>
          <w:rFonts w:ascii="Times New Roman" w:eastAsia="Calibri" w:hAnsi="Times New Roman" w:cs="Times New Roman"/>
          <w:sz w:val="24"/>
          <w:szCs w:val="24"/>
        </w:rPr>
        <w:t>am</w:t>
      </w:r>
      <w:r w:rsidR="00F910E5">
        <w:rPr>
          <w:rFonts w:ascii="Times New Roman" w:eastAsia="Calibri" w:hAnsi="Times New Roman" w:cs="Times New Roman"/>
          <w:sz w:val="24"/>
          <w:szCs w:val="24"/>
        </w:rPr>
        <w:t xml:space="preserve">os Paslaugos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67058779"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F910E5" w:rsidRPr="00F910E5">
        <w:rPr>
          <w:rFonts w:ascii="Times New Roman" w:eastAsia="Calibri" w:hAnsi="Times New Roman" w:cs="Times New Roman"/>
          <w:b/>
          <w:bCs/>
          <w:sz w:val="24"/>
          <w:szCs w:val="24"/>
        </w:rPr>
        <w:t>Paslaugos</w:t>
      </w:r>
      <w:r w:rsidR="00806B9B" w:rsidRPr="00806B9B">
        <w:rPr>
          <w:rFonts w:ascii="Times New Roman" w:eastAsia="Calibri" w:hAnsi="Times New Roman" w:cs="Times New Roman"/>
          <w:b/>
          <w:bCs/>
          <w:sz w:val="24"/>
          <w:szCs w:val="24"/>
        </w:rPr>
        <w:t xml:space="preserve"> turi būti t</w:t>
      </w:r>
      <w:r w:rsidR="00F910E5">
        <w:rPr>
          <w:rFonts w:ascii="Times New Roman" w:eastAsia="Calibri" w:hAnsi="Times New Roman" w:cs="Times New Roman"/>
          <w:b/>
          <w:bCs/>
          <w:sz w:val="24"/>
          <w:szCs w:val="24"/>
        </w:rPr>
        <w:t>e</w:t>
      </w:r>
      <w:r w:rsidR="00806B9B" w:rsidRPr="00806B9B">
        <w:rPr>
          <w:rFonts w:ascii="Times New Roman" w:eastAsia="Calibri" w:hAnsi="Times New Roman" w:cs="Times New Roman"/>
          <w:b/>
          <w:bCs/>
          <w:sz w:val="24"/>
          <w:szCs w:val="24"/>
        </w:rPr>
        <w:t>i</w:t>
      </w:r>
      <w:r w:rsidR="00F910E5">
        <w:rPr>
          <w:rFonts w:ascii="Times New Roman" w:eastAsia="Calibri" w:hAnsi="Times New Roman" w:cs="Times New Roman"/>
          <w:b/>
          <w:bCs/>
          <w:sz w:val="24"/>
          <w:szCs w:val="24"/>
        </w:rPr>
        <w:t>kiamos</w:t>
      </w:r>
      <w:r w:rsidR="00806B9B">
        <w:rPr>
          <w:rFonts w:ascii="Times New Roman" w:eastAsia="Calibri" w:hAnsi="Times New Roman" w:cs="Times New Roman"/>
          <w:sz w:val="24"/>
          <w:szCs w:val="24"/>
        </w:rPr>
        <w:t xml:space="preserve"> </w:t>
      </w:r>
      <w:r w:rsidR="00F31384">
        <w:rPr>
          <w:rFonts w:ascii="Times New Roman" w:eastAsia="Calibri" w:hAnsi="Times New Roman" w:cs="Times New Roman"/>
          <w:sz w:val="24"/>
          <w:szCs w:val="24"/>
        </w:rPr>
        <w:t>1</w:t>
      </w:r>
      <w:r w:rsidR="00F910E5" w:rsidRPr="00F910E5">
        <w:rPr>
          <w:rFonts w:ascii="Times New Roman" w:eastAsia="Calibri" w:hAnsi="Times New Roman" w:cs="Times New Roman"/>
          <w:b/>
          <w:bCs/>
          <w:sz w:val="24"/>
          <w:szCs w:val="24"/>
        </w:rPr>
        <w:t>2</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4591C">
        <w:rPr>
          <w:rFonts w:ascii="Times New Roman" w:eastAsia="Calibri" w:hAnsi="Times New Roman" w:cs="Times New Roman"/>
          <w:b/>
          <w:sz w:val="24"/>
          <w:szCs w:val="24"/>
        </w:rPr>
        <w:t>dv</w:t>
      </w:r>
      <w:r w:rsidR="00F31384">
        <w:rPr>
          <w:rFonts w:ascii="Times New Roman" w:eastAsia="Calibri" w:hAnsi="Times New Roman" w:cs="Times New Roman"/>
          <w:b/>
          <w:sz w:val="24"/>
          <w:szCs w:val="24"/>
        </w:rPr>
        <w:t>ylika</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w:t>
      </w:r>
      <w:r w:rsidR="00A425AF">
        <w:rPr>
          <w:rFonts w:ascii="Times New Roman" w:eastAsia="Calibri" w:hAnsi="Times New Roman" w:cs="Times New Roman"/>
          <w:b/>
          <w:bCs/>
          <w:sz w:val="24"/>
          <w:szCs w:val="24"/>
        </w:rPr>
        <w:t>ų</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 xml:space="preserve">subtiekėjams (fiziniams asmenims), kurie nėra deklaravę gyvenamosios vietos Europos Sąjungos </w:t>
      </w:r>
      <w:r w:rsidR="003B0B1D" w:rsidRPr="00F30806">
        <w:rPr>
          <w:rFonts w:ascii="Times New Roman" w:eastAsia="Calibri" w:hAnsi="Times New Roman" w:cs="Times New Roman"/>
          <w:sz w:val="24"/>
          <w:szCs w:val="24"/>
        </w:rPr>
        <w:lastRenderedPageBreak/>
        <w:t>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D86A2C7" w:rsidR="00F00064" w:rsidRPr="000F27FA" w:rsidRDefault="000F27FA" w:rsidP="00F00064">
            <w:pPr>
              <w:tabs>
                <w:tab w:val="left" w:pos="720"/>
              </w:tabs>
              <w:autoSpaceDE w:val="0"/>
              <w:autoSpaceDN w:val="0"/>
              <w:adjustRightInd w:val="0"/>
              <w:jc w:val="both"/>
              <w:rPr>
                <w:bCs/>
                <w:sz w:val="24"/>
                <w:szCs w:val="24"/>
              </w:rPr>
            </w:pPr>
            <w:r w:rsidRPr="000F27FA">
              <w:rPr>
                <w:bCs/>
                <w:sz w:val="24"/>
                <w:szCs w:val="24"/>
              </w:rPr>
              <w:t>Tiekėjas, tiekėjų grupės partneriai kartu (kiekvienas partneris toje srityje, kurioje vykdys veiklą), subtiekėjai ar kiti ūkio subjektai, kurių pajėgumais remiasi tiekėjas (kiekvienas toje srityje, kurioje vykdys veiklą) (toliau – Tiekėjas) gali dirbti ar susipažinti su įslaptinta informacija žymima ne žemesne slaptumo žyma kaip „</w:t>
            </w:r>
            <w:r w:rsidRPr="000F27FA">
              <w:rPr>
                <w:bCs/>
                <w:i/>
                <w:iCs/>
                <w:sz w:val="24"/>
                <w:szCs w:val="24"/>
              </w:rPr>
              <w:t>Riboto naudojimo</w:t>
            </w:r>
            <w:r w:rsidRPr="000F27FA">
              <w:rPr>
                <w:bCs/>
                <w:sz w:val="24"/>
                <w:szCs w:val="24"/>
              </w:rPr>
              <w:t>“</w:t>
            </w:r>
            <w:r>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41968B51" w:rsidR="00B337B1" w:rsidRPr="00B337B1" w:rsidRDefault="00B337B1" w:rsidP="00961860">
            <w:pPr>
              <w:tabs>
                <w:tab w:val="left" w:pos="720"/>
              </w:tabs>
              <w:ind w:left="22"/>
              <w:jc w:val="both"/>
              <w:rPr>
                <w:bCs/>
                <w:iCs/>
                <w:sz w:val="24"/>
                <w:szCs w:val="24"/>
              </w:rPr>
            </w:pPr>
            <w:r>
              <w:rPr>
                <w:bCs/>
                <w:iCs/>
                <w:sz w:val="24"/>
                <w:szCs w:val="24"/>
              </w:rPr>
              <w:t>T</w:t>
            </w:r>
            <w:r w:rsidRPr="00B337B1">
              <w:rPr>
                <w:bCs/>
                <w:iCs/>
                <w:sz w:val="24"/>
                <w:szCs w:val="24"/>
              </w:rPr>
              <w: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Pr="00B337B1">
              <w:rPr>
                <w:bCs/>
                <w:i/>
                <w:sz w:val="24"/>
                <w:szCs w:val="24"/>
              </w:rPr>
              <w:t>Riboto naudojimo</w:t>
            </w:r>
            <w:r w:rsidRPr="00B337B1">
              <w:rPr>
                <w:bCs/>
                <w:iCs/>
                <w:sz w:val="24"/>
                <w:szCs w:val="24"/>
              </w:rPr>
              <w:t>“</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4AD26891" w:rsidR="00B337B1" w:rsidRPr="00B337B1" w:rsidRDefault="00AA6803" w:rsidP="00B337B1">
            <w:pPr>
              <w:tabs>
                <w:tab w:val="left" w:pos="720"/>
              </w:tabs>
              <w:autoSpaceDE w:val="0"/>
              <w:autoSpaceDN w:val="0"/>
              <w:adjustRightInd w:val="0"/>
              <w:jc w:val="both"/>
              <w:rPr>
                <w:sz w:val="24"/>
                <w:szCs w:val="24"/>
              </w:rPr>
            </w:pPr>
            <w:r w:rsidRPr="00B24B48">
              <w:rPr>
                <w:sz w:val="24"/>
                <w:szCs w:val="24"/>
              </w:rPr>
              <w:t>Tiekėjas privalo pasiūlyti darbuotojus, atliekančius techninės įrangos priežiūros bei remonto paslaugas ir turinčius teisę dirbti ar susipažinti su įslaptinta informacija žymima slaptumo žyma „</w:t>
            </w:r>
            <w:r w:rsidRPr="00B24B48">
              <w:rPr>
                <w:i/>
                <w:iCs/>
                <w:sz w:val="24"/>
                <w:szCs w:val="24"/>
              </w:rPr>
              <w:t>Riboto naudojimo</w:t>
            </w:r>
            <w:r w:rsidRPr="00B24B48">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2A0B4A33" w14:textId="77777777" w:rsidR="003D0758" w:rsidRPr="003D0758" w:rsidRDefault="003D0758" w:rsidP="003D0758">
            <w:pPr>
              <w:tabs>
                <w:tab w:val="left" w:pos="33"/>
              </w:tabs>
              <w:ind w:left="33"/>
              <w:jc w:val="both"/>
              <w:rPr>
                <w:sz w:val="24"/>
                <w:szCs w:val="24"/>
              </w:rPr>
            </w:pPr>
            <w:r w:rsidRPr="003D0758">
              <w:rPr>
                <w:sz w:val="24"/>
                <w:szCs w:val="24"/>
              </w:rPr>
              <w:t xml:space="preserve">Pateikiama: </w:t>
            </w:r>
          </w:p>
          <w:p w14:paraId="0E2A48FE" w14:textId="77777777" w:rsidR="003D0758" w:rsidRPr="003D0758" w:rsidRDefault="003D0758" w:rsidP="003D0758">
            <w:pPr>
              <w:tabs>
                <w:tab w:val="left" w:pos="33"/>
              </w:tabs>
              <w:ind w:left="33"/>
              <w:jc w:val="both"/>
              <w:rPr>
                <w:sz w:val="24"/>
                <w:szCs w:val="24"/>
              </w:rPr>
            </w:pPr>
            <w:r w:rsidRPr="003D0758">
              <w:rPr>
                <w:sz w:val="24"/>
                <w:szCs w:val="24"/>
              </w:rPr>
              <w:t xml:space="preserve">1) Tiekėjo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6DD65F7B" w14:textId="17534E01" w:rsidR="00AE1581" w:rsidRDefault="003D0758" w:rsidP="003D0758">
            <w:pPr>
              <w:tabs>
                <w:tab w:val="left" w:pos="33"/>
              </w:tabs>
              <w:ind w:left="33"/>
              <w:jc w:val="both"/>
              <w:rPr>
                <w:sz w:val="24"/>
                <w:szCs w:val="24"/>
              </w:rPr>
            </w:pPr>
            <w:r w:rsidRPr="003D0758">
              <w:rPr>
                <w:sz w:val="24"/>
                <w:szCs w:val="24"/>
              </w:rPr>
              <w:t>2) dokumentas (-ai), patvirtinantis (-</w:t>
            </w:r>
            <w:proofErr w:type="spellStart"/>
            <w:r w:rsidRPr="003D0758">
              <w:rPr>
                <w:sz w:val="24"/>
                <w:szCs w:val="24"/>
              </w:rPr>
              <w:t>ys</w:t>
            </w:r>
            <w:proofErr w:type="spellEnd"/>
            <w:r w:rsidRPr="003D0758">
              <w:rPr>
                <w:sz w:val="24"/>
                <w:szCs w:val="24"/>
              </w:rPr>
              <w:t>), kad nurodyti Tiekėjo darbuotojai, gali dirbti ar susipažinti su įslaptinta informacija, žymima ne žemesne slaptumo žyma kaip „</w:t>
            </w:r>
            <w:r w:rsidRPr="003D0758">
              <w:rPr>
                <w:i/>
                <w:iCs/>
                <w:sz w:val="24"/>
                <w:szCs w:val="24"/>
              </w:rPr>
              <w:t>Riboto naudojimo</w:t>
            </w:r>
            <w:r w:rsidRPr="003D0758">
              <w:rPr>
                <w:sz w:val="24"/>
                <w:szCs w:val="24"/>
              </w:rPr>
              <w:t>“.</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w:t>
      </w:r>
      <w:r w:rsidR="00F8623B" w:rsidRPr="002A0244">
        <w:rPr>
          <w:rFonts w:ascii="Times New Roman" w:hAnsi="Times New Roman" w:cs="Times New Roman"/>
          <w:sz w:val="24"/>
          <w:szCs w:val="24"/>
        </w:rPr>
        <w:lastRenderedPageBreak/>
        <w:t xml:space="preserve">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jpg,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C7F65A5"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483A20">
        <w:rPr>
          <w:rFonts w:ascii="Times New Roman" w:eastAsia="Times New Roman" w:hAnsi="Times New Roman" w:cs="Times New Roman"/>
          <w:sz w:val="24"/>
          <w:szCs w:val="24"/>
        </w:rPr>
        <w:t>paslaugų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xml:space="preserve">. Jeigu laimėjęs tiekėjas atsisako sudaryti sutartį, ją sudaryti siūloma tiekėjui, kurio </w:t>
      </w:r>
      <w:r w:rsidR="00537D47" w:rsidRPr="00537D47">
        <w:rPr>
          <w:rFonts w:ascii="Times New Roman" w:eastAsia="Calibri" w:hAnsi="Times New Roman" w:cs="Times New Roman"/>
          <w:sz w:val="24"/>
          <w:szCs w:val="24"/>
        </w:rPr>
        <w:lastRenderedPageBreak/>
        <w:t>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F66C" w14:textId="77777777" w:rsidR="00B46EB6" w:rsidRDefault="00B46EB6" w:rsidP="00461402">
      <w:pPr>
        <w:spacing w:after="0" w:line="240" w:lineRule="auto"/>
      </w:pPr>
      <w:r>
        <w:separator/>
      </w:r>
    </w:p>
  </w:endnote>
  <w:endnote w:type="continuationSeparator" w:id="0">
    <w:p w14:paraId="36485B10" w14:textId="77777777" w:rsidR="00B46EB6" w:rsidRDefault="00B46EB6"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0960" w14:textId="77777777" w:rsidR="00B46EB6" w:rsidRDefault="00B46EB6" w:rsidP="00461402">
      <w:pPr>
        <w:spacing w:after="0" w:line="240" w:lineRule="auto"/>
      </w:pPr>
      <w:r>
        <w:separator/>
      </w:r>
    </w:p>
  </w:footnote>
  <w:footnote w:type="continuationSeparator" w:id="0">
    <w:p w14:paraId="7EE1F081" w14:textId="77777777" w:rsidR="00B46EB6" w:rsidRDefault="00B46EB6"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591C"/>
    <w:rsid w:val="00071E82"/>
    <w:rsid w:val="000B3AED"/>
    <w:rsid w:val="000C1C08"/>
    <w:rsid w:val="000D2B49"/>
    <w:rsid w:val="000D3B58"/>
    <w:rsid w:val="000F27FA"/>
    <w:rsid w:val="00102532"/>
    <w:rsid w:val="00102760"/>
    <w:rsid w:val="00131663"/>
    <w:rsid w:val="00152ED8"/>
    <w:rsid w:val="001544FB"/>
    <w:rsid w:val="001D0BCA"/>
    <w:rsid w:val="00202C44"/>
    <w:rsid w:val="0022430F"/>
    <w:rsid w:val="002338E1"/>
    <w:rsid w:val="00241D09"/>
    <w:rsid w:val="00247476"/>
    <w:rsid w:val="00284054"/>
    <w:rsid w:val="00297223"/>
    <w:rsid w:val="002A0244"/>
    <w:rsid w:val="002A05AE"/>
    <w:rsid w:val="002A1815"/>
    <w:rsid w:val="002D0E9F"/>
    <w:rsid w:val="002D18A6"/>
    <w:rsid w:val="002D746F"/>
    <w:rsid w:val="002D7774"/>
    <w:rsid w:val="002E7158"/>
    <w:rsid w:val="002F16B9"/>
    <w:rsid w:val="00333446"/>
    <w:rsid w:val="00370AC0"/>
    <w:rsid w:val="00387E73"/>
    <w:rsid w:val="003B0B1D"/>
    <w:rsid w:val="003C23C5"/>
    <w:rsid w:val="003D0758"/>
    <w:rsid w:val="004016C9"/>
    <w:rsid w:val="00405A4F"/>
    <w:rsid w:val="00423417"/>
    <w:rsid w:val="00456817"/>
    <w:rsid w:val="004568EE"/>
    <w:rsid w:val="00461402"/>
    <w:rsid w:val="00462466"/>
    <w:rsid w:val="004839B6"/>
    <w:rsid w:val="00483A20"/>
    <w:rsid w:val="004B2E30"/>
    <w:rsid w:val="004C41B3"/>
    <w:rsid w:val="004C7F2A"/>
    <w:rsid w:val="004D0E3C"/>
    <w:rsid w:val="00510665"/>
    <w:rsid w:val="00510A7E"/>
    <w:rsid w:val="00514130"/>
    <w:rsid w:val="0052471E"/>
    <w:rsid w:val="00525D55"/>
    <w:rsid w:val="00527CE3"/>
    <w:rsid w:val="00537D47"/>
    <w:rsid w:val="00544C18"/>
    <w:rsid w:val="00554568"/>
    <w:rsid w:val="00556693"/>
    <w:rsid w:val="0056583C"/>
    <w:rsid w:val="0057218A"/>
    <w:rsid w:val="00592D4F"/>
    <w:rsid w:val="005C5A64"/>
    <w:rsid w:val="005D77CA"/>
    <w:rsid w:val="00623C4D"/>
    <w:rsid w:val="00636D4B"/>
    <w:rsid w:val="0065468E"/>
    <w:rsid w:val="00670CAD"/>
    <w:rsid w:val="006723D7"/>
    <w:rsid w:val="006758E9"/>
    <w:rsid w:val="006A07E4"/>
    <w:rsid w:val="006B1571"/>
    <w:rsid w:val="006E0816"/>
    <w:rsid w:val="006E1B4A"/>
    <w:rsid w:val="007078C8"/>
    <w:rsid w:val="00710497"/>
    <w:rsid w:val="007200BD"/>
    <w:rsid w:val="00721C36"/>
    <w:rsid w:val="00745F41"/>
    <w:rsid w:val="00753C9F"/>
    <w:rsid w:val="007718AF"/>
    <w:rsid w:val="0077444F"/>
    <w:rsid w:val="007960A8"/>
    <w:rsid w:val="00797B47"/>
    <w:rsid w:val="007B5214"/>
    <w:rsid w:val="007B7BA9"/>
    <w:rsid w:val="007E1019"/>
    <w:rsid w:val="007E54B6"/>
    <w:rsid w:val="007F62EC"/>
    <w:rsid w:val="00806B9B"/>
    <w:rsid w:val="00820498"/>
    <w:rsid w:val="00834F44"/>
    <w:rsid w:val="00841423"/>
    <w:rsid w:val="00854601"/>
    <w:rsid w:val="00854A62"/>
    <w:rsid w:val="00870B67"/>
    <w:rsid w:val="008826FC"/>
    <w:rsid w:val="00895153"/>
    <w:rsid w:val="008A52F0"/>
    <w:rsid w:val="008D0967"/>
    <w:rsid w:val="008D7E95"/>
    <w:rsid w:val="008E404B"/>
    <w:rsid w:val="008E675F"/>
    <w:rsid w:val="00900396"/>
    <w:rsid w:val="00902341"/>
    <w:rsid w:val="00906BAF"/>
    <w:rsid w:val="00933B5D"/>
    <w:rsid w:val="009362F1"/>
    <w:rsid w:val="00954309"/>
    <w:rsid w:val="00961860"/>
    <w:rsid w:val="009A423A"/>
    <w:rsid w:val="009B58F7"/>
    <w:rsid w:val="009D5CCA"/>
    <w:rsid w:val="009F1F16"/>
    <w:rsid w:val="009F3BA0"/>
    <w:rsid w:val="00A26C1F"/>
    <w:rsid w:val="00A425AF"/>
    <w:rsid w:val="00A52D40"/>
    <w:rsid w:val="00A55B98"/>
    <w:rsid w:val="00A74247"/>
    <w:rsid w:val="00A83DF9"/>
    <w:rsid w:val="00A9158E"/>
    <w:rsid w:val="00AA4340"/>
    <w:rsid w:val="00AA6803"/>
    <w:rsid w:val="00AC159B"/>
    <w:rsid w:val="00AD226E"/>
    <w:rsid w:val="00AD31D0"/>
    <w:rsid w:val="00AD5AD2"/>
    <w:rsid w:val="00AE1581"/>
    <w:rsid w:val="00AE5D1B"/>
    <w:rsid w:val="00AF39A9"/>
    <w:rsid w:val="00AF408C"/>
    <w:rsid w:val="00AF78D6"/>
    <w:rsid w:val="00B24B48"/>
    <w:rsid w:val="00B337B1"/>
    <w:rsid w:val="00B4524E"/>
    <w:rsid w:val="00B46EB6"/>
    <w:rsid w:val="00B65AE2"/>
    <w:rsid w:val="00B766A4"/>
    <w:rsid w:val="00B81D97"/>
    <w:rsid w:val="00B93F44"/>
    <w:rsid w:val="00BA1B21"/>
    <w:rsid w:val="00BB69A8"/>
    <w:rsid w:val="00BB7072"/>
    <w:rsid w:val="00BD382B"/>
    <w:rsid w:val="00BD7EEE"/>
    <w:rsid w:val="00BE6F5D"/>
    <w:rsid w:val="00BF2184"/>
    <w:rsid w:val="00C11811"/>
    <w:rsid w:val="00C15DCE"/>
    <w:rsid w:val="00C411C2"/>
    <w:rsid w:val="00C51E50"/>
    <w:rsid w:val="00C74358"/>
    <w:rsid w:val="00C938ED"/>
    <w:rsid w:val="00CA53DA"/>
    <w:rsid w:val="00CB2F85"/>
    <w:rsid w:val="00CC0E00"/>
    <w:rsid w:val="00CE2FC0"/>
    <w:rsid w:val="00CE4444"/>
    <w:rsid w:val="00CF5124"/>
    <w:rsid w:val="00CF5CCF"/>
    <w:rsid w:val="00CF70D6"/>
    <w:rsid w:val="00D04651"/>
    <w:rsid w:val="00D363D4"/>
    <w:rsid w:val="00DC3617"/>
    <w:rsid w:val="00DD4B2D"/>
    <w:rsid w:val="00E00355"/>
    <w:rsid w:val="00E42414"/>
    <w:rsid w:val="00E42DA6"/>
    <w:rsid w:val="00E5107E"/>
    <w:rsid w:val="00E62497"/>
    <w:rsid w:val="00E63994"/>
    <w:rsid w:val="00E63C96"/>
    <w:rsid w:val="00E7430D"/>
    <w:rsid w:val="00E87661"/>
    <w:rsid w:val="00E90049"/>
    <w:rsid w:val="00E914CE"/>
    <w:rsid w:val="00ED0F79"/>
    <w:rsid w:val="00ED3EFA"/>
    <w:rsid w:val="00EE5295"/>
    <w:rsid w:val="00EF5457"/>
    <w:rsid w:val="00EF7CBB"/>
    <w:rsid w:val="00F00064"/>
    <w:rsid w:val="00F13FF1"/>
    <w:rsid w:val="00F30806"/>
    <w:rsid w:val="00F31384"/>
    <w:rsid w:val="00F5269D"/>
    <w:rsid w:val="00F659F7"/>
    <w:rsid w:val="00F72DBA"/>
    <w:rsid w:val="00F75AC3"/>
    <w:rsid w:val="00F8623B"/>
    <w:rsid w:val="00F910E5"/>
    <w:rsid w:val="00F97398"/>
    <w:rsid w:val="00FA19A6"/>
    <w:rsid w:val="00FA70C9"/>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C408ABE-A6E3-40C2-A2E2-DB387A40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8</Pages>
  <Words>14646</Words>
  <Characters>8349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21</cp:revision>
  <dcterms:created xsi:type="dcterms:W3CDTF">2025-09-11T12:16:00Z</dcterms:created>
  <dcterms:modified xsi:type="dcterms:W3CDTF">2025-09-12T11:36:00Z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