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Pr>
      <w:tblGrid>
        <w:gridCol w:w="3288"/>
        <w:gridCol w:w="6632"/>
      </w:tblGrid>
      <w:tr>
        <w:trPr/>
        <w:tc>
          <w:tcPr>
            <w:tcW w:w="3288" w:type="dxa"/>
            <w:tcBorders>
              <w:top w:val="single" w:sz="4" w:space="0" w:color="4F81BD"/>
              <w:left w:val="single" w:sz="4" w:space="0" w:color="4F81BD"/>
              <w:bottom w:val="single" w:sz="4" w:space="0" w:color="4F81BD"/>
              <w:right w:val="single" w:sz="4" w:space="0" w:color="4F81BD"/>
            </w:tcBorders>
            <w:shd w:fill="FFFFCC" w:val="clear"/>
            <w:vAlign w:val="center"/>
          </w:tcPr>
          <w:p>
            <w:pPr>
              <w:pStyle w:val="Normal"/>
              <w:widowControl/>
              <w:suppressAutoHyphens w:val="true"/>
              <w:spacing w:before="0" w:after="200"/>
              <w:jc w:val="both"/>
              <w:rPr>
                <w:b/>
                <w:i/>
                <w:i/>
                <w:sz w:val="24"/>
                <w:szCs w:val="24"/>
                <w:lang w:val="lt-LT"/>
              </w:rPr>
            </w:pPr>
            <w:r>
              <w:rPr>
                <w:b/>
                <w:color w:val="548DD4"/>
                <w:kern w:val="0"/>
                <w:sz w:val="24"/>
                <w:szCs w:val="24"/>
                <w:lang w:val="lt-LT" w:eastAsia="en-US" w:bidi="ar-SA"/>
              </w:rPr>
              <w:t>RINKOS DALYVIŲ KONSULTACIJA</w:t>
            </w:r>
          </w:p>
        </w:tc>
        <w:tc>
          <w:tcPr>
            <w:tcW w:w="6632"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240" w:before="1" w:after="0"/>
              <w:ind w:right="1170"/>
              <w:jc w:val="center"/>
              <w:rPr>
                <w:rFonts w:ascii="Times New Roman" w:hAnsi="Times New Roman" w:eastAsia="Times New Roman" w:cs="Times New Roman"/>
                <w:b/>
                <w:bCs/>
                <w:color w:val="000009"/>
                <w:sz w:val="24"/>
                <w:szCs w:val="24"/>
                <w:lang w:val="lt-LT"/>
              </w:rPr>
            </w:pPr>
            <w:r>
              <w:rPr>
                <w:rFonts w:eastAsia="Times New Roman" w:cs="Times New Roman" w:ascii="Times New Roman" w:hAnsi="Times New Roman"/>
                <w:b/>
                <w:bCs/>
                <w:color w:themeColor="dark1" w:val="000000"/>
                <w:kern w:val="0"/>
                <w:sz w:val="24"/>
                <w:szCs w:val="24"/>
                <w:lang w:val="lt-LT" w:eastAsia="en-US" w:bidi="ar-SA"/>
              </w:rPr>
              <w:t>MOKYMO PASLAUGOS</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color w:themeColor="dark1" w:val="000000"/>
                <w:kern w:val="0"/>
                <w:sz w:val="22"/>
                <w:szCs w:val="22"/>
                <w:lang w:val="en-US" w:eastAsia="en-US" w:bidi="ar-SA"/>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bCs/>
                <w:kern w:val="0"/>
                <w:sz w:val="24"/>
                <w:szCs w:val="24"/>
                <w:lang w:val="lt-LT" w:eastAsia="en-US" w:bidi="ar-SA"/>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lineRule="auto" w:line="360"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suppressAutoHyphens w:val="true"/>
              <w:spacing w:before="0" w:after="200"/>
              <w:jc w:val="both"/>
              <w:rPr>
                <w:rFonts w:ascii="Times New Roman" w:hAnsi="Times New Roman"/>
                <w:iCs/>
                <w:sz w:val="24"/>
                <w:szCs w:val="24"/>
                <w:lang w:val="lt-LT"/>
              </w:rPr>
            </w:pPr>
            <w:r>
              <w:rPr>
                <w:rFonts w:ascii="Times New Roman" w:hAnsi="Times New Roman"/>
                <w:iCs/>
                <w:kern w:val="0"/>
                <w:sz w:val="24"/>
                <w:szCs w:val="24"/>
                <w:lang w:val="lt-LT" w:eastAsia="en-US" w:bidi="ar-SA"/>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2025-0</w:t>
            </w:r>
            <w:r>
              <w:rPr>
                <w:rFonts w:ascii="Times New Roman" w:hAnsi="Times New Roman"/>
                <w:bCs/>
                <w:iCs/>
                <w:kern w:val="0"/>
                <w:sz w:val="24"/>
                <w:szCs w:val="24"/>
                <w:lang w:val="en-US" w:eastAsia="en-US" w:bidi="ar-SA"/>
              </w:rPr>
              <w:t>9</w:t>
            </w:r>
            <w:r>
              <w:rPr>
                <w:rFonts w:ascii="Times New Roman" w:hAnsi="Times New Roman"/>
                <w:bCs/>
                <w:iCs/>
                <w:kern w:val="0"/>
                <w:sz w:val="24"/>
                <w:szCs w:val="24"/>
                <w:lang w:val="lt-LT" w:eastAsia="en-US" w:bidi="ar-SA"/>
              </w:rPr>
              <w:t>-1</w:t>
            </w:r>
            <w:r>
              <w:rPr>
                <w:rFonts w:ascii="Times New Roman" w:hAnsi="Times New Roman"/>
                <w:bCs/>
                <w:iCs/>
                <w:kern w:val="0"/>
                <w:sz w:val="24"/>
                <w:szCs w:val="24"/>
                <w:lang w:val="en-US" w:eastAsia="en-US" w:bidi="ar-SA"/>
              </w:rPr>
              <w:t>7</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numPr>
                <w:ilvl w:val="0"/>
                <w:numId w:val="2"/>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lang w:val="lt-LT"/>
              </w:rPr>
            </w:pPr>
            <w:r>
              <w:rPr>
                <w:rFonts w:ascii="Times New Roman" w:hAnsi="Times New Roman"/>
                <w:i/>
                <w:sz w:val="24"/>
                <w:szCs w:val="24"/>
                <w:lang w:val="lt-LT"/>
              </w:rPr>
            </w:r>
          </w:p>
        </w:tc>
        <w:tc>
          <w:tcPr>
            <w:tcW w:w="4140" w:type="dxa"/>
            <w:tcBorders>
              <w:top w:val="single" w:sz="4" w:space="0" w:color="4F81BD"/>
              <w:left w:val="single" w:sz="4" w:space="0" w:color="4F81BD"/>
              <w:bottom w:val="single" w:sz="4" w:space="0" w:color="4F81BD"/>
              <w:right w:val="single" w:sz="4" w:space="0" w:color="4F81BD"/>
            </w:tcBorders>
            <w:shd w:fill="F2F2F2" w:val="clear"/>
            <w:vAlign w:val="center"/>
          </w:tcPr>
          <w:p>
            <w:pPr>
              <w:pStyle w:val="Normal"/>
              <w:widowControl/>
              <w:suppressAutoHyphens w:val="true"/>
              <w:spacing w:before="0" w:after="200"/>
              <w:jc w:val="both"/>
              <w:rPr>
                <w:rFonts w:ascii="Times New Roman" w:hAnsi="Times New Roman"/>
                <w:i/>
                <w:i/>
                <w:sz w:val="24"/>
                <w:szCs w:val="24"/>
                <w:lang w:val="lt-LT"/>
              </w:rPr>
            </w:pPr>
            <w:r>
              <w:rPr>
                <w:rFonts w:ascii="Times New Roman" w:hAnsi="Times New Roman"/>
                <w:kern w:val="0"/>
                <w:sz w:val="24"/>
                <w:szCs w:val="24"/>
                <w:lang w:val="lt-LT" w:eastAsia="en-US" w:bidi="ar-SA"/>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widowControl/>
              <w:tabs>
                <w:tab w:val="clear" w:pos="1296"/>
                <w:tab w:val="center" w:pos="2015" w:leader="none"/>
              </w:tabs>
              <w:suppressAutoHyphens w:val="true"/>
              <w:spacing w:before="0" w:after="200"/>
              <w:jc w:val="both"/>
              <w:rPr>
                <w:rFonts w:ascii="Times New Roman" w:hAnsi="Times New Roman"/>
                <w:bCs/>
                <w:iCs/>
                <w:sz w:val="24"/>
                <w:szCs w:val="24"/>
                <w:lang w:val="lt-LT"/>
              </w:rPr>
            </w:pPr>
            <w:r>
              <w:rPr>
                <w:rFonts w:ascii="Times New Roman" w:hAnsi="Times New Roman"/>
                <w:bCs/>
                <w:iCs/>
                <w:kern w:val="0"/>
                <w:sz w:val="24"/>
                <w:szCs w:val="24"/>
                <w:lang w:val="lt-LT" w:eastAsia="en-US" w:bidi="ar-SA"/>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uppressAutoHyphens w:val="true"/>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uppressAutoHyphens w:val="true"/>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uppressAutoHyphens w:val="true"/>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uppressAutoHyphens w:val="true"/>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uppressAutoHyphens w:val="true"/>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fill="F2F2F2" w:val="clea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Eil. Nr.</w:t>
            </w:r>
          </w:p>
        </w:tc>
        <w:tc>
          <w:tcPr>
            <w:tcW w:w="3873"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Klausimas</w:t>
            </w:r>
          </w:p>
        </w:tc>
        <w:tc>
          <w:tcPr>
            <w:tcW w:w="5236"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suppressAutoHyphens w:val="true"/>
              <w:spacing w:before="0" w:after="200"/>
              <w:jc w:val="center"/>
              <w:rPr>
                <w:rFonts w:ascii="Times New Roman" w:hAnsi="Times New Roman"/>
                <w:b/>
                <w:i/>
                <w:i/>
                <w:sz w:val="24"/>
                <w:szCs w:val="24"/>
              </w:rPr>
            </w:pPr>
            <w:r>
              <w:rPr>
                <w:rFonts w:ascii="Times New Roman" w:hAnsi="Times New Roman"/>
                <w:b/>
                <w:kern w:val="0"/>
                <w:sz w:val="24"/>
                <w:szCs w:val="24"/>
                <w:lang w:val="lt-LT" w:eastAsia="en-US" w:bidi="ar-SA"/>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pastabų, klausimų techninės specifikacijos projektui?</w:t>
            </w:r>
          </w:p>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numPr>
                <w:ilvl w:val="0"/>
                <w:numId w:val="3"/>
              </w:numPr>
              <w:tabs>
                <w:tab w:val="clear" w:pos="1296"/>
                <w:tab w:val="left" w:pos="0" w:leader="none"/>
              </w:tabs>
              <w:suppressAutoHyphens w:val="true"/>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before="0" w:after="200"/>
              <w:jc w:val="both"/>
              <w:rPr>
                <w:rFonts w:ascii="Times New Roman" w:hAnsi="Times New Roman"/>
                <w:i/>
                <w:i/>
                <w:sz w:val="24"/>
                <w:szCs w:val="24"/>
              </w:rPr>
            </w:pPr>
            <w:r>
              <w:rPr>
                <w:rFonts w:ascii="Times New Roman" w:hAnsi="Times New Roman"/>
                <w:kern w:val="0"/>
                <w:sz w:val="24"/>
                <w:szCs w:val="24"/>
                <w:lang w:val="lt-LT" w:eastAsia="en-US" w:bidi="ar-SA"/>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200"/>
              <w:jc w:val="both"/>
              <w:rPr>
                <w:rFonts w:ascii="Times New Roman" w:hAnsi="Times New Roman"/>
                <w:i/>
                <w:i/>
                <w:sz w:val="24"/>
                <w:szCs w:val="24"/>
              </w:rPr>
            </w:pPr>
            <w:r>
              <w:rPr>
                <w:rFonts w:ascii="Times New Roman" w:hAnsi="Times New Roman"/>
                <w:i/>
                <w:sz w:val="24"/>
                <w:szCs w:val="24"/>
              </w:rPr>
            </w:r>
          </w:p>
        </w:tc>
      </w:tr>
    </w:tbl>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uppressAutoHyphens w:val="true"/>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uppressAutoHyphens w:val="true"/>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uppressAutoHyphens w:val="true"/>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name w:val="Default Paragraph Font"/>
    <w:qFormat/>
    <w:rPr/>
  </w:style>
  <w:style w:type="character" w:styleId="SraopastraipaDiagrama">
    <w:name w:val="Sąrašo pastraipa Diagrama"/>
    <w:link w:val="ListParagraph"/>
    <w:qFormat/>
    <w:rPr>
      <w:rFonts w:ascii="Calibri" w:hAnsi="Calibri" w:eastAsia="Calibri" w:cs="Times New Roman"/>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qFormat/>
    <w:pPr>
      <w:widowControl/>
      <w:suppressAutoHyphens w:val="true"/>
      <w:overflowPunct w:val="fals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SraopastraipaDiagrama"/>
    <w:qFormat/>
    <w:pPr>
      <w:spacing w:before="0" w:after="200"/>
      <w:ind w:left="720"/>
      <w:contextualSpacing/>
    </w:pPr>
    <w:rPr/>
  </w:style>
  <w:style w:type="paragraph" w:styleId="Pagrindinistekstas1">
    <w:name w:val="Pagrindinis tekstas1"/>
    <w:basedOn w:val="Normal"/>
    <w:qFormat/>
    <w:pPr>
      <w:suppressAutoHyphens w:val="true"/>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name w:val="Text body indent"/>
    <w:basedOn w:val="Normal"/>
    <w:qFormat/>
    <w:pPr>
      <w:widowControl w:val="false"/>
      <w:suppressAutoHyphens w:val="tru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LibreOffice/7.6.4.1$Windows_X86_64 LibreOffice_project/e19e193f88cd6c0525a17fb7a176ed8e6a3e2aa1</Application>
  <AppVersion>15.0000</AppVersion>
  <Pages>2</Pages>
  <Words>322</Words>
  <Characters>2449</Characters>
  <CharactersWithSpaces>2732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2025-02-21T09:32:00Z</dcterms:created>
  <dc:creator>Jurgita Nainienė</dc:creator>
  <dc:description/>
  <dc:language>en-US</dc:language>
  <cp:lastModifiedBy/>
  <dcterms:modified xsi:type="dcterms:W3CDTF">2025-09-15T12:17:51Z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