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DARBAS SU SPECIALIŲJŲ UGDYMOSI POREIKIŲ TURINČIAIS MOKINIAIS IR JŲ INTEGRAVIMAS Į SVEIKATOS UGDYMĄ“</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Pirkimo objektas – </w:t>
      </w:r>
      <w:bookmarkStart w:id="10" w:name="_Hlk189747483"/>
      <w:r>
        <w:rPr>
          <w:rFonts w:cs="Times New Roman" w:ascii="Times New Roman" w:hAnsi="Times New Roman"/>
          <w:color w:themeColor="text1" w:val="000000"/>
          <w:sz w:val="24"/>
          <w:szCs w:val="24"/>
        </w:rPr>
        <w:t xml:space="preserve">visuomenės sveikatos </w:t>
      </w:r>
      <w:r>
        <w:rPr>
          <w:rFonts w:cs="Times New Roman" w:ascii="Times New Roman" w:hAnsi="Times New Roman"/>
          <w:color w:val="000000"/>
          <w:sz w:val="24"/>
          <w:szCs w:val="24"/>
        </w:rPr>
        <w:t>specialistų</w:t>
      </w:r>
      <w:bookmarkEnd w:id="10"/>
      <w:r>
        <w:rPr>
          <w:rFonts w:cs="Times New Roman" w:ascii="Times New Roman" w:hAnsi="Times New Roman"/>
          <w:color w:val="000000"/>
          <w:sz w:val="24"/>
          <w:szCs w:val="24"/>
        </w:rPr>
        <w:t xml:space="preserve"> </w:t>
      </w:r>
      <w:r>
        <w:rPr>
          <w:rFonts w:cs="Times New Roman" w:ascii="Times New Roman" w:hAnsi="Times New Roman"/>
          <w:color w:themeColor="text1" w:val="000000"/>
          <w:sz w:val="24"/>
          <w:szCs w:val="24"/>
        </w:rPr>
        <w:t>mokymų organizavimo ir vykdymo, paslaugos (toliau – Mokymai).</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lang w:eastAsia="en-US"/>
        </w:rPr>
        <w:t xml:space="preserve">Mokymų tikslas – </w:t>
      </w:r>
      <w:r>
        <w:rPr>
          <w:rFonts w:cs="Times New Roman" w:ascii="Times New Roman" w:hAnsi="Times New Roman"/>
          <w:sz w:val="24"/>
          <w:szCs w:val="24"/>
        </w:rPr>
        <w:t>sustiprinti visuomenės sveikatos specialistų gebėjimus atpažinti specialiųjų ugdymosi poreikių turinčių mokinių sveikatos ugdymo ypatumus ir taikyti įtraukiojo ugdymo principus, siekiant užtikrinti visų mokinių lygiavertį dalyvavimą sveikatos stiprinimo veiklose mokykloje.</w:t>
      </w:r>
      <w:r>
        <w:rPr>
          <w:rFonts w:cs="Times New Roman" w:ascii="Times New Roman" w:hAnsi="Times New Roman"/>
          <w:color w:themeColor="text1" w:val="000000"/>
          <w:sz w:val="24"/>
          <w:szCs w:val="24"/>
        </w:rPr>
        <w:t xml:space="preserve">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Mokymų tikslinė grupė (toliau – tikslinė grupė): savivaldybių visuomenės sveikatos biuro darbuotojai </w:t>
      </w:r>
      <w:r>
        <w:rPr>
          <w:rFonts w:cs="Times New Roman" w:ascii="Times New Roman" w:hAnsi="Times New Roman"/>
          <w:sz w:val="24"/>
          <w:szCs w:val="24"/>
        </w:rPr>
        <w:t>(</w:t>
      </w:r>
      <w:r>
        <w:rPr>
          <w:rFonts w:cs="Times New Roman" w:ascii="Times New Roman" w:hAnsi="Times New Roman"/>
          <w:color w:val="000000"/>
          <w:sz w:val="24"/>
          <w:szCs w:val="24"/>
        </w:rPr>
        <w:t>visuomenės sveikatos specialistai, vykdantys sveikatos priežiūrą mokykloje</w:t>
      </w:r>
      <w:r>
        <w:rPr>
          <w:rFonts w:cs="Times New Roman" w:ascii="Times New Roman" w:hAnsi="Times New Roman"/>
          <w:sz w:val="24"/>
          <w:szCs w:val="24"/>
        </w:rPr>
        <w:t>)</w:t>
      </w:r>
      <w:r>
        <w:rPr>
          <w:rFonts w:cs="Times New Roman" w:ascii="Times New Roman" w:hAnsi="Times New Roman"/>
          <w:color w:themeColor="text1" w:val="000000"/>
          <w:sz w:val="24"/>
          <w:szCs w:val="24"/>
        </w:rPr>
        <w:t>.</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5"/>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Paslaugų teikėjas turi pravesti ne </w:t>
      </w:r>
      <w:r>
        <w:rPr>
          <w:rFonts w:cs="Times New Roman" w:ascii="Times New Roman" w:hAnsi="Times New Roman"/>
          <w:sz w:val="24"/>
          <w:szCs w:val="24"/>
        </w:rPr>
        <w:t xml:space="preserve">mažiau nei </w:t>
      </w:r>
      <w:r>
        <w:rPr>
          <w:rFonts w:cs="Times New Roman" w:ascii="Times New Roman" w:hAnsi="Times New Roman"/>
          <w:b/>
          <w:bCs/>
          <w:sz w:val="24"/>
          <w:szCs w:val="24"/>
          <w:u w:val="single"/>
        </w:rPr>
        <w:t xml:space="preserve"> 20 mokymo grupių</w:t>
      </w:r>
      <w:r>
        <w:rPr>
          <w:rFonts w:cs="Times New Roman" w:ascii="Times New Roman" w:hAnsi="Times New Roman"/>
          <w:sz w:val="24"/>
          <w:szCs w:val="24"/>
        </w:rPr>
        <w:t xml:space="preserve"> gyv</w:t>
      </w:r>
      <w:r>
        <w:rPr>
          <w:rFonts w:cs="Times New Roman" w:ascii="Times New Roman" w:hAnsi="Times New Roman"/>
          <w:color w:themeColor="text1" w:val="000000"/>
          <w:sz w:val="24"/>
          <w:szCs w:val="24"/>
        </w:rPr>
        <w:t>ai</w:t>
      </w:r>
      <w:r>
        <w:rPr>
          <w:rFonts w:cs="Times New Roman" w:ascii="Times New Roman" w:hAnsi="Times New Roman"/>
          <w:sz w:val="24"/>
          <w:szCs w:val="24"/>
        </w:rPr>
        <w:t xml:space="preserve"> </w:t>
      </w:r>
      <w:r>
        <w:rPr>
          <w:rFonts w:cs="Times New Roman" w:ascii="Times New Roman" w:hAnsi="Times New Roman"/>
          <w:color w:themeColor="text1" w:val="000000"/>
          <w:sz w:val="24"/>
          <w:szCs w:val="24"/>
        </w:rPr>
        <w:t xml:space="preserve">bei apmokyti ne mažiau kaip </w:t>
      </w:r>
      <w:r>
        <w:rPr>
          <w:rFonts w:cs="Times New Roman" w:ascii="Times New Roman" w:hAnsi="Times New Roman"/>
          <w:b/>
          <w:bCs/>
          <w:color w:themeColor="text1" w:val="000000"/>
          <w:sz w:val="24"/>
          <w:szCs w:val="24"/>
        </w:rPr>
        <w:t>4 grupes</w:t>
      </w:r>
      <w:r>
        <w:rPr>
          <w:rFonts w:cs="Times New Roman" w:ascii="Times New Roman" w:hAnsi="Times New Roman"/>
          <w:color w:themeColor="text1" w:val="000000"/>
          <w:sz w:val="24"/>
          <w:szCs w:val="24"/>
        </w:rPr>
        <w:t xml:space="preserve"> (80 tikslinės grupės</w:t>
      </w:r>
      <w:r>
        <w:rPr>
          <w:rFonts w:cs="Times New Roman" w:ascii="Times New Roman" w:hAnsi="Times New Roman"/>
          <w:b/>
          <w:bCs/>
          <w:color w:themeColor="text1" w:val="000000"/>
          <w:sz w:val="24"/>
          <w:szCs w:val="24"/>
        </w:rPr>
        <w:t xml:space="preserve"> </w:t>
      </w:r>
      <w:r>
        <w:rPr>
          <w:rFonts w:cs="Times New Roman" w:ascii="Times New Roman" w:hAnsi="Times New Roman"/>
          <w:color w:themeColor="text1" w:val="000000"/>
          <w:sz w:val="24"/>
          <w:szCs w:val="24"/>
        </w:rPr>
        <w:t xml:space="preserve">specialistų)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 xml:space="preserve">regione (Vilniaus apskritis) ir ne mažiau kaip </w:t>
      </w:r>
      <w:r>
        <w:rPr>
          <w:rFonts w:cs="Times New Roman" w:ascii="Times New Roman" w:hAnsi="Times New Roman"/>
          <w:b/>
          <w:bCs/>
          <w:color w:themeColor="text1" w:val="000000"/>
          <w:sz w:val="24"/>
          <w:szCs w:val="24"/>
        </w:rPr>
        <w:t>16 grupių</w:t>
      </w:r>
      <w:r>
        <w:rPr>
          <w:rFonts w:cs="Times New Roman" w:ascii="Times New Roman" w:hAnsi="Times New Roman"/>
          <w:color w:themeColor="text1" w:val="000000"/>
          <w:sz w:val="24"/>
          <w:szCs w:val="24"/>
        </w:rPr>
        <w:t xml:space="preserve"> (320 tikslinės grupės specialistų) </w:t>
      </w:r>
      <w:r>
        <w:rPr>
          <w:rFonts w:cs="Times New Roman" w:ascii="Times New Roman" w:hAnsi="Times New Roman"/>
          <w:b/>
          <w:bCs/>
          <w:color w:themeColor="text1" w:val="000000"/>
          <w:sz w:val="24"/>
          <w:szCs w:val="24"/>
        </w:rPr>
        <w:t>Vidurio ir vakarų Lietuvos regione (visos apskritys, išskyrus Vilniaus apskritį)</w:t>
      </w:r>
      <w:r>
        <w:rPr>
          <w:rFonts w:eastAsia="" w:cs="Times New Roman" w:ascii="Times New Roman" w:hAnsi="Times New Roman" w:eastAsiaTheme="minorEastAsia"/>
          <w:color w:themeColor="text1" w:val="000000"/>
          <w:sz w:val="24"/>
          <w:szCs w:val="24"/>
          <w:lang w:eastAsia="lt-LT"/>
        </w:rPr>
        <w:t>.</w:t>
      </w:r>
      <w:r>
        <w:rPr>
          <w:rFonts w:cs="Times New Roman" w:ascii="Times New Roman" w:hAnsi="Times New Roman"/>
          <w:b/>
          <w:bCs/>
          <w:color w:themeColor="text1" w:val="000000"/>
          <w:sz w:val="24"/>
          <w:szCs w:val="24"/>
        </w:rPr>
        <w:t xml:space="preserve"> </w:t>
      </w:r>
      <w:bookmarkStart w:id="11" w:name="_Hlk178240899"/>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eastAsia="" w:cs="Times New Roman" w:ascii="Times New Roman" w:hAnsi="Times New Roman" w:eastAsiaTheme="minorEastAsia"/>
          <w:color w:themeColor="text1" w:val="000000"/>
          <w:sz w:val="24"/>
          <w:szCs w:val="24"/>
          <w:lang w:eastAsia="lt-LT"/>
        </w:rPr>
        <w:t>Vieną mokymosi grupę sudaro ne daugiau kaip 25 tikslinės grupės</w:t>
      </w:r>
      <w:r>
        <w:rPr>
          <w:rFonts w:cs="Times New Roman" w:ascii="Times New Roman" w:hAnsi="Times New Roman"/>
          <w:color w:themeColor="text1" w:val="000000"/>
          <w:sz w:val="24"/>
          <w:szCs w:val="24"/>
        </w:rPr>
        <w:t xml:space="preserve"> specialistai.</w:t>
      </w:r>
      <w:bookmarkEnd w:id="11"/>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w:t>
      </w:r>
      <w:r>
        <w:rPr>
          <w:rFonts w:cs="Times New Roman" w:ascii="Times New Roman" w:hAnsi="Times New Roman"/>
          <w:bCs/>
          <w:color w:val="000000"/>
          <w:sz w:val="24"/>
          <w:szCs w:val="24"/>
        </w:rPr>
        <w:t>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Mokinių, turinčių specialiųjų ugdymosi poreikių (toliau – SUP) grupės, jų charakteristikos, SUP poreikių nustatymas, poreikių lygmenys. SUP mokinių poreikiai ugdymo ir sveikatos kontekste.</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Įtraukiojo ugdymo samprata ir principai, jų taikymas sveikatos ugdymo veiklose</w:t>
      </w:r>
      <w:r>
        <w:rPr>
          <w:rFonts w:cs="Times New Roman" w:ascii="Times New Roman" w:hAnsi="Times New Roman"/>
          <w:sz w:val="24"/>
          <w:szCs w:val="24"/>
        </w:rPr>
        <w:t>.</w:t>
      </w:r>
      <w:r>
        <w:rPr>
          <w:rFonts w:ascii="Times New Roman" w:hAnsi="Times New Roman"/>
          <w:sz w:val="24"/>
          <w:szCs w:val="24"/>
        </w:rPr>
        <w:t xml:space="preserve"> Sveikatos ugdymas kaip įtraukios aplinkos dalis. Pritaikytos sveikatos ugdymo priemonės ir metodai SUP turintiems mokiniams: inovatyvūs metodai, sensoriniai metodai, vizualiniai metodai. Įtraukios ugdymo aplinkos priemonių kūrimas.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Palankios aplinkos kūrimas SUP turintiems mokiniams. Fizinių erdvių pritaikymas pagal SUP mokinių poreikius. SUP mokinių psichologinių ir socialinių poreikių užtikrinimas klasėje bei mokyklos bendruomenėje. Palankaus psichologinio mikroklimato kūrimas.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Bendravimo ypatumai su SUP turinčiais mokiniais, atsižvelgiant į mokinio elgesio, emocijų ir kalbos sutrikimus. Bendravimo būdai ir technikos, atliepiant SUP mokinių poreikių lygmenis.</w:t>
      </w:r>
    </w:p>
    <w:p>
      <w:pPr>
        <w:pStyle w:val="Normal"/>
        <w:numPr>
          <w:ilvl w:val="1"/>
          <w:numId w:val="7"/>
        </w:numPr>
        <w:tabs>
          <w:tab w:val="clear" w:pos="1296"/>
          <w:tab w:val="left" w:pos="709"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Bendradarbiavimas su SUP turinčio mokinio tėvais (globėjais, rūpintojais), ir kitais specialistais. Mokinio tėvų (globėjų, rūpintojų) įtraukimas į ugdymo procesą. Bendradarbiavimas su kitais specialistais (mokytojais, pagalbos mokiniui specialistais, sveikatos priežiūros specialistais). Atsakomybių pasidalijimas ugdymo procese. Etiniai ir teisiniai aspektai dirbant su SUP mokiniais: vaiko teisės ir orumo užtikrinimas.</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iki einamojo mėnesio 10 d. Perkančiajai organizacijai pateikia kito mėnesio mokymų grafiką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color w:themeColor="text1"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atsakingas už: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programos parengimą ir vertinimo rekomendacijų pateikimą teisės aktų nustatyta tvarka;</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patalpas mokymams;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mitybą mokymų metu (2 kavos pertraukos ir pietūs);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dalyvių surinkimą;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mokymų tvarkaraščio sudarymą;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dalyvių registraciją ir lankomumo fiksavimą (jeigu mokymai ilgesni nei 1 d.) pagal Perkančiosios organizacijos pateiktą Projekto dalyvių sąrašo formą;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duomenų surinkimą pagal Perkančiosios organizacijos pateiktą Projekto dalyvio anketą;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Perkančiosios organizacijos pateikto pranešimo apie asmens duomenų tvarkymą įteikimą mokymų dalyviams,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laisvos formos darbdavio pažymų, patvirtinančių, kad asmuo dirba 7 punkte nurodytoje įstaigoje, surinkimą;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7"/>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7"/>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7"/>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7"/>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7"/>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 w:customStyle="1">
    <w:name w:val="caption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2"/>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3"/>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4"/>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DEE6B2F6-7EC0-4218-B70D-2A9118A8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1011-8813-4cd1-9ea9-dbba38d19084"/>
    <ds:schemaRef ds:uri="06f63fd6-598b-4ec0-b1e4-39d72de8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06f63fd6-598b-4ec0-b1e4-39d72de850dc"/>
    <ds:schemaRef ds:uri="3b231011-8813-4cd1-9ea9-dbba38d19084"/>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Application>LibreOffice/7.6.4.1$Windows_X86_64 LibreOffice_project/e19e193f88cd6c0525a17fb7a176ed8e6a3e2aa1</Application>
  <AppVersion>15.0000</AppVersion>
  <Pages>6</Pages>
  <Words>2266</Words>
  <Characters>16170</Characters>
  <CharactersWithSpaces>18307</CharactersWithSpaces>
  <Paragraphs>103</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2025-09-15T08:07:00Z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