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6220E991"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F431BD" w:rsidRPr="00195201">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1D1D8C">
            <w:rPr>
              <w:rFonts w:ascii="Times New Roman" w:eastAsia="Times New Roman" w:hAnsi="Times New Roman" w:cs="Times New Roman"/>
              <w:noProof/>
              <w:sz w:val="20"/>
              <w:szCs w:val="20"/>
            </w:rPr>
            <w:t>9</w:t>
          </w:r>
          <w:r w:rsidR="000F5BE7" w:rsidRPr="00195201">
            <w:rPr>
              <w:rFonts w:ascii="Times New Roman" w:eastAsia="Times New Roman" w:hAnsi="Times New Roman" w:cs="Times New Roman"/>
              <w:noProof/>
              <w:sz w:val="20"/>
              <w:szCs w:val="20"/>
            </w:rPr>
            <w:t>-</w:t>
          </w:r>
          <w:r w:rsidR="00C92244">
            <w:rPr>
              <w:rFonts w:ascii="Times New Roman" w:eastAsia="Times New Roman" w:hAnsi="Times New Roman" w:cs="Times New Roman"/>
              <w:noProof/>
              <w:sz w:val="20"/>
              <w:szCs w:val="20"/>
            </w:rPr>
            <w:t>1</w:t>
          </w:r>
          <w:r w:rsidR="001D1D8C">
            <w:rPr>
              <w:rFonts w:ascii="Times New Roman" w:eastAsia="Times New Roman" w:hAnsi="Times New Roman" w:cs="Times New Roman"/>
              <w:noProof/>
              <w:sz w:val="20"/>
              <w:szCs w:val="20"/>
            </w:rPr>
            <w:t>5</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30BAFE10" w:rsidR="00D526C8" w:rsidRPr="003622F5" w:rsidRDefault="008E3474"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3622F5" w:rsidRPr="003622F5">
            <w:rPr>
              <w:rFonts w:ascii="Times New Roman" w:eastAsia="TimesNewRomanPS-BoldMT" w:hAnsi="Times New Roman" w:cs="Times New Roman"/>
              <w:b/>
              <w:bCs/>
              <w:sz w:val="24"/>
              <w:szCs w:val="24"/>
              <w14:ligatures w14:val="standardContextual"/>
            </w:rPr>
            <w:t>FUNKCINĖ LOVA SU ŠONINIU PAVERTIMU IR INTEGRUOTU KINTAMO SLĖGIO ČIUŽINIU</w:t>
          </w:r>
          <w:r w:rsidRPr="003622F5">
            <w:rPr>
              <w:rFonts w:ascii="Times New Roman" w:hAnsi="Times New Roman" w:cs="Times New Roman"/>
              <w:b/>
              <w:bCs/>
              <w:sz w:val="24"/>
              <w:szCs w:val="24"/>
            </w:rPr>
            <w:t>“</w:t>
          </w:r>
        </w:p>
        <w:p w14:paraId="18ACC6AD" w14:textId="5BFA9AAB" w:rsidR="00D526C8" w:rsidRPr="003622F5" w:rsidRDefault="008E3474"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6414FD24"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111513">
                  <w:rPr>
                    <w:webHidden/>
                    <w:sz w:val="22"/>
                    <w:szCs w:val="22"/>
                  </w:rPr>
                  <w:t>1</w:t>
                </w:r>
                <w:r w:rsidR="00C43719" w:rsidRPr="008A5BA5">
                  <w:rPr>
                    <w:webHidden/>
                    <w:sz w:val="22"/>
                    <w:szCs w:val="22"/>
                  </w:rPr>
                  <w:fldChar w:fldCharType="end"/>
                </w:r>
              </w:hyperlink>
            </w:p>
            <w:p w14:paraId="67A34114" w14:textId="6F380497"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111513">
                  <w:rPr>
                    <w:webHidden/>
                    <w:sz w:val="22"/>
                    <w:szCs w:val="22"/>
                  </w:rPr>
                  <w:t>1</w:t>
                </w:r>
                <w:r w:rsidRPr="008A5BA5">
                  <w:rPr>
                    <w:webHidden/>
                    <w:sz w:val="22"/>
                    <w:szCs w:val="22"/>
                  </w:rPr>
                  <w:fldChar w:fldCharType="end"/>
                </w:r>
              </w:hyperlink>
            </w:p>
            <w:p w14:paraId="7D047CFF" w14:textId="73B20FA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111513">
                  <w:rPr>
                    <w:webHidden/>
                    <w:sz w:val="22"/>
                    <w:szCs w:val="22"/>
                  </w:rPr>
                  <w:t>1</w:t>
                </w:r>
                <w:r w:rsidRPr="008A5BA5">
                  <w:rPr>
                    <w:webHidden/>
                    <w:sz w:val="22"/>
                    <w:szCs w:val="22"/>
                  </w:rPr>
                  <w:fldChar w:fldCharType="end"/>
                </w:r>
              </w:hyperlink>
            </w:p>
            <w:p w14:paraId="303C2F95" w14:textId="05511B58"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0FFA452B" w14:textId="21E62ED1"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0F3C3487" w14:textId="4029DE4F"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111513">
                  <w:rPr>
                    <w:webHidden/>
                    <w:sz w:val="22"/>
                    <w:szCs w:val="22"/>
                  </w:rPr>
                  <w:t>2</w:t>
                </w:r>
                <w:r w:rsidRPr="008A5BA5">
                  <w:rPr>
                    <w:webHidden/>
                    <w:sz w:val="22"/>
                    <w:szCs w:val="22"/>
                  </w:rPr>
                  <w:fldChar w:fldCharType="end"/>
                </w:r>
              </w:hyperlink>
            </w:p>
            <w:p w14:paraId="13B7D179" w14:textId="632130F0"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0DEBCBCD" w14:textId="00A80909"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29F63DD5" w14:textId="6E48F5B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66AEDD5B" w14:textId="204DDC6B"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5D6EE91D" w14:textId="02D15D9F"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111513">
                  <w:rPr>
                    <w:webHidden/>
                    <w:sz w:val="22"/>
                    <w:szCs w:val="22"/>
                  </w:rPr>
                  <w:t>3</w:t>
                </w:r>
                <w:r w:rsidRPr="008A5BA5">
                  <w:rPr>
                    <w:webHidden/>
                    <w:sz w:val="22"/>
                    <w:szCs w:val="22"/>
                  </w:rPr>
                  <w:fldChar w:fldCharType="end"/>
                </w:r>
              </w:hyperlink>
            </w:p>
            <w:p w14:paraId="02F1DD73" w14:textId="56AA5CD4"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111513">
                  <w:rPr>
                    <w:noProof/>
                    <w:webHidden/>
                  </w:rPr>
                  <w:t>4</w:t>
                </w:r>
                <w:r w:rsidRPr="008A5BA5">
                  <w:rPr>
                    <w:noProof/>
                    <w:webHidden/>
                  </w:rPr>
                  <w:fldChar w:fldCharType="end"/>
                </w:r>
              </w:hyperlink>
            </w:p>
            <w:p w14:paraId="13C92513" w14:textId="0BAA5E32"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111513">
                  <w:rPr>
                    <w:noProof/>
                    <w:webHidden/>
                  </w:rPr>
                  <w:t>6</w:t>
                </w:r>
                <w:r w:rsidRPr="008A5BA5">
                  <w:rPr>
                    <w:noProof/>
                    <w:webHidden/>
                  </w:rPr>
                  <w:fldChar w:fldCharType="end"/>
                </w:r>
              </w:hyperlink>
            </w:p>
            <w:p w14:paraId="26A00866" w14:textId="3AAEEC89"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111513">
                  <w:rPr>
                    <w:noProof/>
                    <w:webHidden/>
                  </w:rPr>
                  <w:t>13</w:t>
                </w:r>
                <w:r w:rsidRPr="008A5BA5">
                  <w:rPr>
                    <w:noProof/>
                    <w:webHidden/>
                  </w:rPr>
                  <w:fldChar w:fldCharType="end"/>
                </w:r>
              </w:hyperlink>
            </w:p>
            <w:p w14:paraId="646EE7E6" w14:textId="7C4B981B"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111513">
                  <w:rPr>
                    <w:noProof/>
                    <w:webHidden/>
                  </w:rPr>
                  <w:t>14</w:t>
                </w:r>
                <w:r w:rsidRPr="008A5BA5">
                  <w:rPr>
                    <w:noProof/>
                    <w:webHidden/>
                  </w:rPr>
                  <w:fldChar w:fldCharType="end"/>
                </w:r>
              </w:hyperlink>
            </w:p>
            <w:p w14:paraId="0DC36143" w14:textId="7A93A129"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111513">
                  <w:rPr>
                    <w:noProof/>
                    <w:webHidden/>
                  </w:rPr>
                  <w:t>15</w:t>
                </w:r>
                <w:r w:rsidRPr="008A5BA5">
                  <w:rPr>
                    <w:noProof/>
                    <w:webHidden/>
                  </w:rPr>
                  <w:fldChar w:fldCharType="end"/>
                </w:r>
              </w:hyperlink>
            </w:p>
            <w:p w14:paraId="1B7700BD" w14:textId="068457E9"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111513">
                  <w:rPr>
                    <w:noProof/>
                    <w:webHidden/>
                  </w:rPr>
                  <w:t>16</w:t>
                </w:r>
                <w:r w:rsidRPr="008A5BA5">
                  <w:rPr>
                    <w:noProof/>
                    <w:webHidden/>
                  </w:rPr>
                  <w:fldChar w:fldCharType="end"/>
                </w:r>
              </w:hyperlink>
            </w:p>
            <w:p w14:paraId="3F640B62" w14:textId="7BE07CE8" w:rsidR="00C43719" w:rsidRPr="008A5BA5" w:rsidRDefault="00C43719" w:rsidP="00F431BD">
              <w:pPr>
                <w:pStyle w:val="Turinys2"/>
                <w:rPr>
                  <w:noProof/>
                  <w:kern w:val="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111513">
                  <w:rPr>
                    <w:noProof/>
                    <w:webHidden/>
                  </w:rPr>
                  <w:t>17</w:t>
                </w:r>
                <w:r w:rsidRPr="008A5BA5">
                  <w:rPr>
                    <w:noProof/>
                    <w:webHidden/>
                  </w:rPr>
                  <w:fldChar w:fldCharType="end"/>
                </w:r>
              </w:hyperlink>
            </w:p>
            <w:p w14:paraId="5E4329B3" w14:textId="52D36495" w:rsidR="00C43719" w:rsidRPr="008A5BA5" w:rsidRDefault="00C43719" w:rsidP="00F431BD">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111513" w:rsidRPr="00111513">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sidR="00111513">
                  <w:rPr>
                    <w:noProof/>
                    <w:webHidden/>
                  </w:rPr>
                  <w:t>18</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AD01A4"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AD01A4">
        <w:rPr>
          <w:rFonts w:cs="Times New Roman"/>
          <w:sz w:val="22"/>
          <w:szCs w:val="22"/>
          <w:lang w:val="lt-LT"/>
        </w:rPr>
        <w:t xml:space="preserve">Perkančioji organizacija - VšĮ Klaipėdos universiteto ligoninė, juridinio asmens kodas 306207585, adresas: Liepojos g. 41, LT-92288, Klaipėda. </w:t>
      </w:r>
      <w:r w:rsidRPr="00AD01A4">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Pr="00AD01A4"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Pirkimas</w:t>
      </w:r>
      <w:r w:rsidR="00B37854" w:rsidRPr="00AD01A4">
        <w:rPr>
          <w:rFonts w:ascii="Times New Roman" w:hAnsi="Times New Roman" w:cs="Times New Roman"/>
          <w:sz w:val="22"/>
          <w:szCs w:val="22"/>
        </w:rPr>
        <w:t xml:space="preserve"> neatlieka</w:t>
      </w:r>
      <w:r w:rsidRPr="00AD01A4">
        <w:rPr>
          <w:rFonts w:ascii="Times New Roman" w:hAnsi="Times New Roman" w:cs="Times New Roman"/>
          <w:sz w:val="22"/>
          <w:szCs w:val="22"/>
        </w:rPr>
        <w:t>mas</w:t>
      </w:r>
      <w:r w:rsidR="00B37854"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naudojantis centralizuotų pirkimų katalogu</w:t>
      </w:r>
      <w:r w:rsidRPr="00AD01A4">
        <w:rPr>
          <w:rFonts w:ascii="Times New Roman" w:hAnsi="Times New Roman" w:cs="Times New Roman"/>
          <w:sz w:val="22"/>
          <w:szCs w:val="22"/>
        </w:rPr>
        <w:t xml:space="preserve">, nes </w:t>
      </w:r>
      <w:r w:rsidR="005B0ED9" w:rsidRPr="00AD01A4">
        <w:rPr>
          <w:rFonts w:ascii="Times New Roman" w:hAnsi="Times New Roman" w:cs="Times New Roman"/>
          <w:sz w:val="22"/>
          <w:szCs w:val="22"/>
        </w:rPr>
        <w:t>tok</w:t>
      </w:r>
      <w:r w:rsidR="002D76EC" w:rsidRPr="00AD01A4">
        <w:rPr>
          <w:rFonts w:ascii="Times New Roman" w:hAnsi="Times New Roman" w:cs="Times New Roman"/>
          <w:sz w:val="22"/>
          <w:szCs w:val="22"/>
        </w:rPr>
        <w:t>ių savybių</w:t>
      </w:r>
      <w:r w:rsidR="005B0ED9" w:rsidRPr="00AD01A4">
        <w:rPr>
          <w:rFonts w:ascii="Times New Roman" w:hAnsi="Times New Roman" w:cs="Times New Roman"/>
          <w:sz w:val="22"/>
          <w:szCs w:val="22"/>
        </w:rPr>
        <w:t xml:space="preserve"> medicininės paskirties </w:t>
      </w:r>
      <w:r w:rsidR="002D76EC" w:rsidRPr="00AD01A4">
        <w:rPr>
          <w:rFonts w:ascii="Times New Roman" w:hAnsi="Times New Roman" w:cs="Times New Roman"/>
          <w:sz w:val="22"/>
          <w:szCs w:val="22"/>
        </w:rPr>
        <w:t>prekių</w:t>
      </w:r>
      <w:r w:rsidR="005B0ED9" w:rsidRPr="00AD01A4">
        <w:rPr>
          <w:rFonts w:ascii="Times New Roman" w:hAnsi="Times New Roman" w:cs="Times New Roman"/>
          <w:sz w:val="22"/>
          <w:szCs w:val="22"/>
        </w:rPr>
        <w:t xml:space="preserve"> CPO katalogas nesiūlo</w:t>
      </w:r>
      <w:r w:rsidR="008C5F5E" w:rsidRPr="00AD01A4">
        <w:rPr>
          <w:rFonts w:ascii="Times New Roman" w:hAnsi="Times New Roman" w:cs="Times New Roman"/>
          <w:sz w:val="22"/>
          <w:szCs w:val="22"/>
        </w:rPr>
        <w:t xml:space="preserve">. </w:t>
      </w:r>
      <w:r w:rsidR="002F5F8E" w:rsidRPr="00AD01A4">
        <w:rPr>
          <w:rFonts w:ascii="Times New Roman" w:hAnsi="Times New Roman" w:cs="Times New Roman"/>
          <w:sz w:val="22"/>
          <w:szCs w:val="22"/>
        </w:rPr>
        <w:t xml:space="preserve"> </w:t>
      </w:r>
    </w:p>
    <w:p w14:paraId="056BAB71" w14:textId="29518EB4" w:rsidR="00C7434D" w:rsidRPr="00AD01A4"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eastAsia="Times New Roman" w:hAnsi="Times New Roman" w:cs="Times New Roman"/>
          <w:sz w:val="22"/>
          <w:szCs w:val="22"/>
        </w:rPr>
        <w:t>Perkančioji organizacija nerezervuoja teisės dalyvauti pirkime.</w:t>
      </w:r>
    </w:p>
    <w:p w14:paraId="6F5BFB8F" w14:textId="0F1F3C04" w:rsidR="00C7434D"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Stebėtojai dalyvauti Komisijos posėdžiuose nėra kviečiami.</w:t>
      </w:r>
    </w:p>
    <w:p w14:paraId="39603E6D" w14:textId="11F3EB87" w:rsidR="005E62F0" w:rsidRPr="00AD01A4"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 xml:space="preserve">Atliekamas žaliasis pirkimas. Pirkimas vykdomas vadovaujantis </w:t>
      </w:r>
      <w:hyperlink r:id="rId13" w:history="1">
        <w:r w:rsidRPr="00AD01A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D01A4">
        <w:rPr>
          <w:rFonts w:ascii="Times New Roman" w:hAnsi="Times New Roman" w:cs="Times New Roman"/>
          <w:sz w:val="22"/>
          <w:szCs w:val="22"/>
        </w:rPr>
        <w:t xml:space="preserve">“ </w:t>
      </w:r>
      <w:r w:rsidR="00903393" w:rsidRPr="00AD01A4">
        <w:rPr>
          <w:rFonts w:ascii="Times New Roman" w:hAnsi="Times New Roman" w:cs="Times New Roman"/>
          <w:color w:val="000000"/>
          <w:sz w:val="22"/>
          <w:szCs w:val="22"/>
        </w:rPr>
        <w:t xml:space="preserve">4.4.4. </w:t>
      </w:r>
      <w:r w:rsidRPr="00AD01A4">
        <w:rPr>
          <w:rFonts w:ascii="Times New Roman" w:hAnsi="Times New Roman" w:cs="Times New Roman"/>
          <w:sz w:val="22"/>
          <w:szCs w:val="22"/>
        </w:rPr>
        <w:t xml:space="preserve">punktu </w:t>
      </w:r>
      <w:r w:rsidR="00903393" w:rsidRPr="00AD01A4">
        <w:rPr>
          <w:rFonts w:ascii="Times New Roman" w:hAnsi="Times New Roman" w:cs="Times New Roman"/>
          <w:sz w:val="22"/>
          <w:szCs w:val="22"/>
        </w:rPr>
        <w:t>-</w:t>
      </w:r>
      <w:r w:rsidR="00903393" w:rsidRPr="00AD01A4">
        <w:rPr>
          <w:rFonts w:ascii="Times New Roman" w:hAnsi="Times New Roman" w:cs="Times New Roman"/>
          <w:color w:val="000000"/>
          <w:sz w:val="22"/>
          <w:szCs w:val="22"/>
        </w:rPr>
        <w:t xml:space="preserve"> pirkdamas produktą pirkimo vykdytojas savarankiškai nustato aplinkos apsaugos kriterijus.</w:t>
      </w:r>
      <w:r w:rsidR="00903393" w:rsidRPr="00AD01A4">
        <w:rPr>
          <w:rFonts w:ascii="Times New Roman" w:hAnsi="Times New Roman" w:cs="Times New Roman"/>
          <w:sz w:val="22"/>
          <w:szCs w:val="22"/>
        </w:rPr>
        <w:t xml:space="preserve"> </w:t>
      </w:r>
      <w:r w:rsidRPr="00AD01A4">
        <w:rPr>
          <w:rFonts w:ascii="Times New Roman" w:hAnsi="Times New Roman" w:cs="Times New Roman"/>
          <w:sz w:val="22"/>
          <w:szCs w:val="22"/>
        </w:rPr>
        <w:t xml:space="preserve">Aplinkos apaugos kriterijai nustatyti </w:t>
      </w:r>
      <w:r w:rsidR="00303F6B" w:rsidRPr="00AD01A4">
        <w:rPr>
          <w:rFonts w:ascii="Times New Roman" w:hAnsi="Times New Roman" w:cs="Times New Roman"/>
          <w:sz w:val="22"/>
          <w:szCs w:val="22"/>
        </w:rPr>
        <w:t xml:space="preserve">specialiųjų sąlygų </w:t>
      </w:r>
      <w:r w:rsidR="007D2F57" w:rsidRPr="00AD01A4">
        <w:rPr>
          <w:rFonts w:ascii="Times New Roman" w:hAnsi="Times New Roman" w:cs="Times New Roman"/>
          <w:sz w:val="22"/>
          <w:szCs w:val="22"/>
        </w:rPr>
        <w:t xml:space="preserve">5 priede – Pasiūlymo forma ir </w:t>
      </w:r>
      <w:r w:rsidR="003D53E1">
        <w:rPr>
          <w:rFonts w:ascii="Times New Roman" w:hAnsi="Times New Roman" w:cs="Times New Roman"/>
          <w:sz w:val="22"/>
          <w:szCs w:val="22"/>
        </w:rPr>
        <w:t>8</w:t>
      </w:r>
      <w:r w:rsidR="00303F6B" w:rsidRPr="00AD01A4">
        <w:rPr>
          <w:rFonts w:ascii="Times New Roman" w:hAnsi="Times New Roman" w:cs="Times New Roman"/>
          <w:sz w:val="22"/>
          <w:szCs w:val="22"/>
        </w:rPr>
        <w:t xml:space="preserve"> priede – Sutarties projekte</w:t>
      </w:r>
      <w:r w:rsidRPr="00AD01A4">
        <w:rPr>
          <w:rFonts w:ascii="Times New Roman" w:hAnsi="Times New Roman" w:cs="Times New Roman"/>
          <w:sz w:val="22"/>
          <w:szCs w:val="22"/>
        </w:rPr>
        <w:t>.</w:t>
      </w:r>
    </w:p>
    <w:p w14:paraId="2413C02D" w14:textId="6892AD49" w:rsidR="00E32C8E" w:rsidRPr="00AD01A4"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AD01A4">
        <w:rPr>
          <w:rFonts w:ascii="Times New Roman" w:eastAsia="Arial" w:hAnsi="Times New Roman" w:cs="Times New Roman"/>
          <w:sz w:val="22"/>
          <w:szCs w:val="22"/>
        </w:rPr>
        <w:t xml:space="preserve">Išankstinis skelbimas apie </w:t>
      </w:r>
      <w:r w:rsidR="007A68AD"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irkimą nebuvo paskelbtas</w:t>
      </w:r>
      <w:r w:rsidR="00354CAC" w:rsidRPr="00AD01A4">
        <w:rPr>
          <w:rFonts w:ascii="Times New Roman" w:eastAsia="Arial" w:hAnsi="Times New Roman" w:cs="Times New Roman"/>
          <w:sz w:val="22"/>
          <w:szCs w:val="22"/>
        </w:rPr>
        <w:t>,</w:t>
      </w:r>
    </w:p>
    <w:p w14:paraId="72EF28E7" w14:textId="29B97633" w:rsidR="00AF1430" w:rsidRPr="00AD01A4"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AD01A4">
        <w:rPr>
          <w:rFonts w:ascii="Times New Roman" w:hAnsi="Times New Roman" w:cs="Times New Roman"/>
          <w:sz w:val="22"/>
          <w:szCs w:val="22"/>
          <w:lang w:eastAsia="en-US"/>
        </w:rPr>
        <w:t>P</w:t>
      </w:r>
      <w:r w:rsidR="00E32C8E" w:rsidRPr="00AD01A4">
        <w:rPr>
          <w:rFonts w:ascii="Times New Roman" w:hAnsi="Times New Roman" w:cs="Times New Roman"/>
          <w:sz w:val="22"/>
          <w:szCs w:val="22"/>
          <w:lang w:eastAsia="en-US"/>
        </w:rPr>
        <w:t xml:space="preserve">irkime </w:t>
      </w:r>
      <w:r w:rsidR="007A68AD" w:rsidRPr="00AD01A4">
        <w:rPr>
          <w:rFonts w:ascii="Times New Roman" w:hAnsi="Times New Roman" w:cs="Times New Roman"/>
          <w:sz w:val="22"/>
          <w:szCs w:val="22"/>
        </w:rPr>
        <w:t>perkančioji organizacija</w:t>
      </w:r>
      <w:r w:rsidR="00E32C8E" w:rsidRPr="00AD01A4">
        <w:rPr>
          <w:rFonts w:ascii="Times New Roman" w:hAnsi="Times New Roman" w:cs="Times New Roman"/>
          <w:sz w:val="22"/>
          <w:szCs w:val="22"/>
          <w:lang w:eastAsia="en-US"/>
        </w:rPr>
        <w:t xml:space="preserve"> nenumato skelbti pranešimo dėl savanoriško </w:t>
      </w:r>
      <w:r w:rsidR="00E32C8E" w:rsidRPr="00AD01A4">
        <w:rPr>
          <w:rFonts w:ascii="Times New Roman" w:hAnsi="Times New Roman" w:cs="Times New Roman"/>
          <w:i/>
          <w:iCs/>
          <w:sz w:val="22"/>
          <w:szCs w:val="22"/>
          <w:lang w:eastAsia="en-US"/>
        </w:rPr>
        <w:t>ex ante</w:t>
      </w:r>
      <w:r w:rsidR="00E32C8E" w:rsidRPr="00AD01A4">
        <w:rPr>
          <w:rFonts w:ascii="Times New Roman" w:hAnsi="Times New Roman" w:cs="Times New Roman"/>
          <w:sz w:val="22"/>
          <w:szCs w:val="22"/>
          <w:lang w:eastAsia="en-US"/>
        </w:rPr>
        <w:t xml:space="preserve"> skaidrumo.</w:t>
      </w:r>
    </w:p>
    <w:p w14:paraId="278EA4A0" w14:textId="524E9FA6" w:rsidR="00AF1430" w:rsidRPr="00AD01A4"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AD01A4">
        <w:rPr>
          <w:rFonts w:ascii="Times New Roman" w:hAnsi="Times New Roman" w:cs="Times New Roman"/>
          <w:sz w:val="22"/>
          <w:szCs w:val="22"/>
        </w:rPr>
        <w:t>Pirkime neleidžia</w:t>
      </w:r>
      <w:r w:rsidR="00216820" w:rsidRPr="00AD01A4">
        <w:rPr>
          <w:rFonts w:ascii="Times New Roman" w:hAnsi="Times New Roman" w:cs="Times New Roman"/>
          <w:sz w:val="22"/>
          <w:szCs w:val="22"/>
        </w:rPr>
        <w:t>ma</w:t>
      </w:r>
      <w:r w:rsidRPr="00AD01A4">
        <w:rPr>
          <w:rFonts w:ascii="Times New Roman" w:hAnsi="Times New Roman" w:cs="Times New Roman"/>
          <w:sz w:val="22"/>
          <w:szCs w:val="22"/>
        </w:rPr>
        <w:t xml:space="preserve"> pateikti alternatyvių </w:t>
      </w:r>
      <w:r w:rsidR="00D27E76" w:rsidRPr="00AD01A4">
        <w:rPr>
          <w:rFonts w:ascii="Times New Roman" w:hAnsi="Times New Roman" w:cs="Times New Roman"/>
          <w:sz w:val="22"/>
          <w:szCs w:val="22"/>
        </w:rPr>
        <w:t>p</w:t>
      </w:r>
      <w:r w:rsidRPr="00AD01A4">
        <w:rPr>
          <w:rFonts w:ascii="Times New Roman" w:hAnsi="Times New Roman" w:cs="Times New Roman"/>
          <w:sz w:val="22"/>
          <w:szCs w:val="22"/>
        </w:rPr>
        <w:t xml:space="preserve">asiūlymų. </w:t>
      </w:r>
    </w:p>
    <w:p w14:paraId="0C002F05" w14:textId="68A15AD1" w:rsidR="00E32C8E" w:rsidRPr="00C92244"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AD01A4">
        <w:rPr>
          <w:rFonts w:ascii="Times New Roman" w:eastAsia="Arial" w:hAnsi="Times New Roman" w:cs="Times New Roman"/>
          <w:sz w:val="22"/>
          <w:szCs w:val="22"/>
        </w:rPr>
        <w:t xml:space="preserve">Bendrosios </w:t>
      </w:r>
      <w:r w:rsidR="007E5F55" w:rsidRPr="00AD01A4">
        <w:rPr>
          <w:rFonts w:ascii="Times New Roman" w:eastAsia="Arial" w:hAnsi="Times New Roman" w:cs="Times New Roman"/>
          <w:sz w:val="22"/>
          <w:szCs w:val="22"/>
        </w:rPr>
        <w:t xml:space="preserve">pirkimo </w:t>
      </w:r>
      <w:r w:rsidRPr="00AD01A4">
        <w:rPr>
          <w:rFonts w:ascii="Times New Roman" w:eastAsia="Arial" w:hAnsi="Times New Roman" w:cs="Times New Roman"/>
          <w:sz w:val="22"/>
          <w:szCs w:val="22"/>
        </w:rPr>
        <w:t>sąlygos yra neatskiriama ši</w:t>
      </w:r>
      <w:r w:rsidR="00C07F25" w:rsidRPr="00AD01A4">
        <w:rPr>
          <w:rFonts w:ascii="Times New Roman" w:eastAsia="Arial" w:hAnsi="Times New Roman" w:cs="Times New Roman"/>
          <w:sz w:val="22"/>
          <w:szCs w:val="22"/>
        </w:rPr>
        <w:t>ų</w:t>
      </w:r>
      <w:r w:rsidRPr="00AD01A4">
        <w:rPr>
          <w:rFonts w:ascii="Times New Roman" w:eastAsia="Arial" w:hAnsi="Times New Roman" w:cs="Times New Roman"/>
          <w:sz w:val="22"/>
          <w:szCs w:val="22"/>
        </w:rPr>
        <w:t xml:space="preserve"> </w:t>
      </w:r>
      <w:r w:rsidR="00F4541C" w:rsidRPr="00AD01A4">
        <w:rPr>
          <w:rFonts w:ascii="Times New Roman" w:eastAsia="Arial" w:hAnsi="Times New Roman" w:cs="Times New Roman"/>
          <w:sz w:val="22"/>
          <w:szCs w:val="22"/>
        </w:rPr>
        <w:t>p</w:t>
      </w:r>
      <w:r w:rsidRPr="00AD01A4">
        <w:rPr>
          <w:rFonts w:ascii="Times New Roman" w:eastAsia="Arial" w:hAnsi="Times New Roman" w:cs="Times New Roman"/>
          <w:sz w:val="22"/>
          <w:szCs w:val="22"/>
        </w:rPr>
        <w:t>irkimo sąlygų dalis.</w:t>
      </w:r>
    </w:p>
    <w:p w14:paraId="16F69AD7" w14:textId="77777777" w:rsidR="00C92244" w:rsidRPr="00304C98" w:rsidRDefault="00C92244" w:rsidP="00C92244">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0D9ED4E5" w14:textId="77777777" w:rsidR="00C92244" w:rsidRDefault="00C92244" w:rsidP="00C92244">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w:t>
      </w:r>
      <w:r>
        <w:rPr>
          <w:rFonts w:ascii="Times New Roman" w:hAnsi="Times New Roman" w:cs="Times New Roman"/>
          <w:sz w:val="22"/>
          <w:szCs w:val="22"/>
        </w:rPr>
        <w:t>Žilvinas Balsevičius</w:t>
      </w:r>
      <w:r w:rsidRPr="00304C98">
        <w:rPr>
          <w:rFonts w:ascii="Times New Roman" w:hAnsi="Times New Roman" w:cs="Times New Roman"/>
          <w:sz w:val="22"/>
          <w:szCs w:val="22"/>
        </w:rPr>
        <w:t xml:space="preserve">,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w:t>
      </w:r>
      <w:r>
        <w:rPr>
          <w:rFonts w:ascii="Times New Roman" w:hAnsi="Times New Roman" w:cs="Times New Roman"/>
          <w:sz w:val="22"/>
          <w:szCs w:val="22"/>
        </w:rPr>
        <w:t>as</w:t>
      </w:r>
      <w:r w:rsidRPr="00304C98">
        <w:rPr>
          <w:rFonts w:ascii="Times New Roman" w:hAnsi="Times New Roman" w:cs="Times New Roman"/>
          <w:sz w:val="22"/>
          <w:szCs w:val="22"/>
        </w:rPr>
        <w:t xml:space="preserve">, tel. +370 </w:t>
      </w:r>
      <w:r>
        <w:rPr>
          <w:rFonts w:ascii="Times New Roman" w:hAnsi="Times New Roman" w:cs="Times New Roman"/>
          <w:sz w:val="22"/>
          <w:szCs w:val="22"/>
        </w:rPr>
        <w:t>46 491194</w:t>
      </w:r>
      <w:r w:rsidRPr="00304C98">
        <w:rPr>
          <w:rFonts w:ascii="Times New Roman" w:hAnsi="Times New Roman" w:cs="Times New Roman"/>
          <w:sz w:val="22"/>
          <w:szCs w:val="22"/>
        </w:rPr>
        <w:t xml:space="preserve">, el. p. </w:t>
      </w:r>
      <w:hyperlink r:id="rId14" w:history="1">
        <w:r w:rsidRPr="00907612">
          <w:rPr>
            <w:rStyle w:val="Hipersaitas"/>
            <w:rFonts w:ascii="Times New Roman" w:hAnsi="Times New Roman" w:cs="Times New Roman"/>
            <w:color w:val="0070C0"/>
            <w:sz w:val="22"/>
            <w:szCs w:val="22"/>
            <w:u w:val="single"/>
          </w:rPr>
          <w:t>zilvinas.balsevicius@kul.lt</w:t>
        </w:r>
      </w:hyperlink>
      <w:r>
        <w:rPr>
          <w:rFonts w:ascii="Times New Roman" w:hAnsi="Times New Roman" w:cs="Times New Roman"/>
          <w:sz w:val="22"/>
          <w:szCs w:val="22"/>
        </w:rPr>
        <w:t xml:space="preserve"> </w:t>
      </w:r>
      <w:r w:rsidRPr="00304C98">
        <w:rPr>
          <w:rFonts w:ascii="Times New Roman" w:hAnsi="Times New Roman" w:cs="Times New Roman"/>
          <w:sz w:val="22"/>
          <w:szCs w:val="22"/>
        </w:rPr>
        <w:t>.</w:t>
      </w:r>
    </w:p>
    <w:p w14:paraId="47467F44" w14:textId="134D13D8" w:rsidR="00C92244" w:rsidRPr="00A73A1D" w:rsidRDefault="00C92244" w:rsidP="00A73A1D">
      <w:pPr>
        <w:pStyle w:val="Sraopastraipa"/>
        <w:numPr>
          <w:ilvl w:val="2"/>
          <w:numId w:val="1"/>
        </w:numPr>
        <w:ind w:left="0" w:firstLine="567"/>
        <w:jc w:val="both"/>
        <w:rPr>
          <w:rFonts w:ascii="Times New Roman" w:hAnsi="Times New Roman" w:cs="Times New Roman"/>
          <w:sz w:val="22"/>
          <w:szCs w:val="22"/>
        </w:rPr>
      </w:pPr>
      <w:r>
        <w:rPr>
          <w:rFonts w:ascii="Times New Roman" w:hAnsi="Times New Roman" w:cs="Times New Roman"/>
          <w:sz w:val="22"/>
          <w:szCs w:val="22"/>
        </w:rPr>
        <w:t xml:space="preserve">Įrangos klausimais – </w:t>
      </w:r>
      <w:r w:rsidR="00A73A1D" w:rsidRPr="00A73A1D">
        <w:rPr>
          <w:rFonts w:ascii="Times New Roman" w:hAnsi="Times New Roman" w:cs="Times New Roman"/>
          <w:sz w:val="22"/>
          <w:szCs w:val="22"/>
        </w:rPr>
        <w:t>Palaikomojo gydymo ir slaugos klinik</w:t>
      </w:r>
      <w:r w:rsidR="00A73A1D">
        <w:rPr>
          <w:rFonts w:ascii="Times New Roman" w:hAnsi="Times New Roman" w:cs="Times New Roman"/>
          <w:sz w:val="22"/>
          <w:szCs w:val="22"/>
        </w:rPr>
        <w:t>os</w:t>
      </w:r>
      <w:r w:rsidR="00102F81">
        <w:rPr>
          <w:rFonts w:ascii="Times New Roman" w:hAnsi="Times New Roman" w:cs="Times New Roman"/>
          <w:sz w:val="22"/>
          <w:szCs w:val="22"/>
        </w:rPr>
        <w:t xml:space="preserve"> administratorė Vida Šereikienė</w:t>
      </w:r>
      <w:r w:rsidR="0081171E">
        <w:rPr>
          <w:rFonts w:ascii="Times New Roman" w:hAnsi="Times New Roman" w:cs="Times New Roman"/>
          <w:sz w:val="22"/>
          <w:szCs w:val="22"/>
        </w:rPr>
        <w:t xml:space="preserve">, tel. +370 460 30515, el. p. </w:t>
      </w:r>
      <w:hyperlink r:id="rId15" w:history="1">
        <w:r w:rsidR="0081171E" w:rsidRPr="0081171E">
          <w:rPr>
            <w:rStyle w:val="Hipersaitas"/>
            <w:rFonts w:ascii="Times New Roman" w:hAnsi="Times New Roman" w:cs="Times New Roman"/>
            <w:color w:val="0070C0"/>
            <w:sz w:val="22"/>
            <w:szCs w:val="22"/>
            <w:u w:val="single"/>
          </w:rPr>
          <w:t>vida.sereikiene@kulig.lt</w:t>
        </w:r>
      </w:hyperlink>
      <w:r w:rsidR="0081171E">
        <w:rPr>
          <w:rFonts w:ascii="Times New Roman" w:hAnsi="Times New Roman" w:cs="Times New Roman"/>
          <w:sz w:val="22"/>
          <w:szCs w:val="22"/>
        </w:rPr>
        <w:t xml:space="preserve"> .</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640B4787" w:rsidR="00B41C66"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3622F5" w:rsidRPr="003622F5">
        <w:rPr>
          <w:rFonts w:ascii="Times New Roman" w:eastAsia="TimesNewRomanPS-BoldMT" w:hAnsi="Times New Roman" w:cs="Times New Roman"/>
          <w:sz w:val="22"/>
          <w:szCs w:val="22"/>
          <w14:ligatures w14:val="standardContextual"/>
        </w:rPr>
        <w:t>funkcin</w:t>
      </w:r>
      <w:r w:rsidR="003622F5">
        <w:rPr>
          <w:rFonts w:ascii="Times New Roman" w:eastAsia="TimesNewRomanPS-BoldMT" w:hAnsi="Times New Roman" w:cs="Times New Roman"/>
          <w:sz w:val="22"/>
          <w:szCs w:val="22"/>
          <w14:ligatures w14:val="standardContextual"/>
        </w:rPr>
        <w:t>ę</w:t>
      </w:r>
      <w:r w:rsidR="003622F5" w:rsidRPr="003622F5">
        <w:rPr>
          <w:rFonts w:ascii="Times New Roman" w:eastAsia="TimesNewRomanPS-BoldMT" w:hAnsi="Times New Roman" w:cs="Times New Roman"/>
          <w:sz w:val="22"/>
          <w:szCs w:val="22"/>
          <w14:ligatures w14:val="standardContextual"/>
        </w:rPr>
        <w:t xml:space="preserve"> lov</w:t>
      </w:r>
      <w:r w:rsidR="003622F5">
        <w:rPr>
          <w:rFonts w:ascii="Times New Roman" w:eastAsia="TimesNewRomanPS-BoldMT" w:hAnsi="Times New Roman" w:cs="Times New Roman"/>
          <w:sz w:val="22"/>
          <w:szCs w:val="22"/>
          <w14:ligatures w14:val="standardContextual"/>
        </w:rPr>
        <w:t>ą</w:t>
      </w:r>
      <w:r w:rsidR="003622F5" w:rsidRPr="003622F5">
        <w:rPr>
          <w:rFonts w:ascii="Times New Roman" w:eastAsia="TimesNewRomanPS-BoldMT" w:hAnsi="Times New Roman" w:cs="Times New Roman"/>
          <w:sz w:val="22"/>
          <w:szCs w:val="22"/>
          <w14:ligatures w14:val="standardContextual"/>
        </w:rPr>
        <w:t xml:space="preserve"> su šoniniu pavertimu ir integruotu kintamo slėgio čiužiniu</w:t>
      </w:r>
      <w:r w:rsidR="003622F5">
        <w:rPr>
          <w:rFonts w:ascii="Times New Roman" w:eastAsia="TimesNewRomanPS-BoldMT" w:hAnsi="Times New Roman" w:cs="Times New Roman"/>
          <w:sz w:val="22"/>
          <w:szCs w:val="22"/>
          <w14:ligatures w14:val="standardContextual"/>
        </w:rPr>
        <w:t>, iš viso 2 vnt.</w:t>
      </w:r>
      <w:r w:rsidR="008E3474">
        <w:rPr>
          <w:rFonts w:ascii="Times New Roman"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w:t>
      </w:r>
      <w:r w:rsidR="008E3474">
        <w:rPr>
          <w:rFonts w:ascii="Times New Roman" w:hAnsi="Times New Roman" w:cs="Times New Roman"/>
          <w:sz w:val="22"/>
          <w:szCs w:val="22"/>
        </w:rPr>
        <w:t>s</w:t>
      </w:r>
      <w:r w:rsidR="000D5661">
        <w:rPr>
          <w:rFonts w:ascii="Times New Roman" w:hAnsi="Times New Roman" w:cs="Times New Roman"/>
          <w:sz w:val="22"/>
          <w:szCs w:val="22"/>
        </w:rPr>
        <w:t xml:space="preserve"> </w:t>
      </w:r>
      <w:r w:rsidR="008E3474">
        <w:rPr>
          <w:rFonts w:ascii="Times New Roman" w:hAnsi="Times New Roman" w:cs="Times New Roman"/>
          <w:sz w:val="22"/>
          <w:szCs w:val="22"/>
        </w:rPr>
        <w:t xml:space="preserve">dalyje </w:t>
      </w:r>
      <w:r w:rsidR="000D5661">
        <w:rPr>
          <w:rFonts w:ascii="Times New Roman" w:hAnsi="Times New Roman" w:cs="Times New Roman"/>
          <w:sz w:val="22"/>
          <w:szCs w:val="22"/>
        </w:rPr>
        <w:t>– Techninėje specifikacijoje</w:t>
      </w:r>
      <w:r w:rsidRPr="00C7434D">
        <w:rPr>
          <w:rFonts w:ascii="Times New Roman" w:hAnsi="Times New Roman" w:cs="Times New Roman"/>
          <w:sz w:val="22"/>
          <w:szCs w:val="22"/>
        </w:rPr>
        <w:t>.</w:t>
      </w:r>
    </w:p>
    <w:p w14:paraId="56DC82B4" w14:textId="7532A5F6" w:rsidR="00151333"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3622F5">
        <w:rPr>
          <w:rFonts w:ascii="Times New Roman" w:hAnsi="Times New Roman" w:cs="Times New Roman"/>
          <w:sz w:val="22"/>
          <w:szCs w:val="22"/>
        </w:rPr>
        <w:t>į smulkesnes dalis ne</w:t>
      </w:r>
      <w:r w:rsidRPr="00192F15">
        <w:rPr>
          <w:rFonts w:ascii="Times New Roman" w:hAnsi="Times New Roman" w:cs="Times New Roman"/>
          <w:sz w:val="22"/>
          <w:szCs w:val="22"/>
        </w:rPr>
        <w:t>skaidomas</w:t>
      </w:r>
      <w:r w:rsidR="00E54A27">
        <w:rPr>
          <w:rFonts w:ascii="Times New Roman" w:hAnsi="Times New Roman" w:cs="Times New Roman"/>
          <w:sz w:val="22"/>
          <w:szCs w:val="22"/>
        </w:rPr>
        <w:t>:</w:t>
      </w:r>
    </w:p>
    <w:p w14:paraId="5EF74D3A" w14:textId="0BD3DC7C" w:rsidR="00406D72"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w:t>
      </w:r>
      <w:r w:rsidR="00E54A27">
        <w:rPr>
          <w:rFonts w:ascii="Times New Roman" w:hAnsi="Times New Roman" w:cs="Times New Roman"/>
          <w:sz w:val="22"/>
          <w:szCs w:val="22"/>
        </w:rPr>
        <w:t>turi būti į</w:t>
      </w:r>
      <w:r w:rsidR="00244FC8">
        <w:rPr>
          <w:rFonts w:ascii="Times New Roman" w:hAnsi="Times New Roman" w:cs="Times New Roman"/>
          <w:sz w:val="22"/>
          <w:szCs w:val="22"/>
        </w:rPr>
        <w:t>vykd</w:t>
      </w:r>
      <w:r w:rsidR="00E54A27">
        <w:rPr>
          <w:rFonts w:ascii="Times New Roman" w:hAnsi="Times New Roman" w:cs="Times New Roman"/>
          <w:sz w:val="22"/>
          <w:szCs w:val="22"/>
        </w:rPr>
        <w:t>yt</w:t>
      </w:r>
      <w:r w:rsidR="00244FC8">
        <w:rPr>
          <w:rFonts w:ascii="Times New Roman" w:hAnsi="Times New Roman" w:cs="Times New Roman"/>
          <w:sz w:val="22"/>
          <w:szCs w:val="22"/>
        </w:rPr>
        <w:t>i</w:t>
      </w:r>
      <w:r w:rsidR="00E54A27">
        <w:rPr>
          <w:rFonts w:ascii="Times New Roman" w:hAnsi="Times New Roman" w:cs="Times New Roman"/>
          <w:sz w:val="22"/>
          <w:szCs w:val="22"/>
        </w:rPr>
        <w:t xml:space="preserve"> per</w:t>
      </w:r>
      <w:r w:rsidR="003622F5">
        <w:rPr>
          <w:rFonts w:ascii="Times New Roman" w:hAnsi="Times New Roman" w:cs="Times New Roman"/>
          <w:sz w:val="22"/>
          <w:szCs w:val="22"/>
        </w:rPr>
        <w:t xml:space="preserve"> </w:t>
      </w:r>
      <w:r w:rsidR="00886322">
        <w:rPr>
          <w:rFonts w:ascii="Times New Roman" w:hAnsi="Times New Roman" w:cs="Times New Roman"/>
          <w:sz w:val="22"/>
          <w:szCs w:val="22"/>
        </w:rPr>
        <w:t>6</w:t>
      </w:r>
      <w:r w:rsidR="003622F5">
        <w:rPr>
          <w:rFonts w:ascii="Times New Roman" w:hAnsi="Times New Roman" w:cs="Times New Roman"/>
          <w:sz w:val="22"/>
          <w:szCs w:val="22"/>
        </w:rPr>
        <w:t xml:space="preserve"> mėnesius</w:t>
      </w:r>
      <w:r w:rsidR="00406D72">
        <w:rPr>
          <w:rFonts w:ascii="Times New Roman" w:hAnsi="Times New Roman" w:cs="Times New Roman"/>
          <w:sz w:val="22"/>
          <w:szCs w:val="22"/>
        </w:rPr>
        <w:t>:</w:t>
      </w:r>
    </w:p>
    <w:p w14:paraId="4188D75A" w14:textId="176DC8DF" w:rsidR="00E54A27" w:rsidRPr="00746AD3" w:rsidRDefault="0088632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746AD3">
        <w:rPr>
          <w:rFonts w:ascii="Times New Roman" w:hAnsi="Times New Roman" w:cs="Times New Roman"/>
          <w:sz w:val="22"/>
          <w:szCs w:val="22"/>
        </w:rPr>
        <w:t xml:space="preserve">Prekių pristatymo, montavimo, instaliavimo/įdiegimo ir paleidimo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Pr>
          <w:rFonts w:ascii="Times New Roman" w:hAnsi="Times New Roman" w:cs="Times New Roman"/>
          <w:sz w:val="22"/>
          <w:szCs w:val="22"/>
        </w:rPr>
        <w:t>ne ilgiau, kaip 2</w:t>
      </w:r>
      <w:r w:rsidRPr="00746AD3">
        <w:rPr>
          <w:rFonts w:ascii="Times New Roman" w:hAnsi="Times New Roman" w:cs="Times New Roman"/>
          <w:sz w:val="22"/>
          <w:szCs w:val="22"/>
        </w:rPr>
        <w:t xml:space="preserve"> mėnesi</w:t>
      </w:r>
      <w:r>
        <w:rPr>
          <w:rFonts w:ascii="Times New Roman" w:hAnsi="Times New Roman" w:cs="Times New Roman"/>
          <w:sz w:val="22"/>
          <w:szCs w:val="22"/>
        </w:rPr>
        <w:t>ų</w:t>
      </w:r>
      <w:r w:rsidRPr="00746AD3">
        <w:rPr>
          <w:rFonts w:ascii="Times New Roman" w:hAnsi="Times New Roman" w:cs="Times New Roman"/>
          <w:sz w:val="22"/>
          <w:szCs w:val="22"/>
        </w:rPr>
        <w:t xml:space="preserve"> laikotarpiui. </w:t>
      </w:r>
      <w:r w:rsidR="00406D72" w:rsidRPr="00746AD3">
        <w:rPr>
          <w:rFonts w:ascii="Times New Roman" w:hAnsi="Times New Roman" w:cs="Times New Roman"/>
          <w:sz w:val="22"/>
          <w:szCs w:val="22"/>
        </w:rPr>
        <w:t xml:space="preserve"> </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A47AF" w:rsidRDefault="00C92244" w:rsidP="00C92244">
      <w:pPr>
        <w:pStyle w:val="Betarp"/>
        <w:numPr>
          <w:ilvl w:val="1"/>
          <w:numId w:val="5"/>
        </w:numPr>
        <w:spacing w:line="235" w:lineRule="auto"/>
        <w:ind w:left="0" w:firstLine="567"/>
        <w:contextualSpacing/>
        <w:jc w:val="both"/>
        <w:rPr>
          <w:rFonts w:ascii="Times New Roman" w:hAnsi="Times New Roman" w:cs="Times New Roman"/>
          <w:sz w:val="22"/>
          <w:szCs w:val="22"/>
        </w:rPr>
      </w:pPr>
      <w:r w:rsidRPr="00EA47AF">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453BBA" w:rsidRDefault="00D22226"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lastRenderedPageBreak/>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0E4B4CEB" w:rsidR="00851548" w:rsidRPr="003622F5" w:rsidRDefault="003622F5" w:rsidP="00C92244">
      <w:pPr>
        <w:pStyle w:val="Sraopastraipa"/>
        <w:numPr>
          <w:ilvl w:val="1"/>
          <w:numId w:val="1"/>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3622F5">
        <w:rPr>
          <w:rFonts w:ascii="Times New Roman" w:eastAsia="Times New Roman" w:hAnsi="Times New Roman" w:cs="Times New Roman"/>
          <w:sz w:val="22"/>
          <w:szCs w:val="22"/>
          <w:lang w:eastAsia="en-US"/>
        </w:rPr>
        <w:t>Pirkimui netaikomos Europos Sąjungos Tarybos</w:t>
      </w:r>
      <w:r>
        <w:rPr>
          <w:rFonts w:ascii="Times New Roman" w:eastAsia="Times New Roman" w:hAnsi="Times New Roman" w:cs="Times New Roman"/>
          <w:sz w:val="22"/>
          <w:szCs w:val="22"/>
          <w:lang w:eastAsia="en-US"/>
        </w:rPr>
        <w:t xml:space="preserve"> </w:t>
      </w:r>
      <w:r w:rsidRPr="003622F5">
        <w:rPr>
          <w:rFonts w:ascii="Times New Roman" w:eastAsia="Times New Roman" w:hAnsi="Times New Roman" w:cs="Times New Roman"/>
          <w:sz w:val="22"/>
          <w:szCs w:val="22"/>
          <w:lang w:eastAsia="en-US"/>
        </w:rPr>
        <w:t> </w:t>
      </w:r>
      <w:hyperlink r:id="rId16" w:history="1">
        <w:r w:rsidRPr="003622F5">
          <w:rPr>
            <w:rStyle w:val="Hipersaitas"/>
            <w:rFonts w:ascii="Times New Roman" w:eastAsia="Times New Roman" w:hAnsi="Times New Roman" w:cs="Times New Roman"/>
            <w:sz w:val="22"/>
            <w:szCs w:val="22"/>
            <w:lang w:eastAsia="en-US"/>
          </w:rPr>
          <w:t>2022 m. balandžio 8 d. Reglamento (ES) 2022/576</w:t>
        </w:r>
      </w:hyperlink>
      <w:r w:rsidRPr="003622F5">
        <w:rPr>
          <w:rFonts w:ascii="Times New Roman" w:eastAsia="Times New Roman" w:hAnsi="Times New Roman" w:cs="Times New Roman"/>
          <w:sz w:val="22"/>
          <w:szCs w:val="22"/>
          <w:lang w:eastAsia="en-US"/>
        </w:rPr>
        <w:t>, kuriuo iš dalies pakeistas Reglamentas (ES) Nr. 833/2014 dėl ribojamųjų priemonių atsižvelgiant į Rusijos veiksmus, kuriais destabilizuojama padėtis Ukrainoje, nuostatos</w:t>
      </w:r>
      <w:r w:rsidR="00851548" w:rsidRPr="003622F5">
        <w:rPr>
          <w:rFonts w:ascii="Times New Roman" w:eastAsia="Times New Roman" w:hAnsi="Times New Roman" w:cs="Times New Roman"/>
          <w:sz w:val="22"/>
          <w:szCs w:val="22"/>
          <w:lang w:eastAsia="en-US"/>
        </w:rPr>
        <w:t>.</w:t>
      </w:r>
    </w:p>
    <w:p w14:paraId="16DBA43F" w14:textId="5EDB4DBA" w:rsidR="008416A0" w:rsidRPr="00453BBA" w:rsidRDefault="008416A0"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66D6F6DE"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r w:rsidR="00E54A27">
        <w:rPr>
          <w:rFonts w:ascii="Times New Roman" w:hAnsi="Times New Roman" w:cs="Times New Roman"/>
          <w:sz w:val="22"/>
          <w:szCs w:val="22"/>
        </w:rPr>
        <w:t xml:space="preserve"> </w:t>
      </w:r>
      <w:r w:rsidR="00E54A27" w:rsidRPr="00E54A27">
        <w:rPr>
          <w:rFonts w:ascii="Times New Roman" w:hAnsi="Times New Roman" w:cs="Times New Roman"/>
          <w:b/>
          <w:bCs/>
          <w:sz w:val="22"/>
          <w:szCs w:val="22"/>
        </w:rPr>
        <w:t>(</w:t>
      </w:r>
      <w:r w:rsidR="00E54A27" w:rsidRPr="00A50A27">
        <w:rPr>
          <w:rFonts w:ascii="Times New Roman" w:hAnsi="Times New Roman" w:cs="Times New Roman"/>
          <w:b/>
          <w:sz w:val="22"/>
          <w:szCs w:val="22"/>
          <w:u w:val="single"/>
        </w:rPr>
        <w:t xml:space="preserve">Užpildytas dokumentas privalo būti pateiktas ne skenuota forma, bet </w:t>
      </w:r>
      <w:r w:rsidR="00E54A27" w:rsidRPr="00A50A27">
        <w:rPr>
          <w:rFonts w:ascii="Times New Roman" w:hAnsi="Times New Roman" w:cs="Times New Roman"/>
          <w:b/>
          <w:bCs/>
          <w:sz w:val="22"/>
          <w:szCs w:val="22"/>
          <w:u w:val="single"/>
        </w:rPr>
        <w:t>prisegant atskiru dokumentu Microsoft Excel)</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28D0E245" w:rsidR="006E1F24" w:rsidRPr="00192F15" w:rsidRDefault="00C9224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Pr>
          <w:rFonts w:ascii="Times New Roman" w:hAnsi="Times New Roman" w:cs="Times New Roman"/>
          <w:sz w:val="22"/>
          <w:szCs w:val="22"/>
        </w:rPr>
        <w:t>u</w:t>
      </w:r>
      <w:r w:rsidRPr="006105C9">
        <w:rPr>
          <w:rFonts w:ascii="Times New Roman" w:hAnsi="Times New Roman" w:cs="Times New Roman"/>
          <w:sz w:val="22"/>
          <w:szCs w:val="22"/>
        </w:rPr>
        <w:t xml:space="preserve">žpildyta Tiekėjo deklaracija dėl atitikties Reglamento nuostatoms (specialiųjų pirkimo sąlygų 8 </w:t>
      </w:r>
      <w:r>
        <w:rPr>
          <w:rFonts w:ascii="Times New Roman" w:hAnsi="Times New Roman" w:cs="Times New Roman"/>
          <w:sz w:val="22"/>
          <w:szCs w:val="22"/>
        </w:rPr>
        <w:t xml:space="preserve">arba 9 </w:t>
      </w:r>
      <w:r w:rsidRPr="006105C9">
        <w:rPr>
          <w:rFonts w:ascii="Times New Roman" w:hAnsi="Times New Roman" w:cs="Times New Roman"/>
          <w:sz w:val="22"/>
          <w:szCs w:val="22"/>
        </w:rPr>
        <w:t>priedas)</w:t>
      </w:r>
      <w:r w:rsidRPr="002C4A23">
        <w:rPr>
          <w:rFonts w:ascii="Times New Roman" w:hAnsi="Times New Roman" w:cs="Times New Roman"/>
          <w:sz w:val="22"/>
          <w:szCs w:val="22"/>
        </w:rPr>
        <w:t>;</w:t>
      </w:r>
    </w:p>
    <w:p w14:paraId="2AADF1B7" w14:textId="77777777" w:rsidR="00C92244" w:rsidRPr="006105C9" w:rsidRDefault="00C92244" w:rsidP="00C92244">
      <w:pPr>
        <w:pStyle w:val="Sraopastraipa"/>
        <w:numPr>
          <w:ilvl w:val="2"/>
          <w:numId w:val="12"/>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AA7B93">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DA153F">
        <w:rPr>
          <w:rFonts w:ascii="Times New Roman" w:hAnsi="Times New Roman" w:cs="Times New Roman"/>
          <w:sz w:val="22"/>
          <w:szCs w:val="22"/>
        </w:rPr>
        <w:t>, t. y. tiekėjas privalo pateikti siūlomų prekių gamintojo katalogus/ bukletus</w:t>
      </w:r>
      <w:r w:rsidRPr="006105C9">
        <w:rPr>
          <w:rFonts w:ascii="Times New Roman" w:hAnsi="Times New Roman" w:cs="Times New Roman"/>
          <w:sz w:val="22"/>
          <w:szCs w:val="22"/>
        </w:rPr>
        <w:t xml:space="preserve">/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AA7B93">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05C9">
        <w:rPr>
          <w:rFonts w:ascii="Times New Roman" w:hAnsi="Times New Roman" w:cs="Times New Roman"/>
          <w:sz w:val="22"/>
          <w:szCs w:val="22"/>
        </w:rPr>
        <w:t>.</w:t>
      </w:r>
    </w:p>
    <w:p w14:paraId="2A3FABAC" w14:textId="77777777" w:rsidR="00C92244" w:rsidRDefault="00C92244" w:rsidP="00C92244">
      <w:pPr>
        <w:tabs>
          <w:tab w:val="left" w:pos="1276"/>
          <w:tab w:val="left" w:pos="1701"/>
          <w:tab w:val="left" w:pos="2492"/>
        </w:tabs>
        <w:spacing w:after="0" w:line="235" w:lineRule="auto"/>
        <w:jc w:val="both"/>
        <w:rPr>
          <w:rFonts w:ascii="Times New Roman" w:hAnsi="Times New Roman" w:cs="Times New Roman"/>
          <w:sz w:val="22"/>
          <w:szCs w:val="22"/>
        </w:rPr>
      </w:pPr>
      <w:r w:rsidRPr="00C92244">
        <w:rPr>
          <w:rFonts w:ascii="Times New Roman" w:hAnsi="Times New Roman" w:cs="Times New Roman"/>
          <w:i/>
          <w:iCs/>
          <w:sz w:val="22"/>
          <w:szCs w:val="22"/>
          <w:u w:val="single"/>
        </w:rPr>
        <w:t>Pastaba</w:t>
      </w:r>
      <w:r w:rsidRPr="00C92244">
        <w:rPr>
          <w:rFonts w:ascii="Times New Roman" w:hAnsi="Times New Roman" w:cs="Times New Roman"/>
          <w:i/>
          <w:iCs/>
          <w:sz w:val="22"/>
          <w:szCs w:val="22"/>
        </w:rPr>
        <w:t>.</w:t>
      </w:r>
      <w:r w:rsidRPr="00C9224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w:t>
      </w:r>
      <w:r w:rsidRPr="00C92244">
        <w:rPr>
          <w:rFonts w:ascii="Times New Roman" w:hAnsi="Times New Roman" w:cs="Times New Roman"/>
          <w:sz w:val="22"/>
          <w:szCs w:val="22"/>
        </w:rPr>
        <w:lastRenderedPageBreak/>
        <w:t>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C92244">
        <w:rPr>
          <w:rFonts w:ascii="Times New Roman" w:hAnsi="Times New Roman" w:cs="Times New Roman"/>
          <w:sz w:val="22"/>
          <w:szCs w:val="22"/>
        </w:rPr>
        <w:t xml:space="preserve"> </w:t>
      </w:r>
    </w:p>
    <w:p w14:paraId="406C1ED7" w14:textId="6061FD4F" w:rsidR="00CA7345" w:rsidRPr="00C92244" w:rsidRDefault="00406D72" w:rsidP="00C92244">
      <w:pPr>
        <w:tabs>
          <w:tab w:val="left" w:pos="1276"/>
          <w:tab w:val="left" w:pos="1701"/>
          <w:tab w:val="left" w:pos="2492"/>
        </w:tabs>
        <w:spacing w:after="0" w:line="235" w:lineRule="auto"/>
        <w:jc w:val="both"/>
        <w:rPr>
          <w:rFonts w:ascii="Times New Roman" w:hAnsi="Times New Roman" w:cs="Times New Roman"/>
          <w:sz w:val="22"/>
          <w:szCs w:val="22"/>
          <w:u w:val="single"/>
        </w:rPr>
      </w:pPr>
      <w:r w:rsidRPr="00C92244">
        <w:rPr>
          <w:rFonts w:ascii="Times New Roman" w:hAnsi="Times New Roman" w:cs="Times New Roman"/>
          <w:i/>
          <w:iCs/>
          <w:color w:val="000000" w:themeColor="text1"/>
          <w:sz w:val="22"/>
          <w:szCs w:val="22"/>
        </w:rPr>
        <w:t>Tiekėjų, kurie nėra gamintojai, savideklaracijos kaip įrodymas dėl pasiūlymo atitikties pirkimo sąlygoms bei techninės specifikacijos reikalavimams, nebus laikytina tinkamu ir patikimu įrodymu.</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31016DC0"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C92244">
      <w:pPr>
        <w:pStyle w:val="Sraopastraipa"/>
        <w:numPr>
          <w:ilvl w:val="1"/>
          <w:numId w:val="1"/>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C92244">
      <w:pPr>
        <w:pStyle w:val="Sraopastraipa"/>
        <w:numPr>
          <w:ilvl w:val="1"/>
          <w:numId w:val="1"/>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0D5661" w:rsidRDefault="00143801" w:rsidP="00C92244">
      <w:pPr>
        <w:pStyle w:val="Sraopastraipa"/>
        <w:numPr>
          <w:ilvl w:val="1"/>
          <w:numId w:val="1"/>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192F15">
        <w:rPr>
          <w:rFonts w:ascii="Times New Roman" w:eastAsia="Calibri" w:hAnsi="Times New Roman" w:cs="Times New Roman"/>
          <w:sz w:val="22"/>
          <w:szCs w:val="22"/>
        </w:rPr>
        <w:t xml:space="preserve">Perkančioji organizacija ekonomiškai naudingiausią pasiūlymą išrenka pagal </w:t>
      </w:r>
      <w:r w:rsidRPr="000D5661">
        <w:rPr>
          <w:rFonts w:ascii="Times New Roman" w:hAnsi="Times New Roman" w:cs="Times New Roman"/>
          <w:bCs/>
          <w:color w:val="000000"/>
          <w:sz w:val="22"/>
          <w:szCs w:val="22"/>
        </w:rPr>
        <w:t>kiekybinius/kokybinius vertinimo kriterijus</w:t>
      </w:r>
      <w:r>
        <w:rPr>
          <w:rFonts w:ascii="Times New Roman" w:hAnsi="Times New Roman" w:cs="Times New Roman"/>
          <w:bCs/>
          <w:color w:val="000000"/>
          <w:sz w:val="22"/>
          <w:szCs w:val="22"/>
        </w:rPr>
        <w:t>, kurie aprašyti Specialiųjų sąlygų 7 priede.</w:t>
      </w:r>
    </w:p>
    <w:p w14:paraId="0F73F3FA" w14:textId="0486969B" w:rsidR="00244FC8" w:rsidRPr="00244FC8" w:rsidRDefault="00143801"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Pr>
          <w:rFonts w:ascii="Times New Roman" w:eastAsia="Calibri" w:hAnsi="Times New Roman" w:cs="Times New Roman"/>
          <w:bCs/>
          <w:sz w:val="22"/>
          <w:szCs w:val="22"/>
        </w:rPr>
        <w:t>T</w:t>
      </w:r>
      <w:r w:rsidRPr="000D5661">
        <w:rPr>
          <w:rFonts w:ascii="Times New Roman" w:eastAsia="Calibri" w:hAnsi="Times New Roman" w:cs="Times New Roman"/>
          <w:bCs/>
          <w:sz w:val="22"/>
          <w:szCs w:val="22"/>
        </w:rPr>
        <w:t>iekėj</w:t>
      </w:r>
      <w:r>
        <w:rPr>
          <w:rFonts w:ascii="Times New Roman" w:eastAsia="Calibri" w:hAnsi="Times New Roman" w:cs="Times New Roman"/>
          <w:bCs/>
          <w:sz w:val="22"/>
          <w:szCs w:val="22"/>
        </w:rPr>
        <w:t>as</w:t>
      </w:r>
      <w:r w:rsidRPr="000D5661">
        <w:rPr>
          <w:rFonts w:ascii="Times New Roman" w:eastAsia="Calibri" w:hAnsi="Times New Roman" w:cs="Times New Roman"/>
          <w:bCs/>
          <w:sz w:val="22"/>
          <w:szCs w:val="22"/>
        </w:rPr>
        <w:t xml:space="preserve"> kainą</w:t>
      </w:r>
      <w:r>
        <w:rPr>
          <w:rFonts w:ascii="Times New Roman" w:eastAsia="Calibri" w:hAnsi="Times New Roman" w:cs="Times New Roman"/>
          <w:bCs/>
          <w:sz w:val="22"/>
          <w:szCs w:val="22"/>
        </w:rPr>
        <w:t xml:space="preserve"> ir </w:t>
      </w:r>
      <w:r w:rsidRPr="000D5661">
        <w:rPr>
          <w:rFonts w:ascii="Times New Roman" w:hAnsi="Times New Roman" w:cs="Times New Roman"/>
          <w:bCs/>
          <w:color w:val="000000"/>
          <w:sz w:val="22"/>
          <w:szCs w:val="22"/>
        </w:rPr>
        <w:t xml:space="preserve">kiekybinius/kokybinius vertinimo kriterijus nurodo </w:t>
      </w:r>
      <w:bookmarkStart w:id="42" w:name="_Hlk91157291"/>
      <w:r w:rsidRPr="000D5661">
        <w:rPr>
          <w:rFonts w:ascii="Times New Roman" w:hAnsi="Times New Roman" w:cs="Times New Roman"/>
          <w:bCs/>
          <w:color w:val="000000"/>
          <w:sz w:val="22"/>
          <w:szCs w:val="22"/>
        </w:rPr>
        <w:t>S</w:t>
      </w:r>
      <w:r w:rsidRPr="00192F15">
        <w:rPr>
          <w:rFonts w:ascii="Times New Roman" w:eastAsia="Calibri" w:hAnsi="Times New Roman" w:cs="Times New Roman"/>
          <w:sz w:val="22"/>
          <w:szCs w:val="22"/>
        </w:rPr>
        <w:t xml:space="preserve">pecialiųjų pirkimo sąlygų </w:t>
      </w:r>
      <w:bookmarkEnd w:id="42"/>
      <w:r>
        <w:rPr>
          <w:rFonts w:ascii="Times New Roman" w:eastAsia="Calibri" w:hAnsi="Times New Roman" w:cs="Times New Roman"/>
          <w:sz w:val="22"/>
          <w:szCs w:val="22"/>
        </w:rPr>
        <w:t>5</w:t>
      </w:r>
      <w:r w:rsidRPr="00192F15">
        <w:rPr>
          <w:rFonts w:ascii="Times New Roman" w:eastAsia="Calibri" w:hAnsi="Times New Roman" w:cs="Times New Roman"/>
          <w:sz w:val="22"/>
          <w:szCs w:val="22"/>
        </w:rPr>
        <w:t xml:space="preserve"> priede „Pasiūlymo forma“.</w:t>
      </w:r>
    </w:p>
    <w:p w14:paraId="6E637963" w14:textId="234DF2FC" w:rsidR="00244FC8" w:rsidRPr="00244FC8" w:rsidRDefault="00244FC8" w:rsidP="00C92244">
      <w:pPr>
        <w:pStyle w:val="Sraopastraipa"/>
        <w:numPr>
          <w:ilvl w:val="1"/>
          <w:numId w:val="1"/>
        </w:numPr>
        <w:spacing w:after="0" w:line="20" w:lineRule="atLeast"/>
        <w:ind w:left="0" w:firstLine="709"/>
        <w:jc w:val="both"/>
        <w:rPr>
          <w:rFonts w:ascii="Times New Roman" w:hAnsi="Times New Roman" w:cs="Times New Roman"/>
          <w:sz w:val="22"/>
          <w:szCs w:val="22"/>
        </w:rPr>
      </w:pPr>
      <w:r w:rsidRPr="00244FC8">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244FC8" w:rsidRDefault="00244FC8" w:rsidP="00C92244">
      <w:pPr>
        <w:pStyle w:val="Sraopastraipa"/>
        <w:numPr>
          <w:ilvl w:val="1"/>
          <w:numId w:val="1"/>
        </w:numPr>
        <w:spacing w:after="0" w:line="20" w:lineRule="atLeast"/>
        <w:ind w:left="0" w:firstLine="709"/>
        <w:jc w:val="both"/>
        <w:rPr>
          <w:rFonts w:ascii="Times New Roman" w:eastAsiaTheme="minorHAnsi" w:hAnsi="Times New Roman" w:cs="Times New Roman"/>
          <w:bCs/>
          <w:i/>
          <w:iCs/>
          <w:sz w:val="22"/>
          <w:szCs w:val="22"/>
        </w:rPr>
      </w:pPr>
      <w:r w:rsidRPr="00244FC8">
        <w:rPr>
          <w:rFonts w:ascii="Times New Roman" w:hAnsi="Times New Roman" w:cs="Times New Roman"/>
          <w:sz w:val="22"/>
          <w:szCs w:val="22"/>
        </w:rPr>
        <w:t>Perkančioji organizacija atmes tiekėjo pasiūlymą, jeigu kartu su pasiūlymu nebus pateikti šie pirkimo sąlygose reikalaujami pateikti dokumentai: užpildyta pasiūlymo forma ir techninė specifikacija (</w:t>
      </w:r>
      <w:r>
        <w:rPr>
          <w:rFonts w:ascii="Times New Roman" w:hAnsi="Times New Roman" w:cs="Times New Roman"/>
          <w:sz w:val="22"/>
          <w:szCs w:val="22"/>
        </w:rPr>
        <w:t>5</w:t>
      </w:r>
      <w:r w:rsidRPr="00244FC8">
        <w:rPr>
          <w:rFonts w:ascii="Times New Roman" w:hAnsi="Times New Roman" w:cs="Times New Roman"/>
          <w:sz w:val="22"/>
          <w:szCs w:val="22"/>
        </w:rPr>
        <w:t xml:space="preserve"> priedas). </w:t>
      </w:r>
    </w:p>
    <w:p w14:paraId="678C44CA" w14:textId="1F3C1E56" w:rsidR="00FE7908" w:rsidRPr="00453BBA" w:rsidRDefault="00FE7908"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5BF7B2C7"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Pr>
          <w:rFonts w:ascii="Times New Roman" w:hAnsi="Times New Roman" w:cs="Times New Roman"/>
          <w:sz w:val="22"/>
          <w:szCs w:val="22"/>
        </w:rPr>
        <w:t>8</w:t>
      </w:r>
      <w:r w:rsidR="00576469" w:rsidRPr="00192F15">
        <w:rPr>
          <w:rFonts w:ascii="Times New Roman" w:hAnsi="Times New Roman" w:cs="Times New Roman"/>
          <w:sz w:val="22"/>
          <w:szCs w:val="22"/>
        </w:rPr>
        <w:t xml:space="preserve"> </w:t>
      </w:r>
      <w:r w:rsidRPr="00192F15">
        <w:rPr>
          <w:rFonts w:ascii="Times New Roman" w:hAnsi="Times New Roman" w:cs="Times New Roman"/>
          <w:sz w:val="22"/>
          <w:szCs w:val="22"/>
        </w:rPr>
        <w:t>priede „Sutarties projektas“.</w:t>
      </w:r>
    </w:p>
    <w:p w14:paraId="0FE61CAA" w14:textId="54EDE19E" w:rsidR="00E15665" w:rsidRPr="00192F15" w:rsidRDefault="00E15665" w:rsidP="00C92244">
      <w:pPr>
        <w:pStyle w:val="Sraopastraipa"/>
        <w:numPr>
          <w:ilvl w:val="1"/>
          <w:numId w:val="1"/>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C92244">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3" w:name="_Toc159231059"/>
      <w:bookmarkEnd w:id="3"/>
      <w:r w:rsidRPr="00453BBA">
        <w:rPr>
          <w:rFonts w:ascii="Times New Roman" w:hAnsi="Times New Roman" w:cs="Times New Roman"/>
          <w:b/>
          <w:bCs/>
          <w:sz w:val="24"/>
          <w:szCs w:val="24"/>
        </w:rPr>
        <w:t>Kitos sąlygos</w:t>
      </w:r>
      <w:bookmarkEnd w:id="43"/>
    </w:p>
    <w:p w14:paraId="7881FCAE" w14:textId="71B3DE78" w:rsidR="00C87AB8" w:rsidRPr="007D2F57" w:rsidRDefault="007D2F57" w:rsidP="000D5661">
      <w:pPr>
        <w:shd w:val="clear" w:color="auto" w:fill="FFFFFF"/>
        <w:spacing w:after="0" w:line="235" w:lineRule="auto"/>
        <w:jc w:val="both"/>
        <w:rPr>
          <w:rFonts w:ascii="Times New Roman" w:eastAsia="Calibri" w:hAnsi="Times New Roman" w:cs="Times New Roman"/>
          <w:sz w:val="22"/>
          <w:szCs w:val="22"/>
        </w:rPr>
        <w:sectPr w:rsidR="00C87AB8" w:rsidRPr="007D2F57" w:rsidSect="007D2F57">
          <w:footerReference w:type="default" r:id="rId17"/>
          <w:pgSz w:w="12240" w:h="15840"/>
          <w:pgMar w:top="964" w:right="567" w:bottom="1134" w:left="1531" w:header="720" w:footer="720" w:gutter="0"/>
          <w:pgNumType w:start="0"/>
          <w:cols w:space="720"/>
          <w:titlePg/>
          <w:docGrid w:linePitch="360"/>
        </w:sectPr>
      </w:pPr>
      <w:r w:rsidRPr="00192F15">
        <w:rPr>
          <w:rFonts w:ascii="Times New Roman" w:hAnsi="Times New Roman" w:cs="Times New Roman"/>
          <w:sz w:val="22"/>
          <w:szCs w:val="22"/>
        </w:rPr>
        <w:t xml:space="preserve">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w:t>
      </w:r>
      <w:r w:rsidRPr="00192F15">
        <w:rPr>
          <w:rFonts w:ascii="Times New Roman" w:hAnsi="Times New Roman" w:cs="Times New Roman"/>
          <w:sz w:val="22"/>
          <w:szCs w:val="22"/>
        </w:rPr>
        <w:lastRenderedPageBreak/>
        <w:t>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r w:rsidR="008D704D"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8"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1"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2"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3"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4"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5">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6"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0570AFC0" w14:textId="0635280A" w:rsidR="00143801" w:rsidRPr="00EB436D" w:rsidRDefault="00143801" w:rsidP="0038537C">
      <w:pPr>
        <w:pStyle w:val="Sraopastraipa"/>
        <w:numPr>
          <w:ilvl w:val="0"/>
          <w:numId w:val="41"/>
        </w:numPr>
        <w:tabs>
          <w:tab w:val="left" w:pos="567"/>
        </w:tabs>
        <w:spacing w:after="0" w:line="240" w:lineRule="auto"/>
        <w:ind w:left="0" w:firstLine="0"/>
        <w:jc w:val="both"/>
        <w:rPr>
          <w:rFonts w:ascii="Times New Roman" w:hAnsi="Times New Roman" w:cs="Times New Roman"/>
          <w:b/>
          <w:bCs/>
          <w:sz w:val="22"/>
          <w:szCs w:val="22"/>
          <w:lang w:val="en-US"/>
        </w:rPr>
      </w:pPr>
      <w:r w:rsidRPr="0038537C">
        <w:rPr>
          <w:rFonts w:ascii="Times New Roman" w:hAnsi="Times New Roman" w:cs="Times New Roman"/>
          <w:sz w:val="22"/>
          <w:szCs w:val="22"/>
          <w:lang w:val="en-US"/>
        </w:rPr>
        <w:t xml:space="preserve">Perkančiosios organizacijos neatmesti pasiūlymai vertinami taikant ekonomiškai naudingiausio pasiūlymo </w:t>
      </w:r>
      <w:r w:rsidRPr="00EB436D">
        <w:rPr>
          <w:rFonts w:ascii="Times New Roman" w:hAnsi="Times New Roman" w:cs="Times New Roman"/>
          <w:sz w:val="22"/>
          <w:szCs w:val="22"/>
          <w:lang w:val="en-US"/>
        </w:rPr>
        <w:t xml:space="preserve">vertinimo kriterijus, kai vertinama </w:t>
      </w:r>
      <w:r w:rsidRPr="00EB436D">
        <w:rPr>
          <w:rFonts w:ascii="Times New Roman" w:hAnsi="Times New Roman" w:cs="Times New Roman"/>
          <w:b/>
          <w:bCs/>
          <w:sz w:val="22"/>
          <w:szCs w:val="22"/>
          <w:lang w:val="en-US"/>
        </w:rPr>
        <w:t>kaina ir kokybė.</w:t>
      </w:r>
    </w:p>
    <w:p w14:paraId="13B0F1B3" w14:textId="6DC8E584" w:rsidR="0038537C" w:rsidRPr="00EB436D" w:rsidRDefault="0038537C" w:rsidP="0038537C">
      <w:pPr>
        <w:pStyle w:val="Sraopastraipa"/>
        <w:numPr>
          <w:ilvl w:val="0"/>
          <w:numId w:val="41"/>
        </w:numPr>
        <w:tabs>
          <w:tab w:val="left" w:pos="567"/>
        </w:tabs>
        <w:spacing w:after="0" w:line="240" w:lineRule="auto"/>
        <w:ind w:left="0" w:firstLine="0"/>
        <w:jc w:val="both"/>
        <w:rPr>
          <w:rFonts w:ascii="Times New Roman" w:hAnsi="Times New Roman" w:cs="Times New Roman"/>
          <w:sz w:val="22"/>
          <w:szCs w:val="22"/>
          <w:lang w:val="en-US"/>
        </w:rPr>
      </w:pPr>
      <w:r w:rsidRPr="00EB436D">
        <w:rPr>
          <w:rFonts w:ascii="Times New Roman" w:hAnsi="Times New Roman" w:cs="Times New Roman"/>
          <w:sz w:val="22"/>
          <w:szCs w:val="22"/>
        </w:rPr>
        <w:t>Pasiūlyme nurodyta pirkimo objekto kaina visais atvejais laikoma neįprastai maža, jeigu ji yra 30 ir daugiau procentų mažesnė už visų tiekėjų, kurių pasiūlymai neatmesti dėl kitų priežasčių, pasiūlytų kainų aritmetinį vidurkį</w:t>
      </w:r>
    </w:p>
    <w:p w14:paraId="4F13166A" w14:textId="4BD79CBB" w:rsidR="00143801" w:rsidRPr="00EB436D" w:rsidRDefault="00143801" w:rsidP="0038537C">
      <w:pPr>
        <w:pStyle w:val="Sraopastraipa"/>
        <w:numPr>
          <w:ilvl w:val="0"/>
          <w:numId w:val="41"/>
        </w:numPr>
        <w:tabs>
          <w:tab w:val="left" w:pos="567"/>
        </w:tabs>
        <w:spacing w:after="0" w:line="240" w:lineRule="auto"/>
        <w:ind w:left="0" w:firstLine="0"/>
        <w:jc w:val="both"/>
        <w:rPr>
          <w:rFonts w:ascii="Times New Roman" w:hAnsi="Times New Roman" w:cs="Times New Roman"/>
          <w:sz w:val="22"/>
          <w:szCs w:val="22"/>
          <w:lang w:val="en-US"/>
        </w:rPr>
      </w:pPr>
      <w:r w:rsidRPr="00EB436D">
        <w:rPr>
          <w:rFonts w:ascii="Times New Roman" w:hAnsi="Times New Roman" w:cs="Times New Roman"/>
          <w:sz w:val="22"/>
          <w:szCs w:val="22"/>
          <w:lang w:val="en-US"/>
        </w:rPr>
        <w:t>Ekonomiškai naudingiausias pasiūlymas – tai pasiūlymas, kurio balų suma, apskaičiuota pagal toliau nustatytus pasiūlymų vertinimo kriterijus ir sąlygas, yra didžiausia.</w:t>
      </w:r>
    </w:p>
    <w:p w14:paraId="527E398B" w14:textId="3D6D778E" w:rsidR="00143801" w:rsidRPr="0038537C" w:rsidRDefault="00143801" w:rsidP="0038537C">
      <w:pPr>
        <w:pStyle w:val="Sraopastraipa"/>
        <w:numPr>
          <w:ilvl w:val="1"/>
          <w:numId w:val="42"/>
        </w:numPr>
        <w:tabs>
          <w:tab w:val="left" w:pos="993"/>
        </w:tabs>
        <w:spacing w:after="0" w:line="240" w:lineRule="auto"/>
        <w:ind w:left="0" w:firstLine="284"/>
        <w:rPr>
          <w:rFonts w:ascii="Times New Roman" w:hAnsi="Times New Roman" w:cs="Times New Roman"/>
          <w:sz w:val="22"/>
          <w:szCs w:val="22"/>
          <w:lang w:val="en-US"/>
        </w:rPr>
      </w:pPr>
      <w:r w:rsidRPr="0038537C">
        <w:rPr>
          <w:rFonts w:ascii="Times New Roman" w:hAnsi="Times New Roman" w:cs="Times New Roman"/>
          <w:sz w:val="22"/>
          <w:szCs w:val="22"/>
          <w:lang w:val="en-US"/>
        </w:rPr>
        <w:t>Numatytų vertinimo kriterijų lyginamieji svoriai:</w:t>
      </w:r>
    </w:p>
    <w:p w14:paraId="4F72644F" w14:textId="77777777" w:rsidR="00143801" w:rsidRPr="00143801" w:rsidRDefault="00143801" w:rsidP="00143801">
      <w:pPr>
        <w:spacing w:after="0" w:line="240" w:lineRule="auto"/>
        <w:ind w:firstLine="993"/>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1) kaina (K) – 70;</w:t>
      </w:r>
    </w:p>
    <w:p w14:paraId="727F0A3B" w14:textId="77777777" w:rsidR="00143801" w:rsidRPr="00143801" w:rsidRDefault="00143801" w:rsidP="00143801">
      <w:pPr>
        <w:spacing w:after="0" w:line="240" w:lineRule="auto"/>
        <w:ind w:firstLine="993"/>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2) techniniai pranašumai (T) – 30;</w:t>
      </w:r>
    </w:p>
    <w:p w14:paraId="554725D4" w14:textId="1254A114" w:rsidR="00143801" w:rsidRPr="0038537C"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r w:rsidRPr="0038537C">
        <w:rPr>
          <w:rFonts w:ascii="Times New Roman" w:hAnsi="Times New Roman" w:cs="Times New Roman"/>
          <w:sz w:val="22"/>
          <w:szCs w:val="22"/>
          <w:lang w:val="en-US"/>
        </w:rPr>
        <w:t xml:space="preserve">Pasiūlymo ekonominis naudingumas (E) apskaičiuojamas sudedant tiekėjo pasiūlymo kainos (K), techninių pranašumų (T): </w:t>
      </w:r>
    </w:p>
    <w:p w14:paraId="697919E6" w14:textId="3BA474C1" w:rsidR="00143801" w:rsidRDefault="00143801" w:rsidP="00D936E3">
      <w:pPr>
        <w:spacing w:after="0" w:line="240" w:lineRule="auto"/>
        <w:jc w:val="center"/>
        <w:rPr>
          <w:rFonts w:ascii="Times New Roman" w:hAnsi="Times New Roman" w:cs="Times New Roman"/>
          <w:i/>
          <w:iCs/>
          <w:sz w:val="22"/>
          <w:szCs w:val="22"/>
          <w:lang w:val="en-US"/>
        </w:rPr>
      </w:pPr>
      <w:r w:rsidRPr="00143801">
        <w:rPr>
          <w:rFonts w:ascii="Times New Roman" w:hAnsi="Times New Roman" w:cs="Times New Roman"/>
          <w:i/>
          <w:iCs/>
          <w:sz w:val="22"/>
          <w:szCs w:val="22"/>
          <w:lang w:val="en-US"/>
        </w:rPr>
        <w:t xml:space="preserve">E </w:t>
      </w:r>
      <w:r w:rsidRPr="00143801">
        <w:rPr>
          <w:rFonts w:ascii="Times New Roman" w:hAnsi="Times New Roman" w:cs="Times New Roman"/>
          <w:sz w:val="22"/>
          <w:szCs w:val="22"/>
          <w:lang w:val="en-US"/>
        </w:rPr>
        <w:t xml:space="preserve">= </w:t>
      </w:r>
      <w:r w:rsidRPr="00143801">
        <w:rPr>
          <w:rFonts w:ascii="Times New Roman" w:hAnsi="Times New Roman" w:cs="Times New Roman"/>
          <w:i/>
          <w:sz w:val="22"/>
          <w:szCs w:val="22"/>
          <w:lang w:val="en-US"/>
        </w:rPr>
        <w:t>K</w:t>
      </w:r>
      <w:r w:rsidRPr="00143801">
        <w:rPr>
          <w:rFonts w:ascii="Times New Roman" w:hAnsi="Times New Roman" w:cs="Times New Roman"/>
          <w:sz w:val="22"/>
          <w:szCs w:val="22"/>
          <w:lang w:val="en-US"/>
        </w:rPr>
        <w:t xml:space="preserve"> </w:t>
      </w:r>
      <w:r w:rsidRPr="00143801">
        <w:rPr>
          <w:rFonts w:ascii="Times New Roman" w:hAnsi="Times New Roman" w:cs="Times New Roman"/>
          <w:i/>
          <w:iCs/>
          <w:sz w:val="22"/>
          <w:szCs w:val="22"/>
          <w:lang w:val="en-US"/>
        </w:rPr>
        <w:t>+ T</w:t>
      </w:r>
    </w:p>
    <w:p w14:paraId="65E3717B" w14:textId="48F25870" w:rsidR="00143801" w:rsidRPr="00143801"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Pasiūlymo kainos (K) balai apskaičiuojami mažiausios pasiūlytos kainos (K</w:t>
      </w:r>
      <w:r w:rsidRPr="00143801">
        <w:rPr>
          <w:rFonts w:ascii="Times New Roman" w:hAnsi="Times New Roman" w:cs="Times New Roman"/>
          <w:sz w:val="22"/>
          <w:szCs w:val="22"/>
          <w:vertAlign w:val="subscript"/>
          <w:lang w:val="en-US"/>
        </w:rPr>
        <w:t>min</w:t>
      </w:r>
      <w:r w:rsidRPr="00143801">
        <w:rPr>
          <w:rFonts w:ascii="Times New Roman" w:hAnsi="Times New Roman" w:cs="Times New Roman"/>
          <w:sz w:val="22"/>
          <w:szCs w:val="22"/>
          <w:lang w:val="en-US"/>
        </w:rPr>
        <w:t>) ir vertinamo pasiūlymo kainos (K</w:t>
      </w:r>
      <w:r w:rsidRPr="00143801">
        <w:rPr>
          <w:rFonts w:ascii="Times New Roman" w:hAnsi="Times New Roman" w:cs="Times New Roman"/>
          <w:sz w:val="22"/>
          <w:szCs w:val="22"/>
          <w:vertAlign w:val="subscript"/>
          <w:lang w:val="en-US"/>
        </w:rPr>
        <w:t>v</w:t>
      </w:r>
      <w:r w:rsidRPr="00143801">
        <w:rPr>
          <w:rFonts w:ascii="Times New Roman" w:hAnsi="Times New Roman" w:cs="Times New Roman"/>
          <w:sz w:val="22"/>
          <w:szCs w:val="22"/>
          <w:lang w:val="en-US"/>
        </w:rPr>
        <w:t>) santykį padauginant iš kainos lyginamojo svorio (X):</w:t>
      </w:r>
    </w:p>
    <w:p w14:paraId="61856F39" w14:textId="77777777" w:rsidR="00143801" w:rsidRPr="00143801" w:rsidRDefault="00143801" w:rsidP="00143801">
      <w:pPr>
        <w:spacing w:after="0" w:line="240" w:lineRule="auto"/>
        <w:jc w:val="both"/>
        <w:rPr>
          <w:rFonts w:ascii="Times New Roman" w:hAnsi="Times New Roman" w:cs="Times New Roman"/>
          <w:sz w:val="22"/>
          <w:szCs w:val="22"/>
          <w:lang w:val="en-US"/>
        </w:rPr>
      </w:pPr>
      <m:oMathPara>
        <m:oMath>
          <m:r>
            <w:rPr>
              <w:rFonts w:ascii="Cambria Math" w:hAnsi="Cambria Math" w:cs="Times New Roman"/>
              <w:sz w:val="22"/>
              <w:szCs w:val="22"/>
            </w:rPr>
            <m:t>K=</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min</m:t>
                  </m:r>
                </m:sub>
              </m:sSub>
            </m:num>
            <m:den>
              <m:sSub>
                <m:sSubPr>
                  <m:ctrlPr>
                    <w:rPr>
                      <w:rFonts w:ascii="Cambria Math" w:hAnsi="Cambria Math" w:cs="Times New Roman"/>
                      <w:i/>
                      <w:sz w:val="22"/>
                      <w:szCs w:val="22"/>
                    </w:rPr>
                  </m:ctrlPr>
                </m:sSubPr>
                <m:e>
                  <m:r>
                    <w:rPr>
                      <w:rFonts w:ascii="Cambria Math" w:hAnsi="Cambria Math" w:cs="Times New Roman"/>
                      <w:sz w:val="22"/>
                      <w:szCs w:val="22"/>
                    </w:rPr>
                    <m:t>K</m:t>
                  </m:r>
                </m:e>
                <m:sub>
                  <m:r>
                    <w:rPr>
                      <w:rFonts w:ascii="Cambria Math" w:hAnsi="Cambria Math" w:cs="Times New Roman"/>
                      <w:sz w:val="22"/>
                      <w:szCs w:val="22"/>
                    </w:rPr>
                    <m:t>v</m:t>
                  </m:r>
                </m:sub>
              </m:sSub>
            </m:den>
          </m:f>
          <m:r>
            <w:rPr>
              <w:rFonts w:ascii="Cambria Math" w:hAnsi="Cambria Math" w:cs="Times New Roman"/>
              <w:sz w:val="22"/>
              <w:szCs w:val="22"/>
            </w:rPr>
            <m:t xml:space="preserve"> ×X</m:t>
          </m:r>
        </m:oMath>
      </m:oMathPara>
    </w:p>
    <w:p w14:paraId="5708BAFE" w14:textId="2ABE9161" w:rsidR="00143801" w:rsidRPr="00143801" w:rsidRDefault="00143801" w:rsidP="0038537C">
      <w:pPr>
        <w:pStyle w:val="Sraopastraipa"/>
        <w:numPr>
          <w:ilvl w:val="2"/>
          <w:numId w:val="42"/>
        </w:numPr>
        <w:tabs>
          <w:tab w:val="left" w:pos="1276"/>
        </w:tabs>
        <w:spacing w:after="0" w:line="240" w:lineRule="auto"/>
        <w:ind w:left="0" w:firstLine="567"/>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Kadangi siūlomo objekto T</w:t>
      </w:r>
      <w:r w:rsidRPr="00D936E3">
        <w:rPr>
          <w:rFonts w:ascii="Times New Roman" w:hAnsi="Times New Roman" w:cs="Times New Roman"/>
          <w:sz w:val="22"/>
          <w:szCs w:val="22"/>
          <w:vertAlign w:val="subscript"/>
          <w:lang w:val="en-US"/>
        </w:rPr>
        <w:t>1</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2</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3</w:t>
      </w:r>
      <w:r w:rsidRPr="00143801">
        <w:rPr>
          <w:rFonts w:ascii="Times New Roman" w:hAnsi="Times New Roman" w:cs="Times New Roman"/>
          <w:sz w:val="22"/>
          <w:szCs w:val="22"/>
          <w:lang w:val="en-US"/>
        </w:rPr>
        <w:t>, T</w:t>
      </w:r>
      <w:r w:rsidRPr="00D936E3">
        <w:rPr>
          <w:rFonts w:ascii="Times New Roman" w:hAnsi="Times New Roman" w:cs="Times New Roman"/>
          <w:sz w:val="22"/>
          <w:szCs w:val="22"/>
          <w:vertAlign w:val="subscript"/>
          <w:lang w:val="en-US"/>
        </w:rPr>
        <w:t>4</w:t>
      </w:r>
      <w:r w:rsidRPr="00143801">
        <w:rPr>
          <w:rFonts w:ascii="Times New Roman" w:hAnsi="Times New Roman" w:cs="Times New Roman"/>
          <w:sz w:val="22"/>
          <w:szCs w:val="22"/>
          <w:lang w:val="en-US"/>
        </w:rPr>
        <w:t xml:space="preserve"> techniniai parametrai neturi skaitinių išraiškų (yra arba nėra, taip arba ne), todėl parametro įvertinimas apskaičiuojamas </w:t>
      </w:r>
      <w:r>
        <w:rPr>
          <w:rFonts w:ascii="Times New Roman" w:hAnsi="Times New Roman" w:cs="Times New Roman"/>
          <w:sz w:val="22"/>
          <w:szCs w:val="22"/>
          <w:lang w:val="en-US"/>
        </w:rPr>
        <w:t>taip</w:t>
      </w:r>
      <w:r w:rsidRPr="00143801">
        <w:rPr>
          <w:rFonts w:ascii="Times New Roman" w:hAnsi="Times New Roman" w:cs="Times New Roman"/>
          <w:sz w:val="22"/>
          <w:szCs w:val="22"/>
          <w:lang w:val="en-US"/>
        </w:rPr>
        <w:t>:</w:t>
      </w:r>
    </w:p>
    <w:p w14:paraId="38D75212" w14:textId="77777777" w:rsidR="00143801" w:rsidRDefault="00143801" w:rsidP="00143801">
      <w:pPr>
        <w:spacing w:after="0" w:line="240" w:lineRule="auto"/>
        <w:jc w:val="both"/>
        <w:rPr>
          <w:rFonts w:ascii="Times New Roman" w:hAnsi="Times New Roman" w:cs="Times New Roman"/>
          <w:sz w:val="22"/>
          <w:szCs w:val="22"/>
          <w:lang w:val="en-US"/>
        </w:rPr>
      </w:pPr>
      <w:r w:rsidRPr="00143801">
        <w:rPr>
          <w:rFonts w:ascii="Times New Roman" w:hAnsi="Times New Roman" w:cs="Times New Roman"/>
          <w:sz w:val="22"/>
          <w:szCs w:val="22"/>
          <w:lang w:val="en-US"/>
        </w:rPr>
        <w:t>Jei siūlomas objektas turi nurodytą pranašumą</w:t>
      </w:r>
      <w:r>
        <w:rPr>
          <w:rFonts w:ascii="Times New Roman" w:hAnsi="Times New Roman" w:cs="Times New Roman"/>
          <w:sz w:val="22"/>
          <w:szCs w:val="22"/>
          <w:lang w:val="en-US"/>
        </w:rPr>
        <w:t>,</w:t>
      </w:r>
      <w:r w:rsidRPr="00143801">
        <w:rPr>
          <w:rFonts w:ascii="Times New Roman" w:hAnsi="Times New Roman" w:cs="Times New Roman"/>
          <w:sz w:val="22"/>
          <w:szCs w:val="22"/>
          <w:lang w:val="en-US"/>
        </w:rPr>
        <w:t xml:space="preserve"> gauna maksimalų balų skaičių pagal lyginamuosius svorius: </w:t>
      </w:r>
    </w:p>
    <w:p w14:paraId="0575F52A" w14:textId="048A9787" w:rsidR="00143801" w:rsidRDefault="00143801" w:rsidP="00143801">
      <w:pPr>
        <w:spacing w:after="0" w:line="240" w:lineRule="auto"/>
        <w:jc w:val="center"/>
        <w:rPr>
          <w:rFonts w:ascii="Times New Roman" w:hAnsi="Times New Roman" w:cs="Times New Roman"/>
          <w:i/>
          <w:sz w:val="22"/>
          <w:szCs w:val="22"/>
          <w:lang w:val="en-US"/>
        </w:rPr>
      </w:pPr>
      <w:r w:rsidRPr="00143801">
        <w:rPr>
          <w:rFonts w:ascii="Times New Roman" w:hAnsi="Times New Roman" w:cs="Times New Roman"/>
          <w:i/>
          <w:sz w:val="22"/>
          <w:szCs w:val="22"/>
          <w:lang w:val="en-US"/>
        </w:rPr>
        <w:t>T</w:t>
      </w:r>
      <w:r w:rsidRPr="00143801">
        <w:rPr>
          <w:rFonts w:ascii="Times New Roman" w:hAnsi="Times New Roman" w:cs="Times New Roman"/>
          <w:i/>
          <w:sz w:val="22"/>
          <w:szCs w:val="22"/>
          <w:vertAlign w:val="subscript"/>
          <w:lang w:val="en-US"/>
        </w:rPr>
        <w:t xml:space="preserve">1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1</w:t>
      </w:r>
      <w:r w:rsidRPr="00143801">
        <w:rPr>
          <w:rFonts w:ascii="Times New Roman" w:hAnsi="Times New Roman" w:cs="Times New Roman"/>
          <w:i/>
          <w:sz w:val="22"/>
          <w:szCs w:val="22"/>
          <w:lang w:val="en-US"/>
        </w:rPr>
        <w:t xml:space="preserve"> ; T</w:t>
      </w:r>
      <w:r w:rsidRPr="00143801">
        <w:rPr>
          <w:rFonts w:ascii="Times New Roman" w:hAnsi="Times New Roman" w:cs="Times New Roman"/>
          <w:i/>
          <w:sz w:val="22"/>
          <w:szCs w:val="22"/>
          <w:vertAlign w:val="subscript"/>
          <w:lang w:val="en-US"/>
        </w:rPr>
        <w:t xml:space="preserve">2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2</w:t>
      </w:r>
      <w:r w:rsidRPr="00143801">
        <w:rPr>
          <w:rFonts w:ascii="Times New Roman" w:hAnsi="Times New Roman" w:cs="Times New Roman"/>
          <w:i/>
          <w:sz w:val="22"/>
          <w:szCs w:val="22"/>
          <w:lang w:val="en-US"/>
        </w:rPr>
        <w:t>; T</w:t>
      </w:r>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 T</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4</w:t>
      </w:r>
      <w:r w:rsidRPr="00143801">
        <w:rPr>
          <w:rFonts w:ascii="Times New Roman" w:hAnsi="Times New Roman" w:cs="Times New Roman"/>
          <w:i/>
          <w:sz w:val="22"/>
          <w:szCs w:val="22"/>
          <w:lang w:val="en-US"/>
        </w:rPr>
        <w:t xml:space="preserve"> .</w:t>
      </w:r>
    </w:p>
    <w:p w14:paraId="6C86C95F" w14:textId="77777777" w:rsidR="00143801" w:rsidRDefault="00143801" w:rsidP="00143801">
      <w:pPr>
        <w:spacing w:after="0" w:line="240" w:lineRule="auto"/>
        <w:jc w:val="both"/>
        <w:rPr>
          <w:rFonts w:ascii="Times New Roman" w:hAnsi="Times New Roman" w:cs="Times New Roman"/>
          <w:i/>
          <w:sz w:val="22"/>
          <w:szCs w:val="22"/>
          <w:lang w:val="en-US"/>
        </w:rPr>
      </w:pPr>
      <w:r w:rsidRPr="00143801">
        <w:rPr>
          <w:rFonts w:ascii="Times New Roman" w:hAnsi="Times New Roman" w:cs="Times New Roman"/>
          <w:sz w:val="22"/>
          <w:szCs w:val="22"/>
          <w:lang w:val="en-US"/>
        </w:rPr>
        <w:t>Jei siūlomas objektas neturi nurodyto pranašumo gauna 0 balų:</w:t>
      </w:r>
      <w:r w:rsidRPr="00143801">
        <w:rPr>
          <w:rFonts w:ascii="Times New Roman" w:hAnsi="Times New Roman" w:cs="Times New Roman"/>
          <w:i/>
          <w:sz w:val="22"/>
          <w:szCs w:val="22"/>
          <w:lang w:val="en-US"/>
        </w:rPr>
        <w:t xml:space="preserve"> </w:t>
      </w:r>
    </w:p>
    <w:p w14:paraId="04FA8196" w14:textId="194AFADE" w:rsidR="00143801" w:rsidRPr="00143801" w:rsidRDefault="00143801" w:rsidP="00143801">
      <w:pPr>
        <w:spacing w:after="0" w:line="240" w:lineRule="auto"/>
        <w:jc w:val="center"/>
        <w:rPr>
          <w:rFonts w:ascii="Times New Roman" w:hAnsi="Times New Roman" w:cs="Times New Roman"/>
          <w:i/>
          <w:sz w:val="22"/>
          <w:szCs w:val="22"/>
          <w:lang w:val="en-US"/>
        </w:rPr>
      </w:pPr>
      <w:r w:rsidRPr="00143801">
        <w:rPr>
          <w:rFonts w:ascii="Times New Roman" w:hAnsi="Times New Roman" w:cs="Times New Roman"/>
          <w:i/>
          <w:sz w:val="22"/>
          <w:szCs w:val="22"/>
          <w:lang w:val="en-US"/>
        </w:rPr>
        <w:t>T</w:t>
      </w:r>
      <w:r w:rsidRPr="00143801">
        <w:rPr>
          <w:rFonts w:ascii="Times New Roman" w:hAnsi="Times New Roman" w:cs="Times New Roman"/>
          <w:i/>
          <w:sz w:val="22"/>
          <w:szCs w:val="22"/>
          <w:vertAlign w:val="subscript"/>
          <w:lang w:val="en-US"/>
        </w:rPr>
        <w:t xml:space="preserve">1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1</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2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2</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3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3</w:t>
      </w:r>
      <w:r w:rsidRPr="00143801">
        <w:rPr>
          <w:rFonts w:ascii="Times New Roman" w:hAnsi="Times New Roman" w:cs="Times New Roman"/>
          <w:i/>
          <w:sz w:val="22"/>
          <w:szCs w:val="22"/>
          <w:lang w:val="en-US"/>
        </w:rPr>
        <w:t xml:space="preserve"> = 0; T</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L</w:t>
      </w:r>
      <w:r w:rsidRPr="00143801">
        <w:rPr>
          <w:rFonts w:ascii="Times New Roman" w:hAnsi="Times New Roman" w:cs="Times New Roman"/>
          <w:i/>
          <w:sz w:val="22"/>
          <w:szCs w:val="22"/>
          <w:vertAlign w:val="subscript"/>
          <w:lang w:val="en-US"/>
        </w:rPr>
        <w:t xml:space="preserve">4 </w:t>
      </w:r>
      <w:r w:rsidRPr="00143801">
        <w:rPr>
          <w:rFonts w:ascii="Times New Roman" w:hAnsi="Times New Roman" w:cs="Times New Roman"/>
          <w:i/>
          <w:sz w:val="22"/>
          <w:szCs w:val="22"/>
          <w:lang w:val="en-US"/>
        </w:rPr>
        <w:t>= 0.</w:t>
      </w:r>
    </w:p>
    <w:p w14:paraId="194A0CC5" w14:textId="515861B4" w:rsidR="00143801" w:rsidRPr="00143801" w:rsidRDefault="00143801" w:rsidP="00143801">
      <w:pPr>
        <w:spacing w:after="0" w:line="240" w:lineRule="auto"/>
        <w:jc w:val="both"/>
        <w:rPr>
          <w:rFonts w:ascii="Times New Roman" w:hAnsi="Times New Roman" w:cs="Times New Roman"/>
          <w:sz w:val="22"/>
          <w:szCs w:val="22"/>
        </w:rPr>
      </w:pPr>
      <w:r w:rsidRPr="00143801">
        <w:rPr>
          <w:rFonts w:ascii="Times New Roman" w:hAnsi="Times New Roman" w:cs="Times New Roman"/>
          <w:sz w:val="22"/>
          <w:szCs w:val="22"/>
          <w:lang w:val="en-US"/>
        </w:rPr>
        <w:t>Techninių pranašumų (T) bala</w:t>
      </w:r>
      <w:r w:rsidR="00D936E3">
        <w:rPr>
          <w:rFonts w:ascii="Times New Roman" w:hAnsi="Times New Roman" w:cs="Times New Roman"/>
          <w:sz w:val="22"/>
          <w:szCs w:val="22"/>
          <w:lang w:val="en-US"/>
        </w:rPr>
        <w:t>s</w:t>
      </w:r>
      <w:r w:rsidRPr="00143801">
        <w:rPr>
          <w:rFonts w:ascii="Times New Roman" w:hAnsi="Times New Roman" w:cs="Times New Roman"/>
          <w:sz w:val="22"/>
          <w:szCs w:val="22"/>
          <w:lang w:val="en-US"/>
        </w:rPr>
        <w:t xml:space="preserve"> apskaičiuojam</w:t>
      </w:r>
      <w:r w:rsidR="00D936E3">
        <w:rPr>
          <w:rFonts w:ascii="Times New Roman" w:hAnsi="Times New Roman" w:cs="Times New Roman"/>
          <w:sz w:val="22"/>
          <w:szCs w:val="22"/>
          <w:lang w:val="en-US"/>
        </w:rPr>
        <w:t>as kaip</w:t>
      </w:r>
      <w:r w:rsidRPr="00143801">
        <w:rPr>
          <w:rFonts w:ascii="Times New Roman" w:hAnsi="Times New Roman" w:cs="Times New Roman"/>
          <w:sz w:val="22"/>
          <w:szCs w:val="22"/>
          <w:lang w:val="en-US"/>
        </w:rPr>
        <w:t xml:space="preserve"> visų techninių kriterijų parametrų įvertinimų sumą:</w:t>
      </w:r>
    </w:p>
    <w:p w14:paraId="012268D6" w14:textId="4729EF66" w:rsidR="00143801" w:rsidRDefault="00D936E3" w:rsidP="00D936E3">
      <w:pPr>
        <w:spacing w:after="0" w:line="240" w:lineRule="auto"/>
        <w:jc w:val="center"/>
        <w:rPr>
          <w:rFonts w:ascii="Times New Roman" w:hAnsi="Times New Roman" w:cs="Times New Roman"/>
          <w:sz w:val="22"/>
          <w:szCs w:val="22"/>
          <w:lang w:val="en-US"/>
        </w:rPr>
      </w:pPr>
      <w:r>
        <w:rPr>
          <w:rFonts w:ascii="Times New Roman" w:hAnsi="Times New Roman" w:cs="Times New Roman"/>
          <w:sz w:val="22"/>
          <w:szCs w:val="22"/>
          <w:lang w:val="en-US"/>
        </w:rPr>
        <w:t xml:space="preserve">T = </w:t>
      </w:r>
      <w:r w:rsidRPr="00143801">
        <w:rPr>
          <w:rFonts w:ascii="Times New Roman" w:hAnsi="Times New Roman" w:cs="Times New Roman"/>
          <w:sz w:val="22"/>
          <w:szCs w:val="22"/>
          <w:lang w:val="en-US"/>
        </w:rPr>
        <w:t>T</w:t>
      </w:r>
      <w:r w:rsidRPr="00D936E3">
        <w:rPr>
          <w:rFonts w:ascii="Times New Roman" w:hAnsi="Times New Roman" w:cs="Times New Roman"/>
          <w:sz w:val="22"/>
          <w:szCs w:val="22"/>
          <w:vertAlign w:val="subscript"/>
          <w:lang w:val="en-US"/>
        </w:rPr>
        <w:t>1</w:t>
      </w:r>
      <w:r>
        <w:rPr>
          <w:rFonts w:ascii="Times New Roman" w:hAnsi="Times New Roman" w:cs="Times New Roman"/>
          <w:sz w:val="22"/>
          <w:szCs w:val="22"/>
          <w:vertAlign w:val="subscript"/>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2</w:t>
      </w:r>
      <w:r>
        <w:rPr>
          <w:rFonts w:ascii="Times New Roman" w:hAnsi="Times New Roman" w:cs="Times New Roman"/>
          <w:sz w:val="22"/>
          <w:szCs w:val="22"/>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3</w:t>
      </w:r>
      <w:r>
        <w:rPr>
          <w:rFonts w:ascii="Times New Roman" w:hAnsi="Times New Roman" w:cs="Times New Roman"/>
          <w:sz w:val="22"/>
          <w:szCs w:val="22"/>
          <w:lang w:val="en-US"/>
        </w:rPr>
        <w:t xml:space="preserve"> +</w:t>
      </w:r>
      <w:r w:rsidRPr="00143801">
        <w:rPr>
          <w:rFonts w:ascii="Times New Roman" w:hAnsi="Times New Roman" w:cs="Times New Roman"/>
          <w:sz w:val="22"/>
          <w:szCs w:val="22"/>
          <w:lang w:val="en-US"/>
        </w:rPr>
        <w:t xml:space="preserve"> T</w:t>
      </w:r>
      <w:r w:rsidRPr="00D936E3">
        <w:rPr>
          <w:rFonts w:ascii="Times New Roman" w:hAnsi="Times New Roman" w:cs="Times New Roman"/>
          <w:sz w:val="22"/>
          <w:szCs w:val="22"/>
          <w:vertAlign w:val="subscript"/>
          <w:lang w:val="en-US"/>
        </w:rPr>
        <w:t>4</w:t>
      </w:r>
    </w:p>
    <w:p w14:paraId="53C66F11" w14:textId="2856AC09" w:rsidR="00143801" w:rsidRPr="0038537C" w:rsidRDefault="00143801" w:rsidP="0038537C">
      <w:pPr>
        <w:pStyle w:val="Sraopastraipa"/>
        <w:numPr>
          <w:ilvl w:val="1"/>
          <w:numId w:val="42"/>
        </w:numPr>
        <w:spacing w:after="0" w:line="240" w:lineRule="auto"/>
        <w:rPr>
          <w:rFonts w:ascii="Times New Roman" w:hAnsi="Times New Roman" w:cs="Times New Roman"/>
          <w:sz w:val="22"/>
          <w:szCs w:val="22"/>
          <w:lang w:val="en-US"/>
        </w:rPr>
      </w:pPr>
      <w:r w:rsidRPr="0038537C">
        <w:rPr>
          <w:rFonts w:ascii="Times New Roman" w:hAnsi="Times New Roman" w:cs="Times New Roman"/>
          <w:sz w:val="22"/>
          <w:szCs w:val="22"/>
          <w:lang w:val="en-US"/>
        </w:rPr>
        <w:t xml:space="preserve">Vertinimo kriterijai ir jų parametrų lyginamieji svoriai: </w:t>
      </w:r>
    </w:p>
    <w:p w14:paraId="7ECD625F" w14:textId="77777777" w:rsidR="0038537C" w:rsidRDefault="0038537C" w:rsidP="00143801">
      <w:pPr>
        <w:spacing w:after="0" w:line="240" w:lineRule="auto"/>
        <w:rPr>
          <w:rFonts w:ascii="Times New Roman" w:hAnsi="Times New Roman" w:cs="Times New Roman"/>
          <w:color w:val="7030A0"/>
          <w:sz w:val="22"/>
          <w:szCs w:val="2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4961"/>
        <w:gridCol w:w="1136"/>
        <w:gridCol w:w="992"/>
        <w:gridCol w:w="2309"/>
      </w:tblGrid>
      <w:tr w:rsidR="0038537C" w:rsidRPr="00EB436D" w14:paraId="790A3411" w14:textId="77777777" w:rsidTr="00EB436D">
        <w:trPr>
          <w:trHeight w:val="598"/>
          <w:jc w:val="center"/>
        </w:trPr>
        <w:tc>
          <w:tcPr>
            <w:tcW w:w="2773" w:type="pct"/>
            <w:gridSpan w:val="2"/>
            <w:shd w:val="clear" w:color="auto" w:fill="D9D9D9" w:themeFill="background1" w:themeFillShade="D9"/>
            <w:vAlign w:val="center"/>
          </w:tcPr>
          <w:p w14:paraId="7E9FB172" w14:textId="77777777" w:rsidR="00143801" w:rsidRPr="00EB436D" w:rsidRDefault="00143801" w:rsidP="00143801">
            <w:pPr>
              <w:spacing w:after="0" w:line="240" w:lineRule="auto"/>
              <w:rPr>
                <w:rFonts w:ascii="Times New Roman" w:hAnsi="Times New Roman" w:cs="Times New Roman"/>
                <w:b/>
                <w:bCs/>
                <w:sz w:val="20"/>
                <w:szCs w:val="20"/>
                <w:lang w:val="en-US"/>
              </w:rPr>
            </w:pPr>
            <w:r w:rsidRPr="00EB436D">
              <w:rPr>
                <w:rFonts w:ascii="Times New Roman" w:hAnsi="Times New Roman" w:cs="Times New Roman"/>
                <w:b/>
                <w:sz w:val="20"/>
                <w:szCs w:val="20"/>
                <w:lang w:val="en-US"/>
              </w:rPr>
              <w:t>Vertinimo kriterijai</w:t>
            </w:r>
          </w:p>
        </w:tc>
        <w:tc>
          <w:tcPr>
            <w:tcW w:w="1068" w:type="pct"/>
            <w:gridSpan w:val="2"/>
            <w:shd w:val="clear" w:color="auto" w:fill="D9D9D9" w:themeFill="background1" w:themeFillShade="D9"/>
            <w:vAlign w:val="center"/>
          </w:tcPr>
          <w:p w14:paraId="4F674D30" w14:textId="77777777" w:rsidR="00143801" w:rsidRPr="00EB436D" w:rsidRDefault="00143801" w:rsidP="0038537C">
            <w:pPr>
              <w:spacing w:after="0" w:line="240" w:lineRule="auto"/>
              <w:jc w:val="center"/>
              <w:rPr>
                <w:rFonts w:ascii="Times New Roman" w:hAnsi="Times New Roman" w:cs="Times New Roman"/>
                <w:b/>
                <w:sz w:val="20"/>
                <w:szCs w:val="20"/>
                <w:lang w:val="en-US"/>
              </w:rPr>
            </w:pPr>
            <w:r w:rsidRPr="00EB436D">
              <w:rPr>
                <w:rFonts w:ascii="Times New Roman" w:hAnsi="Times New Roman" w:cs="Times New Roman"/>
                <w:b/>
                <w:sz w:val="20"/>
                <w:szCs w:val="20"/>
                <w:lang w:val="en-US"/>
              </w:rPr>
              <w:t>Parametro lyginamasis svoris</w:t>
            </w:r>
          </w:p>
        </w:tc>
        <w:tc>
          <w:tcPr>
            <w:tcW w:w="1159" w:type="pct"/>
            <w:shd w:val="clear" w:color="auto" w:fill="D9D9D9" w:themeFill="background1" w:themeFillShade="D9"/>
            <w:vAlign w:val="center"/>
          </w:tcPr>
          <w:p w14:paraId="4908FE22" w14:textId="77777777" w:rsidR="00143801" w:rsidRPr="00EB436D" w:rsidRDefault="00143801" w:rsidP="0038537C">
            <w:pPr>
              <w:spacing w:after="0" w:line="240" w:lineRule="auto"/>
              <w:jc w:val="center"/>
              <w:rPr>
                <w:rFonts w:ascii="Times New Roman" w:hAnsi="Times New Roman" w:cs="Times New Roman"/>
                <w:b/>
                <w:sz w:val="20"/>
                <w:szCs w:val="20"/>
                <w:lang w:val="en-US"/>
              </w:rPr>
            </w:pPr>
            <w:r w:rsidRPr="00EB436D">
              <w:rPr>
                <w:rFonts w:ascii="Times New Roman" w:hAnsi="Times New Roman" w:cs="Times New Roman"/>
                <w:b/>
                <w:sz w:val="20"/>
                <w:szCs w:val="20"/>
                <w:lang w:val="en-US"/>
              </w:rPr>
              <w:t>Lyginamasis svoris ekonominio naudingumo įvertinime</w:t>
            </w:r>
          </w:p>
        </w:tc>
      </w:tr>
      <w:tr w:rsidR="0038537C" w:rsidRPr="00143801" w14:paraId="106A8462" w14:textId="77777777" w:rsidTr="00EB436D">
        <w:trPr>
          <w:jc w:val="center"/>
        </w:trPr>
        <w:tc>
          <w:tcPr>
            <w:tcW w:w="283" w:type="pct"/>
            <w:vAlign w:val="center"/>
          </w:tcPr>
          <w:p w14:paraId="08A60491" w14:textId="77777777" w:rsidR="00143801" w:rsidRPr="00143801" w:rsidRDefault="00143801" w:rsidP="00143801">
            <w:pPr>
              <w:spacing w:after="0" w:line="240" w:lineRule="auto"/>
              <w:rPr>
                <w:rFonts w:ascii="Times New Roman" w:hAnsi="Times New Roman" w:cs="Times New Roman"/>
                <w:b/>
                <w:sz w:val="22"/>
                <w:szCs w:val="22"/>
                <w:lang w:val="en-US"/>
              </w:rPr>
            </w:pPr>
            <w:r w:rsidRPr="00143801">
              <w:rPr>
                <w:rFonts w:ascii="Times New Roman" w:hAnsi="Times New Roman" w:cs="Times New Roman"/>
                <w:b/>
                <w:sz w:val="22"/>
                <w:szCs w:val="22"/>
                <w:lang w:val="en-US"/>
              </w:rPr>
              <w:t>Nr.</w:t>
            </w:r>
          </w:p>
        </w:tc>
        <w:tc>
          <w:tcPr>
            <w:tcW w:w="2490" w:type="pct"/>
            <w:vAlign w:val="center"/>
          </w:tcPr>
          <w:p w14:paraId="6409D483" w14:textId="77777777" w:rsidR="00143801" w:rsidRPr="00143801" w:rsidRDefault="00143801" w:rsidP="00143801">
            <w:pPr>
              <w:spacing w:after="0" w:line="240" w:lineRule="auto"/>
              <w:rPr>
                <w:rFonts w:ascii="Times New Roman" w:hAnsi="Times New Roman" w:cs="Times New Roman"/>
                <w:b/>
                <w:sz w:val="22"/>
                <w:szCs w:val="22"/>
                <w:lang w:val="en-US"/>
              </w:rPr>
            </w:pPr>
            <w:r w:rsidRPr="00143801">
              <w:rPr>
                <w:rFonts w:ascii="Times New Roman" w:hAnsi="Times New Roman" w:cs="Times New Roman"/>
                <w:b/>
                <w:sz w:val="22"/>
                <w:szCs w:val="22"/>
                <w:lang w:val="en-US"/>
              </w:rPr>
              <w:t>Parametrai</w:t>
            </w:r>
          </w:p>
        </w:tc>
        <w:tc>
          <w:tcPr>
            <w:tcW w:w="570" w:type="pct"/>
            <w:vAlign w:val="center"/>
          </w:tcPr>
          <w:p w14:paraId="682A9B60" w14:textId="23CCBFEE" w:rsidR="00143801" w:rsidRPr="00143801" w:rsidRDefault="00143801" w:rsidP="00143801">
            <w:pPr>
              <w:spacing w:after="0" w:line="240" w:lineRule="auto"/>
              <w:rPr>
                <w:rFonts w:ascii="Times New Roman" w:hAnsi="Times New Roman" w:cs="Times New Roman"/>
                <w:b/>
                <w:sz w:val="22"/>
                <w:szCs w:val="22"/>
                <w:lang w:val="en-US"/>
              </w:rPr>
            </w:pPr>
            <w:r w:rsidRPr="00143801">
              <w:rPr>
                <w:rFonts w:ascii="Times New Roman" w:hAnsi="Times New Roman" w:cs="Times New Roman"/>
                <w:b/>
                <w:sz w:val="22"/>
                <w:szCs w:val="22"/>
                <w:lang w:val="en-US"/>
              </w:rPr>
              <w:t>yra/</w:t>
            </w:r>
            <w:r w:rsidR="0038537C">
              <w:rPr>
                <w:rFonts w:ascii="Times New Roman" w:hAnsi="Times New Roman" w:cs="Times New Roman"/>
                <w:b/>
                <w:sz w:val="22"/>
                <w:szCs w:val="22"/>
                <w:lang w:val="en-US"/>
              </w:rPr>
              <w:t xml:space="preserve"> </w:t>
            </w:r>
            <w:r w:rsidRPr="00143801">
              <w:rPr>
                <w:rFonts w:ascii="Times New Roman" w:hAnsi="Times New Roman" w:cs="Times New Roman"/>
                <w:b/>
                <w:sz w:val="22"/>
                <w:szCs w:val="22"/>
                <w:lang w:val="en-US"/>
              </w:rPr>
              <w:t>nėra</w:t>
            </w:r>
          </w:p>
        </w:tc>
        <w:tc>
          <w:tcPr>
            <w:tcW w:w="498" w:type="pct"/>
            <w:vAlign w:val="center"/>
          </w:tcPr>
          <w:p w14:paraId="4597A065" w14:textId="77777777" w:rsidR="00143801" w:rsidRPr="00143801" w:rsidRDefault="00143801" w:rsidP="00143801">
            <w:pPr>
              <w:spacing w:after="0" w:line="240" w:lineRule="auto"/>
              <w:rPr>
                <w:rFonts w:ascii="Times New Roman" w:hAnsi="Times New Roman" w:cs="Times New Roman"/>
                <w:b/>
                <w:bCs/>
                <w:sz w:val="22"/>
                <w:szCs w:val="22"/>
                <w:lang w:val="en-US"/>
              </w:rPr>
            </w:pPr>
          </w:p>
        </w:tc>
        <w:tc>
          <w:tcPr>
            <w:tcW w:w="1157" w:type="pct"/>
            <w:vAlign w:val="center"/>
          </w:tcPr>
          <w:p w14:paraId="64F11975" w14:textId="77777777" w:rsidR="00143801" w:rsidRPr="00143801" w:rsidRDefault="00143801" w:rsidP="00143801">
            <w:pPr>
              <w:spacing w:after="0" w:line="240" w:lineRule="auto"/>
              <w:rPr>
                <w:rFonts w:ascii="Times New Roman" w:hAnsi="Times New Roman" w:cs="Times New Roman"/>
                <w:b/>
                <w:sz w:val="22"/>
                <w:szCs w:val="22"/>
                <w:lang w:val="en-US"/>
              </w:rPr>
            </w:pPr>
          </w:p>
        </w:tc>
      </w:tr>
      <w:tr w:rsidR="000E52FF" w:rsidRPr="00143801" w14:paraId="5627A852" w14:textId="77777777" w:rsidTr="00EB436D">
        <w:trPr>
          <w:trHeight w:val="571"/>
          <w:jc w:val="center"/>
        </w:trPr>
        <w:tc>
          <w:tcPr>
            <w:tcW w:w="283" w:type="pct"/>
            <w:vAlign w:val="center"/>
          </w:tcPr>
          <w:p w14:paraId="61656623" w14:textId="77777777" w:rsidR="000E52FF" w:rsidRPr="00143801" w:rsidRDefault="000E52FF" w:rsidP="000E52FF">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T1</w:t>
            </w:r>
          </w:p>
        </w:tc>
        <w:tc>
          <w:tcPr>
            <w:tcW w:w="2490" w:type="pct"/>
            <w:vAlign w:val="center"/>
          </w:tcPr>
          <w:p w14:paraId="0A0C31F2" w14:textId="2E01BD33" w:rsidR="000E52FF" w:rsidRPr="000E52FF" w:rsidRDefault="000E52FF" w:rsidP="000E52FF">
            <w:pPr>
              <w:spacing w:after="0" w:line="240" w:lineRule="auto"/>
              <w:rPr>
                <w:rFonts w:ascii="Times New Roman" w:hAnsi="Times New Roman" w:cs="Times New Roman"/>
                <w:b/>
                <w:bCs/>
                <w:sz w:val="22"/>
                <w:szCs w:val="22"/>
                <w:lang w:val="en-US"/>
              </w:rPr>
            </w:pPr>
            <w:r w:rsidRPr="000E52FF">
              <w:rPr>
                <w:rFonts w:ascii="Times New Roman" w:hAnsi="Times New Roman" w:cs="Times New Roman"/>
                <w:bCs/>
                <w:color w:val="000000" w:themeColor="text1"/>
                <w:sz w:val="22"/>
                <w:szCs w:val="22"/>
              </w:rPr>
              <w:t>Šešiakampio formos gelio struktūros ne mažiau kaip trijose čiužinio dalyse</w:t>
            </w:r>
          </w:p>
        </w:tc>
        <w:tc>
          <w:tcPr>
            <w:tcW w:w="570" w:type="pct"/>
            <w:tcBorders>
              <w:bottom w:val="single" w:sz="4" w:space="0" w:color="auto"/>
            </w:tcBorders>
            <w:vAlign w:val="center"/>
          </w:tcPr>
          <w:p w14:paraId="10E4D39A"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Statinis:</w:t>
            </w:r>
          </w:p>
          <w:p w14:paraId="359687BF"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(taip/ne)</w:t>
            </w:r>
          </w:p>
        </w:tc>
        <w:tc>
          <w:tcPr>
            <w:tcW w:w="498" w:type="pct"/>
            <w:tcBorders>
              <w:bottom w:val="single" w:sz="4" w:space="0" w:color="auto"/>
            </w:tcBorders>
            <w:vAlign w:val="center"/>
          </w:tcPr>
          <w:p w14:paraId="6AE28B31" w14:textId="1AA3996D"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1</w:t>
            </w:r>
            <w:r w:rsidRPr="00143801">
              <w:rPr>
                <w:rFonts w:ascii="Times New Roman" w:hAnsi="Times New Roman" w:cs="Times New Roman"/>
                <w:sz w:val="22"/>
                <w:szCs w:val="22"/>
                <w:lang w:val="en-US"/>
              </w:rPr>
              <w:t xml:space="preserve"> =</w:t>
            </w:r>
            <w:r>
              <w:rPr>
                <w:rFonts w:ascii="Times New Roman" w:hAnsi="Times New Roman" w:cs="Times New Roman"/>
                <w:sz w:val="22"/>
                <w:szCs w:val="22"/>
                <w:lang w:val="en-US"/>
              </w:rPr>
              <w:t>5</w:t>
            </w:r>
          </w:p>
        </w:tc>
        <w:tc>
          <w:tcPr>
            <w:tcW w:w="1157" w:type="pct"/>
            <w:tcBorders>
              <w:bottom w:val="single" w:sz="4" w:space="0" w:color="auto"/>
            </w:tcBorders>
            <w:vAlign w:val="center"/>
          </w:tcPr>
          <w:p w14:paraId="1002CAB8" w14:textId="77777777" w:rsidR="000E52FF" w:rsidRPr="00143801" w:rsidRDefault="000E52FF" w:rsidP="000E52FF">
            <w:pPr>
              <w:spacing w:after="0" w:line="240" w:lineRule="auto"/>
              <w:rPr>
                <w:rFonts w:ascii="Times New Roman" w:hAnsi="Times New Roman" w:cs="Times New Roman"/>
                <w:sz w:val="22"/>
                <w:szCs w:val="22"/>
                <w:lang w:val="en-US"/>
              </w:rPr>
            </w:pPr>
          </w:p>
        </w:tc>
      </w:tr>
      <w:tr w:rsidR="000E52FF" w:rsidRPr="00143801" w14:paraId="73224A34" w14:textId="77777777" w:rsidTr="00EB436D">
        <w:trPr>
          <w:trHeight w:val="571"/>
          <w:jc w:val="center"/>
        </w:trPr>
        <w:tc>
          <w:tcPr>
            <w:tcW w:w="283" w:type="pct"/>
            <w:vAlign w:val="center"/>
          </w:tcPr>
          <w:p w14:paraId="4A712376" w14:textId="77777777" w:rsidR="000E52FF" w:rsidRPr="00143801" w:rsidRDefault="000E52FF" w:rsidP="000E52FF">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T2</w:t>
            </w:r>
          </w:p>
        </w:tc>
        <w:tc>
          <w:tcPr>
            <w:tcW w:w="2490" w:type="pct"/>
            <w:vAlign w:val="center"/>
          </w:tcPr>
          <w:p w14:paraId="716A3F41" w14:textId="65864592" w:rsidR="000E52FF" w:rsidRPr="000E52FF" w:rsidRDefault="000E52FF" w:rsidP="000E52FF">
            <w:pPr>
              <w:spacing w:after="0" w:line="240" w:lineRule="auto"/>
              <w:rPr>
                <w:rFonts w:ascii="Times New Roman" w:hAnsi="Times New Roman" w:cs="Times New Roman"/>
                <w:sz w:val="22"/>
                <w:szCs w:val="22"/>
                <w:lang w:val="en-US"/>
              </w:rPr>
            </w:pPr>
            <w:r w:rsidRPr="000E52FF">
              <w:rPr>
                <w:rFonts w:ascii="Times New Roman" w:hAnsi="Times New Roman" w:cs="Times New Roman"/>
                <w:bCs/>
                <w:color w:val="000000" w:themeColor="text1"/>
                <w:sz w:val="22"/>
                <w:szCs w:val="22"/>
              </w:rPr>
              <w:t>Pacientas paverčiamas ne mažesniu kaip 30 laipsnių kampu. Pavertimas atliekamas čiužinio ir oro kompresoriaus pagalba</w:t>
            </w:r>
          </w:p>
        </w:tc>
        <w:tc>
          <w:tcPr>
            <w:tcW w:w="570" w:type="pct"/>
            <w:vAlign w:val="center"/>
          </w:tcPr>
          <w:p w14:paraId="14099534"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Statinis:</w:t>
            </w:r>
          </w:p>
          <w:p w14:paraId="4EADB7A4"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(taip/ne)</w:t>
            </w:r>
          </w:p>
        </w:tc>
        <w:tc>
          <w:tcPr>
            <w:tcW w:w="498" w:type="pct"/>
            <w:vAlign w:val="center"/>
          </w:tcPr>
          <w:p w14:paraId="796B00EA" w14:textId="1E0F286E"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2</w:t>
            </w:r>
            <w:r w:rsidRPr="00143801">
              <w:rPr>
                <w:rFonts w:ascii="Times New Roman" w:hAnsi="Times New Roman" w:cs="Times New Roman"/>
                <w:sz w:val="22"/>
                <w:szCs w:val="22"/>
                <w:lang w:val="en-US"/>
              </w:rPr>
              <w:t xml:space="preserve"> = </w:t>
            </w:r>
            <w:r>
              <w:rPr>
                <w:rFonts w:ascii="Times New Roman" w:hAnsi="Times New Roman" w:cs="Times New Roman"/>
                <w:sz w:val="22"/>
                <w:szCs w:val="22"/>
                <w:lang w:val="en-US"/>
              </w:rPr>
              <w:t>5</w:t>
            </w:r>
          </w:p>
        </w:tc>
        <w:tc>
          <w:tcPr>
            <w:tcW w:w="1157" w:type="pct"/>
            <w:vAlign w:val="center"/>
          </w:tcPr>
          <w:p w14:paraId="190F1842" w14:textId="77777777" w:rsidR="000E52FF" w:rsidRPr="00143801" w:rsidRDefault="000E52FF" w:rsidP="000E52FF">
            <w:pPr>
              <w:spacing w:after="0" w:line="240" w:lineRule="auto"/>
              <w:rPr>
                <w:rFonts w:ascii="Times New Roman" w:hAnsi="Times New Roman" w:cs="Times New Roman"/>
                <w:sz w:val="22"/>
                <w:szCs w:val="22"/>
                <w:lang w:val="en-US"/>
              </w:rPr>
            </w:pPr>
          </w:p>
        </w:tc>
      </w:tr>
      <w:tr w:rsidR="000E52FF" w:rsidRPr="00143801" w14:paraId="3094D5B6" w14:textId="77777777" w:rsidTr="00EB436D">
        <w:trPr>
          <w:trHeight w:val="295"/>
          <w:jc w:val="center"/>
        </w:trPr>
        <w:tc>
          <w:tcPr>
            <w:tcW w:w="283" w:type="pct"/>
            <w:vAlign w:val="center"/>
          </w:tcPr>
          <w:p w14:paraId="0585AFDF" w14:textId="77777777" w:rsidR="000E52FF" w:rsidRPr="00143801" w:rsidRDefault="000E52FF" w:rsidP="000E52FF">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T3</w:t>
            </w:r>
          </w:p>
        </w:tc>
        <w:tc>
          <w:tcPr>
            <w:tcW w:w="2490" w:type="pct"/>
            <w:vAlign w:val="center"/>
          </w:tcPr>
          <w:p w14:paraId="74B89E9A" w14:textId="74040308" w:rsidR="000E52FF" w:rsidRPr="000E52FF" w:rsidRDefault="000E52FF" w:rsidP="000E52FF">
            <w:pPr>
              <w:spacing w:after="0" w:line="240" w:lineRule="auto"/>
              <w:rPr>
                <w:rFonts w:ascii="Times New Roman" w:hAnsi="Times New Roman" w:cs="Times New Roman"/>
                <w:bCs/>
                <w:sz w:val="22"/>
                <w:szCs w:val="22"/>
              </w:rPr>
            </w:pPr>
            <w:r w:rsidRPr="000E52FF">
              <w:rPr>
                <w:rFonts w:ascii="Times New Roman" w:hAnsi="Times New Roman" w:cs="Times New Roman"/>
                <w:bCs/>
                <w:color w:val="000000" w:themeColor="text1"/>
                <w:sz w:val="22"/>
                <w:szCs w:val="22"/>
              </w:rPr>
              <w:t>Čiužinio kompresorius integruotas į siūlomos funkcinės lovos konstrukciją (nėra atskiras kilnojamas įrangos vienetas)</w:t>
            </w:r>
          </w:p>
        </w:tc>
        <w:tc>
          <w:tcPr>
            <w:tcW w:w="570" w:type="pct"/>
            <w:vAlign w:val="center"/>
          </w:tcPr>
          <w:p w14:paraId="69A97AAB"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Statinis:</w:t>
            </w:r>
          </w:p>
          <w:p w14:paraId="25D3F4B9"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(taip/ne)</w:t>
            </w:r>
          </w:p>
        </w:tc>
        <w:tc>
          <w:tcPr>
            <w:tcW w:w="498" w:type="pct"/>
            <w:vAlign w:val="center"/>
          </w:tcPr>
          <w:p w14:paraId="4F6027AF" w14:textId="6D64E6BE"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143801">
              <w:rPr>
                <w:rFonts w:ascii="Times New Roman" w:hAnsi="Times New Roman" w:cs="Times New Roman"/>
                <w:sz w:val="22"/>
                <w:szCs w:val="22"/>
                <w:vertAlign w:val="subscript"/>
                <w:lang w:val="en-US"/>
              </w:rPr>
              <w:t>3</w:t>
            </w:r>
            <w:r w:rsidRPr="00143801">
              <w:rPr>
                <w:rFonts w:ascii="Times New Roman" w:hAnsi="Times New Roman" w:cs="Times New Roman"/>
                <w:sz w:val="22"/>
                <w:szCs w:val="22"/>
                <w:lang w:val="en-US"/>
              </w:rPr>
              <w:t xml:space="preserve"> = </w:t>
            </w:r>
            <w:r>
              <w:rPr>
                <w:rFonts w:ascii="Times New Roman" w:hAnsi="Times New Roman" w:cs="Times New Roman"/>
                <w:sz w:val="22"/>
                <w:szCs w:val="22"/>
                <w:lang w:val="en-US"/>
              </w:rPr>
              <w:t>5</w:t>
            </w:r>
          </w:p>
        </w:tc>
        <w:tc>
          <w:tcPr>
            <w:tcW w:w="1157" w:type="pct"/>
            <w:vAlign w:val="center"/>
          </w:tcPr>
          <w:p w14:paraId="36DF538B" w14:textId="77777777" w:rsidR="000E52FF" w:rsidRPr="00143801" w:rsidRDefault="000E52FF" w:rsidP="000E52FF">
            <w:pPr>
              <w:spacing w:after="0" w:line="240" w:lineRule="auto"/>
              <w:rPr>
                <w:rFonts w:ascii="Times New Roman" w:hAnsi="Times New Roman" w:cs="Times New Roman"/>
                <w:sz w:val="22"/>
                <w:szCs w:val="22"/>
                <w:lang w:val="en-US"/>
              </w:rPr>
            </w:pPr>
          </w:p>
        </w:tc>
      </w:tr>
      <w:tr w:rsidR="000E52FF" w:rsidRPr="00143801" w14:paraId="2C499814" w14:textId="77777777" w:rsidTr="00EB436D">
        <w:trPr>
          <w:trHeight w:val="295"/>
          <w:jc w:val="center"/>
        </w:trPr>
        <w:tc>
          <w:tcPr>
            <w:tcW w:w="283" w:type="pct"/>
            <w:vAlign w:val="center"/>
          </w:tcPr>
          <w:p w14:paraId="58D77544" w14:textId="77777777" w:rsidR="000E52FF" w:rsidRPr="00143801" w:rsidRDefault="000E52FF" w:rsidP="000E52FF">
            <w:pPr>
              <w:spacing w:after="0" w:line="240" w:lineRule="auto"/>
              <w:rPr>
                <w:rFonts w:ascii="Times New Roman" w:hAnsi="Times New Roman" w:cs="Times New Roman"/>
                <w:sz w:val="22"/>
                <w:szCs w:val="22"/>
                <w:lang w:val="en-US"/>
              </w:rPr>
            </w:pPr>
            <w:r w:rsidRPr="00143801">
              <w:rPr>
                <w:rFonts w:ascii="Times New Roman" w:hAnsi="Times New Roman" w:cs="Times New Roman"/>
                <w:sz w:val="22"/>
                <w:szCs w:val="22"/>
                <w:lang w:val="en-US"/>
              </w:rPr>
              <w:t>T4</w:t>
            </w:r>
          </w:p>
        </w:tc>
        <w:tc>
          <w:tcPr>
            <w:tcW w:w="2490" w:type="pct"/>
          </w:tcPr>
          <w:p w14:paraId="54D8698A" w14:textId="77777777" w:rsidR="000E52FF" w:rsidRPr="000E52FF" w:rsidRDefault="000E52FF" w:rsidP="000E52FF">
            <w:pPr>
              <w:tabs>
                <w:tab w:val="left" w:pos="372"/>
              </w:tabs>
              <w:autoSpaceDE w:val="0"/>
              <w:spacing w:after="0" w:line="240" w:lineRule="auto"/>
              <w:contextualSpacing/>
              <w:rPr>
                <w:rFonts w:ascii="Times New Roman" w:hAnsi="Times New Roman" w:cs="Times New Roman"/>
                <w:color w:val="000000" w:themeColor="text1"/>
                <w:sz w:val="22"/>
                <w:szCs w:val="22"/>
              </w:rPr>
            </w:pPr>
            <w:r w:rsidRPr="000E52FF">
              <w:rPr>
                <w:rFonts w:ascii="Times New Roman" w:hAnsi="Times New Roman" w:cs="Times New Roman"/>
                <w:color w:val="000000" w:themeColor="text1"/>
                <w:sz w:val="22"/>
                <w:szCs w:val="22"/>
              </w:rPr>
              <w:t>Čiužinio valdymas integruotas į multifunkcinį lovos valdymo skydelį integruotą galvūgalio dalies šoniniame apsauginiame rėme.</w:t>
            </w:r>
          </w:p>
          <w:p w14:paraId="0D55B3CB" w14:textId="77777777" w:rsidR="000E52FF" w:rsidRPr="000E52FF" w:rsidRDefault="000E52FF" w:rsidP="000E52FF">
            <w:pPr>
              <w:tabs>
                <w:tab w:val="left" w:pos="372"/>
              </w:tabs>
              <w:autoSpaceDE w:val="0"/>
              <w:spacing w:after="0" w:line="240" w:lineRule="auto"/>
              <w:contextualSpacing/>
              <w:rPr>
                <w:rFonts w:ascii="Times New Roman" w:hAnsi="Times New Roman" w:cs="Times New Roman"/>
                <w:color w:val="000000" w:themeColor="text1"/>
                <w:sz w:val="22"/>
                <w:szCs w:val="22"/>
              </w:rPr>
            </w:pPr>
            <w:r w:rsidRPr="000E52FF">
              <w:rPr>
                <w:rFonts w:ascii="Times New Roman" w:hAnsi="Times New Roman" w:cs="Times New Roman"/>
                <w:color w:val="000000" w:themeColor="text1"/>
                <w:sz w:val="22"/>
                <w:szCs w:val="22"/>
              </w:rPr>
              <w:t xml:space="preserve">Galima valdyti: </w:t>
            </w:r>
          </w:p>
          <w:p w14:paraId="2BDF325D" w14:textId="77777777" w:rsidR="000E52FF" w:rsidRPr="000E52FF" w:rsidRDefault="000E52FF" w:rsidP="000E52FF">
            <w:pPr>
              <w:pStyle w:val="Sraopastraipa"/>
              <w:numPr>
                <w:ilvl w:val="0"/>
                <w:numId w:val="45"/>
              </w:numPr>
              <w:tabs>
                <w:tab w:val="left" w:pos="372"/>
              </w:tabs>
              <w:autoSpaceDE w:val="0"/>
              <w:spacing w:after="0" w:line="240" w:lineRule="auto"/>
              <w:rPr>
                <w:rFonts w:ascii="Times New Roman" w:hAnsi="Times New Roman" w:cs="Times New Roman"/>
                <w:color w:val="000000" w:themeColor="text1"/>
                <w:sz w:val="22"/>
                <w:szCs w:val="22"/>
              </w:rPr>
            </w:pPr>
            <w:r w:rsidRPr="000E52FF">
              <w:rPr>
                <w:rFonts w:ascii="Times New Roman" w:hAnsi="Times New Roman" w:cs="Times New Roman"/>
                <w:color w:val="000000" w:themeColor="text1"/>
                <w:sz w:val="22"/>
                <w:szCs w:val="22"/>
              </w:rPr>
              <w:t xml:space="preserve"> Čiužinio veikimo rėžimą.</w:t>
            </w:r>
          </w:p>
          <w:p w14:paraId="2C9BD56E" w14:textId="77777777" w:rsidR="000E52FF" w:rsidRPr="000E52FF" w:rsidRDefault="000E52FF" w:rsidP="000E52FF">
            <w:pPr>
              <w:pStyle w:val="Sraopastraipa"/>
              <w:numPr>
                <w:ilvl w:val="0"/>
                <w:numId w:val="45"/>
              </w:numPr>
              <w:tabs>
                <w:tab w:val="left" w:pos="372"/>
              </w:tabs>
              <w:autoSpaceDE w:val="0"/>
              <w:spacing w:after="0" w:line="240" w:lineRule="auto"/>
              <w:rPr>
                <w:rFonts w:ascii="Times New Roman" w:hAnsi="Times New Roman" w:cs="Times New Roman"/>
                <w:bCs/>
                <w:color w:val="000000" w:themeColor="text1"/>
                <w:sz w:val="22"/>
                <w:szCs w:val="22"/>
              </w:rPr>
            </w:pPr>
            <w:r w:rsidRPr="000E52FF">
              <w:rPr>
                <w:rFonts w:ascii="Times New Roman" w:hAnsi="Times New Roman" w:cs="Times New Roman"/>
                <w:color w:val="000000" w:themeColor="text1"/>
                <w:sz w:val="22"/>
                <w:szCs w:val="22"/>
              </w:rPr>
              <w:t xml:space="preserve"> Slėgio valdymo mygtukai.</w:t>
            </w:r>
          </w:p>
          <w:p w14:paraId="5CBA9CD9" w14:textId="66FBB9F8" w:rsidR="000E52FF" w:rsidRPr="000E52FF" w:rsidRDefault="000E52FF" w:rsidP="000E52FF">
            <w:pPr>
              <w:pStyle w:val="Sraopastraipa"/>
              <w:numPr>
                <w:ilvl w:val="0"/>
                <w:numId w:val="45"/>
              </w:numPr>
              <w:tabs>
                <w:tab w:val="left" w:pos="372"/>
              </w:tabs>
              <w:autoSpaceDE w:val="0"/>
              <w:spacing w:after="0" w:line="240" w:lineRule="auto"/>
              <w:rPr>
                <w:rFonts w:ascii="Times New Roman" w:hAnsi="Times New Roman" w:cs="Times New Roman"/>
                <w:sz w:val="22"/>
                <w:szCs w:val="22"/>
                <w:lang w:val="en-US"/>
              </w:rPr>
            </w:pPr>
            <w:r w:rsidRPr="000E52FF">
              <w:rPr>
                <w:rFonts w:ascii="Times New Roman" w:hAnsi="Times New Roman" w:cs="Times New Roman"/>
                <w:color w:val="000000" w:themeColor="text1"/>
                <w:sz w:val="22"/>
                <w:szCs w:val="22"/>
              </w:rPr>
              <w:t xml:space="preserve"> Multifunkcinio pulto ekrane rodoma</w:t>
            </w:r>
            <w:r>
              <w:rPr>
                <w:rFonts w:ascii="Times New Roman" w:hAnsi="Times New Roman" w:cs="Times New Roman"/>
                <w:color w:val="000000" w:themeColor="text1"/>
                <w:sz w:val="22"/>
                <w:szCs w:val="22"/>
              </w:rPr>
              <w:t>s</w:t>
            </w:r>
            <w:r w:rsidRPr="000E52FF">
              <w:rPr>
                <w:rFonts w:ascii="Times New Roman" w:hAnsi="Times New Roman" w:cs="Times New Roman"/>
                <w:color w:val="000000" w:themeColor="text1"/>
                <w:sz w:val="22"/>
                <w:szCs w:val="22"/>
              </w:rPr>
              <w:t xml:space="preserve"> čiužinio slėgis, rėžimas.</w:t>
            </w:r>
          </w:p>
        </w:tc>
        <w:tc>
          <w:tcPr>
            <w:tcW w:w="570" w:type="pct"/>
            <w:vAlign w:val="center"/>
          </w:tcPr>
          <w:p w14:paraId="7E20274A"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Statinis:</w:t>
            </w:r>
          </w:p>
          <w:p w14:paraId="329048C1"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(taip/ne)</w:t>
            </w:r>
          </w:p>
        </w:tc>
        <w:tc>
          <w:tcPr>
            <w:tcW w:w="498" w:type="pct"/>
            <w:vAlign w:val="center"/>
          </w:tcPr>
          <w:p w14:paraId="6443EC27" w14:textId="1C45B7DA"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sidRPr="000E52FF">
              <w:rPr>
                <w:rFonts w:ascii="Times New Roman" w:hAnsi="Times New Roman" w:cs="Times New Roman"/>
                <w:sz w:val="22"/>
                <w:szCs w:val="22"/>
                <w:vertAlign w:val="subscript"/>
                <w:lang w:val="en-US"/>
              </w:rPr>
              <w:t>4</w:t>
            </w:r>
            <w:r w:rsidRPr="00143801">
              <w:rPr>
                <w:rFonts w:ascii="Times New Roman" w:hAnsi="Times New Roman" w:cs="Times New Roman"/>
                <w:sz w:val="22"/>
                <w:szCs w:val="22"/>
                <w:lang w:val="en-US"/>
              </w:rPr>
              <w:t xml:space="preserve"> = </w:t>
            </w:r>
            <w:r>
              <w:rPr>
                <w:rFonts w:ascii="Times New Roman" w:hAnsi="Times New Roman" w:cs="Times New Roman"/>
                <w:sz w:val="22"/>
                <w:szCs w:val="22"/>
                <w:lang w:val="en-US"/>
              </w:rPr>
              <w:t>5</w:t>
            </w:r>
          </w:p>
        </w:tc>
        <w:tc>
          <w:tcPr>
            <w:tcW w:w="1157" w:type="pct"/>
            <w:vAlign w:val="center"/>
          </w:tcPr>
          <w:p w14:paraId="1CC77E6B" w14:textId="77777777" w:rsidR="000E52FF" w:rsidRPr="00143801" w:rsidRDefault="000E52FF" w:rsidP="000E52FF">
            <w:pPr>
              <w:spacing w:after="0" w:line="240" w:lineRule="auto"/>
              <w:rPr>
                <w:rFonts w:ascii="Times New Roman" w:hAnsi="Times New Roman" w:cs="Times New Roman"/>
                <w:sz w:val="22"/>
                <w:szCs w:val="22"/>
                <w:lang w:val="en-US"/>
              </w:rPr>
            </w:pPr>
          </w:p>
        </w:tc>
      </w:tr>
      <w:tr w:rsidR="000E52FF" w:rsidRPr="00143801" w14:paraId="3D3ED3B8" w14:textId="77777777" w:rsidTr="00EB436D">
        <w:trPr>
          <w:trHeight w:val="295"/>
          <w:jc w:val="center"/>
        </w:trPr>
        <w:tc>
          <w:tcPr>
            <w:tcW w:w="283" w:type="pct"/>
            <w:vAlign w:val="center"/>
          </w:tcPr>
          <w:p w14:paraId="3FC90450" w14:textId="0075B643" w:rsidR="000E52FF" w:rsidRPr="00143801" w:rsidRDefault="000E52FF" w:rsidP="000E52FF">
            <w:pPr>
              <w:spacing w:after="0" w:line="240" w:lineRule="auto"/>
              <w:rPr>
                <w:rFonts w:ascii="Times New Roman" w:hAnsi="Times New Roman" w:cs="Times New Roman"/>
                <w:sz w:val="22"/>
                <w:szCs w:val="22"/>
                <w:lang w:val="en-US"/>
              </w:rPr>
            </w:pPr>
            <w:r>
              <w:rPr>
                <w:rFonts w:ascii="Times New Roman" w:hAnsi="Times New Roman" w:cs="Times New Roman"/>
                <w:sz w:val="22"/>
                <w:szCs w:val="22"/>
                <w:lang w:val="en-US"/>
              </w:rPr>
              <w:t>T5</w:t>
            </w:r>
          </w:p>
        </w:tc>
        <w:tc>
          <w:tcPr>
            <w:tcW w:w="2490" w:type="pct"/>
          </w:tcPr>
          <w:p w14:paraId="1DB74582" w14:textId="3AF751D3" w:rsidR="000E52FF" w:rsidRPr="000E52FF" w:rsidRDefault="000E52FF" w:rsidP="000E52FF">
            <w:pPr>
              <w:spacing w:after="0" w:line="240" w:lineRule="auto"/>
              <w:rPr>
                <w:rFonts w:ascii="Times New Roman" w:hAnsi="Times New Roman" w:cs="Times New Roman"/>
                <w:sz w:val="22"/>
                <w:szCs w:val="22"/>
              </w:rPr>
            </w:pPr>
            <w:r w:rsidRPr="000E52FF">
              <w:rPr>
                <w:rFonts w:ascii="Times New Roman" w:hAnsi="Times New Roman" w:cs="Times New Roman"/>
                <w:color w:val="000000" w:themeColor="text1"/>
                <w:sz w:val="22"/>
                <w:szCs w:val="22"/>
              </w:rPr>
              <w:t>Garantinio aptarnavimo laikotarpis ne mažiau nei 36 mėn</w:t>
            </w:r>
            <w:r>
              <w:rPr>
                <w:rFonts w:ascii="Times New Roman" w:hAnsi="Times New Roman" w:cs="Times New Roman"/>
                <w:color w:val="000000" w:themeColor="text1"/>
                <w:sz w:val="22"/>
                <w:szCs w:val="22"/>
              </w:rPr>
              <w:t>.</w:t>
            </w:r>
          </w:p>
        </w:tc>
        <w:tc>
          <w:tcPr>
            <w:tcW w:w="570" w:type="pct"/>
            <w:vAlign w:val="center"/>
          </w:tcPr>
          <w:p w14:paraId="32EE60B1" w14:textId="77777777"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Statinis:</w:t>
            </w:r>
          </w:p>
          <w:p w14:paraId="1AF25AE7" w14:textId="7E003892"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(taip/ne)</w:t>
            </w:r>
          </w:p>
        </w:tc>
        <w:tc>
          <w:tcPr>
            <w:tcW w:w="498" w:type="pct"/>
            <w:vAlign w:val="center"/>
          </w:tcPr>
          <w:p w14:paraId="5E961F1E" w14:textId="6CBF640A" w:rsidR="000E52FF" w:rsidRPr="00143801" w:rsidRDefault="000E52FF" w:rsidP="000E52FF">
            <w:pPr>
              <w:spacing w:after="0" w:line="240" w:lineRule="auto"/>
              <w:jc w:val="center"/>
              <w:rPr>
                <w:rFonts w:ascii="Times New Roman" w:hAnsi="Times New Roman" w:cs="Times New Roman"/>
                <w:sz w:val="22"/>
                <w:szCs w:val="22"/>
                <w:lang w:val="en-US"/>
              </w:rPr>
            </w:pPr>
            <w:r w:rsidRPr="00143801">
              <w:rPr>
                <w:rFonts w:ascii="Times New Roman" w:hAnsi="Times New Roman" w:cs="Times New Roman"/>
                <w:sz w:val="22"/>
                <w:szCs w:val="22"/>
                <w:lang w:val="en-US"/>
              </w:rPr>
              <w:t>L</w:t>
            </w:r>
            <w:r>
              <w:rPr>
                <w:rFonts w:ascii="Times New Roman" w:hAnsi="Times New Roman" w:cs="Times New Roman"/>
                <w:sz w:val="22"/>
                <w:szCs w:val="22"/>
                <w:vertAlign w:val="subscript"/>
                <w:lang w:val="en-US"/>
              </w:rPr>
              <w:t>5</w:t>
            </w:r>
            <w:r w:rsidRPr="00143801">
              <w:rPr>
                <w:rFonts w:ascii="Times New Roman" w:hAnsi="Times New Roman" w:cs="Times New Roman"/>
                <w:sz w:val="22"/>
                <w:szCs w:val="22"/>
                <w:lang w:val="en-US"/>
              </w:rPr>
              <w:t xml:space="preserve"> = </w:t>
            </w:r>
            <w:r>
              <w:rPr>
                <w:rFonts w:ascii="Times New Roman" w:hAnsi="Times New Roman" w:cs="Times New Roman"/>
                <w:sz w:val="22"/>
                <w:szCs w:val="22"/>
                <w:lang w:val="en-US"/>
              </w:rPr>
              <w:t>10</w:t>
            </w:r>
          </w:p>
        </w:tc>
        <w:tc>
          <w:tcPr>
            <w:tcW w:w="1157" w:type="pct"/>
            <w:tcBorders>
              <w:bottom w:val="single" w:sz="4" w:space="0" w:color="auto"/>
            </w:tcBorders>
            <w:vAlign w:val="center"/>
          </w:tcPr>
          <w:p w14:paraId="40349B83" w14:textId="77777777" w:rsidR="000E52FF" w:rsidRPr="00143801" w:rsidRDefault="000E52FF" w:rsidP="000E52FF">
            <w:pPr>
              <w:spacing w:after="0" w:line="240" w:lineRule="auto"/>
              <w:rPr>
                <w:rFonts w:ascii="Times New Roman" w:hAnsi="Times New Roman" w:cs="Times New Roman"/>
                <w:sz w:val="22"/>
                <w:szCs w:val="22"/>
                <w:lang w:val="en-US"/>
              </w:rPr>
            </w:pPr>
          </w:p>
        </w:tc>
      </w:tr>
    </w:tbl>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33C793B"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EB436D" w:rsidRPr="00B76C48">
        <w:rPr>
          <w:rFonts w:ascii="Times New Roman" w:eastAsia="Calibri" w:hAnsi="Times New Roman" w:cs="Times New Roman"/>
          <w:b/>
          <w:bCs/>
          <w:color w:val="auto"/>
          <w:sz w:val="22"/>
          <w:szCs w:val="22"/>
        </w:rPr>
        <w:t>Sutarties projektas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bookmarkEnd w:id="67"/>
    <w:bookmarkEnd w:id="68"/>
    <w:bookmarkEnd w:id="69"/>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FA78CB" w:rsidRPr="00E43092" w:rsidSect="00967FE8">
      <w:footerReference w:type="first" r:id="rId27"/>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FE5F89">
      <w:pPr>
        <w:pStyle w:val="Puslapioinaostekstas"/>
        <w:numPr>
          <w:ilvl w:val="0"/>
          <w:numId w:val="36"/>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F431BD">
      <w:pPr>
        <w:pStyle w:val="Puslapioinaostekstas"/>
        <w:numPr>
          <w:ilvl w:val="0"/>
          <w:numId w:val="37"/>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4600F2">
      <w:pPr>
        <w:pStyle w:val="Puslapioinaostekstas"/>
        <w:numPr>
          <w:ilvl w:val="0"/>
          <w:numId w:val="38"/>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2"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3"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7"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8"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9"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0"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857022"/>
    <w:multiLevelType w:val="hybridMultilevel"/>
    <w:tmpl w:val="207443BA"/>
    <w:lvl w:ilvl="0" w:tplc="FFFFFFFF">
      <w:start w:val="1"/>
      <w:numFmt w:val="lowerLetter"/>
      <w:lvlText w:val="%1)"/>
      <w:lvlJc w:val="left"/>
      <w:pPr>
        <w:ind w:left="141" w:firstLine="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3"/>
  </w:num>
  <w:num w:numId="2" w16cid:durableId="207184103">
    <w:abstractNumId w:val="7"/>
  </w:num>
  <w:num w:numId="3" w16cid:durableId="1528367431">
    <w:abstractNumId w:val="29"/>
  </w:num>
  <w:num w:numId="4" w16cid:durableId="1484615006">
    <w:abstractNumId w:val="32"/>
  </w:num>
  <w:num w:numId="5" w16cid:durableId="607934237">
    <w:abstractNumId w:val="22"/>
  </w:num>
  <w:num w:numId="6" w16cid:durableId="1759206832">
    <w:abstractNumId w:val="27"/>
  </w:num>
  <w:num w:numId="7" w16cid:durableId="408162091">
    <w:abstractNumId w:val="39"/>
  </w:num>
  <w:num w:numId="8" w16cid:durableId="412043720">
    <w:abstractNumId w:val="37"/>
  </w:num>
  <w:num w:numId="9" w16cid:durableId="1996449446">
    <w:abstractNumId w:val="36"/>
  </w:num>
  <w:num w:numId="10" w16cid:durableId="1318921492">
    <w:abstractNumId w:val="21"/>
  </w:num>
  <w:num w:numId="11" w16cid:durableId="182548654">
    <w:abstractNumId w:val="19"/>
  </w:num>
  <w:num w:numId="12" w16cid:durableId="1573735120">
    <w:abstractNumId w:val="17"/>
  </w:num>
  <w:num w:numId="13" w16cid:durableId="593629820">
    <w:abstractNumId w:val="18"/>
  </w:num>
  <w:num w:numId="14" w16cid:durableId="1086878064">
    <w:abstractNumId w:val="28"/>
  </w:num>
  <w:num w:numId="15" w16cid:durableId="601766584">
    <w:abstractNumId w:val="31"/>
  </w:num>
  <w:num w:numId="16" w16cid:durableId="1876188991">
    <w:abstractNumId w:val="15"/>
  </w:num>
  <w:num w:numId="17" w16cid:durableId="8837584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0"/>
  </w:num>
  <w:num w:numId="22" w16cid:durableId="1137794015">
    <w:abstractNumId w:val="9"/>
  </w:num>
  <w:num w:numId="23" w16cid:durableId="750396670">
    <w:abstractNumId w:val="11"/>
  </w:num>
  <w:num w:numId="24" w16cid:durableId="175846264">
    <w:abstractNumId w:val="12"/>
  </w:num>
  <w:num w:numId="25" w16cid:durableId="256329913">
    <w:abstractNumId w:val="24"/>
  </w:num>
  <w:num w:numId="26" w16cid:durableId="1237983620">
    <w:abstractNumId w:val="5"/>
  </w:num>
  <w:num w:numId="27" w16cid:durableId="1873491117">
    <w:abstractNumId w:val="23"/>
  </w:num>
  <w:num w:numId="28" w16cid:durableId="1053306223">
    <w:abstractNumId w:val="2"/>
  </w:num>
  <w:num w:numId="29" w16cid:durableId="326519142">
    <w:abstractNumId w:val="3"/>
  </w:num>
  <w:num w:numId="30" w16cid:durableId="2062433539">
    <w:abstractNumId w:val="25"/>
  </w:num>
  <w:num w:numId="31" w16cid:durableId="92303335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4"/>
  </w:num>
  <w:num w:numId="34" w16cid:durableId="1503620051">
    <w:abstractNumId w:val="20"/>
  </w:num>
  <w:num w:numId="35" w16cid:durableId="1789858266">
    <w:abstractNumId w:val="35"/>
  </w:num>
  <w:num w:numId="36" w16cid:durableId="494614562">
    <w:abstractNumId w:val="30"/>
  </w:num>
  <w:num w:numId="37" w16cid:durableId="1473055655">
    <w:abstractNumId w:val="33"/>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8"/>
  </w:num>
  <w:num w:numId="44" w16cid:durableId="571618851">
    <w:abstractNumId w:val="6"/>
  </w:num>
  <w:num w:numId="45" w16cid:durableId="821393151">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eur-lex.europa.eu/legal-content/LT/TXT/?uri=CELEX:32022R0576"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yperlink" Target="mailto:vida.sereikiene@kulig.lt" TargetMode="Externa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2.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4487</TotalTime>
  <Pages>20</Pages>
  <Words>29100</Words>
  <Characters>16588</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10</cp:revision>
  <dcterms:created xsi:type="dcterms:W3CDTF">2025-06-11T12:57:00Z</dcterms:created>
  <dcterms:modified xsi:type="dcterms:W3CDTF">2025-09-15T12:06:00Z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