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2C1C8B35" w:rsidR="00A12F2C" w:rsidRPr="00825E20" w:rsidRDefault="00AD4F7B" w:rsidP="00FE19F1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KRAUJO SURINKIMO IR GRĄŽINIMO ĮRANGOS</w:t>
      </w:r>
      <w:r w:rsidR="00FE1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2FD71048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AD4F7B">
        <w:rPr>
          <w:rFonts w:ascii="Times New Roman" w:eastAsia="Times New Roman" w:hAnsi="Times New Roman" w:cs="Times New Roman"/>
          <w:color w:val="000000"/>
        </w:rPr>
        <w:t>kraujo surinkimo ir grąžinimo įrangos</w:t>
      </w:r>
      <w:r w:rsidR="00FE19F1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227D52CF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AD4F7B">
        <w:rPr>
          <w:rFonts w:ascii="Times New Roman" w:eastAsia="Times New Roman" w:hAnsi="Times New Roman" w:cs="Times New Roman"/>
          <w:i/>
          <w:lang w:eastAsia="lt-LT"/>
        </w:rPr>
        <w:t xml:space="preserve">kraujo surinkimo ir grąžinimo įrangą. 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A12C920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6B449EC2" w:rsidR="00505923" w:rsidRPr="00C31902" w:rsidRDefault="00301F92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76B395A7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2E497C15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181D54" w:rsidRP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10BAFE23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1C4FC28E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įrangą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101F9591" w:rsidR="00505923" w:rsidRPr="00C31902" w:rsidRDefault="00505923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4E8E8DF2" w:rsidR="00251F8C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208FB181" w:rsidR="00251F8C" w:rsidRPr="00C31902" w:rsidRDefault="0088707A" w:rsidP="008A29D7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6763BD71" w:rsidR="00075EAA" w:rsidRPr="00C31902" w:rsidRDefault="00301F92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30B4BEDE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7A428376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Pirkėjas apmoka Pardavėjui už pristatytas prekes iš karto, ne vėliau kaip per 30 kalendorinių dienų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nuo sąskaitos faktūros ir Šalių pasirašyto prekių 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5F288821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Siūlomos prekės (įrangos) gamintojo pavadinimas, prekės modelis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2144A8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BE7BE9" w14:textId="3FD4D22F" w:rsidR="002144A8" w:rsidRDefault="00AD4F7B" w:rsidP="00FE19F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Kraujo surinkimo ir grąžinimo įranga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34C5478A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2144A8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156FC0C6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(įrangos)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260A8F67" w:rsidR="00FD21A1" w:rsidRPr="00C31902" w:rsidRDefault="00301F92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0E1FB72C" w:rsidR="0038321A" w:rsidRPr="00A65101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4" w:type="dxa"/>
            <w:vAlign w:val="center"/>
          </w:tcPr>
          <w:p w14:paraId="0E4EF5B6" w14:textId="00B5E996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6A9C6EAE" w14:textId="4ECF4AEA" w:rsidR="0038321A" w:rsidRDefault="00AD4F7B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part_dd718e0c7577455ea71069850f6d30aa"/>
            <w:bookmarkEnd w:id="0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 w:rsid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turi būti pateikiama naudojimo instrukcija (vartotojo vadovas) anglų ir lietuvių kalbomis (elektroninė versija).</w:t>
            </w:r>
          </w:p>
          <w:p w14:paraId="75A238E9" w14:textId="397AC995" w:rsidR="00EA3EB5" w:rsidRDefault="00AD4F7B" w:rsidP="00C31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</w:t>
            </w:r>
            <w:r w:rsidR="00EA3EB5" w:rsidRPr="00EA3EB5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EA3EB5">
              <w:rPr>
                <w:rFonts w:ascii="Times New Roman" w:hAnsi="Times New Roman" w:cs="Times New Roman"/>
                <w:sz w:val="21"/>
                <w:szCs w:val="21"/>
              </w:rPr>
              <w:t xml:space="preserve"> Tiekėjas įsipareigoja parengti mokymus perkančiosios organizacijos darbuotojams, kuriuose būtų aptarti įrangos elektros vartojimo efektyvumo didinimo aspektai (parametrų reguliavimas, tikslinimas, režimų parinkimas ir t.t.).</w:t>
            </w:r>
          </w:p>
          <w:p w14:paraId="4C4E1261" w14:textId="369422B6" w:rsidR="0038321A" w:rsidRPr="009611DB" w:rsidRDefault="0038321A" w:rsidP="0038321A">
            <w:pPr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522C5F3E" w:rsidR="0038321A" w:rsidRPr="0038321A" w:rsidRDefault="0038321A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4394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6700E3B8" w:rsidR="00505923" w:rsidRPr="0038321A" w:rsidRDefault="00B55087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D5171"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81D54"/>
    <w:rsid w:val="00182D2F"/>
    <w:rsid w:val="00192EFE"/>
    <w:rsid w:val="00192FF0"/>
    <w:rsid w:val="001A3699"/>
    <w:rsid w:val="001A42AF"/>
    <w:rsid w:val="001E4591"/>
    <w:rsid w:val="00211110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D4F7B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9604E"/>
    <w:rsid w:val="00EA3EB5"/>
    <w:rsid w:val="00EF03DF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19F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BD60-8D67-40CA-AFDE-74E33E78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2740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2</cp:revision>
  <cp:lastPrinted>2021-11-25T09:17:00Z</cp:lastPrinted>
  <dcterms:created xsi:type="dcterms:W3CDTF">2025-09-15T12:31:00Z</dcterms:created>
  <dcterms:modified xsi:type="dcterms:W3CDTF">2025-09-15T12:31:00Z</dcterms:modified>
</cp:coreProperties>
</file>