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4E213BF2" w:rsidR="00C74FA2" w:rsidRPr="00A737EE" w:rsidRDefault="00C74FA2" w:rsidP="006B09E8">
      <w:pPr>
        <w:tabs>
          <w:tab w:val="left" w:pos="3030"/>
        </w:tabs>
        <w:textAlignment w:val="center"/>
        <w:rPr>
          <w:rFonts w:ascii="Cambria" w:hAnsi="Cambria"/>
          <w:sz w:val="22"/>
          <w:szCs w:val="22"/>
        </w:rPr>
      </w:pPr>
      <w:bookmarkStart w:id="0" w:name="_GoBack"/>
      <w:bookmarkEnd w:id="0"/>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16D3F3D6" w:rsidR="00027B83" w:rsidRPr="00A737EE" w:rsidRDefault="00C771AC" w:rsidP="00426F91">
            <w:pPr>
              <w:jc w:val="both"/>
              <w:rPr>
                <w:rFonts w:ascii="Cambria" w:hAnsi="Cambria"/>
                <w:b/>
                <w:kern w:val="2"/>
                <w:sz w:val="22"/>
                <w:szCs w:val="22"/>
              </w:rPr>
            </w:pPr>
            <w:r>
              <w:rPr>
                <w:rFonts w:ascii="Cambria" w:hAnsi="Cambria"/>
                <w:b/>
                <w:kern w:val="2"/>
                <w:sz w:val="22"/>
                <w:szCs w:val="22"/>
              </w:rPr>
              <w:t>FARMAKOGENETINIŲ TYRIMŲ ATLIKIMO PASLAUGOS</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7EAAAF03"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proofErr w:type="spellStart"/>
            <w:r w:rsidR="00140A6B">
              <w:rPr>
                <w:rFonts w:ascii="Cambria" w:hAnsi="Cambria"/>
                <w:b/>
                <w:sz w:val="22"/>
                <w:szCs w:val="22"/>
                <w:lang w:eastAsia="lt-LT"/>
              </w:rPr>
              <w:t>farmakogenetinių</w:t>
            </w:r>
            <w:proofErr w:type="spellEnd"/>
            <w:r w:rsidR="00140A6B">
              <w:rPr>
                <w:rFonts w:ascii="Cambria" w:hAnsi="Cambria"/>
                <w:b/>
                <w:sz w:val="22"/>
                <w:szCs w:val="22"/>
                <w:lang w:eastAsia="lt-LT"/>
              </w:rPr>
              <w:t xml:space="preserve"> tyrimų atlikimo paslaugas</w:t>
            </w:r>
            <w:r w:rsidRPr="00A737EE">
              <w:rPr>
                <w:rFonts w:ascii="Cambria" w:hAnsi="Cambria"/>
                <w:b/>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2E8241A0" w:rsidR="00027B83" w:rsidRPr="00A737EE" w:rsidRDefault="00BD5DC1" w:rsidP="00BD5DC1">
            <w:pPr>
              <w:jc w:val="both"/>
              <w:rPr>
                <w:rFonts w:ascii="Cambria" w:hAnsi="Cambria"/>
                <w:kern w:val="2"/>
                <w:sz w:val="22"/>
                <w:szCs w:val="22"/>
              </w:rPr>
            </w:pPr>
            <w:r>
              <w:rPr>
                <w:rFonts w:ascii="Cambria" w:hAnsi="Cambria"/>
                <w:kern w:val="2"/>
                <w:sz w:val="22"/>
                <w:szCs w:val="22"/>
              </w:rPr>
              <w:t xml:space="preserve">Atviras konkursas </w:t>
            </w:r>
            <w:r w:rsidR="0026213D" w:rsidRPr="00A737EE">
              <w:rPr>
                <w:rFonts w:ascii="Cambria" w:hAnsi="Cambria"/>
                <w:kern w:val="2"/>
                <w:sz w:val="22"/>
                <w:szCs w:val="22"/>
              </w:rPr>
              <w:t>„</w:t>
            </w:r>
            <w:proofErr w:type="spellStart"/>
            <w:r>
              <w:rPr>
                <w:rFonts w:ascii="Cambria" w:hAnsi="Cambria"/>
                <w:kern w:val="2"/>
                <w:sz w:val="22"/>
                <w:szCs w:val="22"/>
              </w:rPr>
              <w:t>Farmakogen</w:t>
            </w:r>
            <w:r w:rsidR="00C765CD">
              <w:rPr>
                <w:rFonts w:ascii="Cambria" w:hAnsi="Cambria"/>
                <w:kern w:val="2"/>
                <w:sz w:val="22"/>
                <w:szCs w:val="22"/>
              </w:rPr>
              <w:t>e</w:t>
            </w:r>
            <w:r>
              <w:rPr>
                <w:rFonts w:ascii="Cambria" w:hAnsi="Cambria"/>
                <w:kern w:val="2"/>
                <w:sz w:val="22"/>
                <w:szCs w:val="22"/>
              </w:rPr>
              <w:t>tenių</w:t>
            </w:r>
            <w:proofErr w:type="spellEnd"/>
            <w:r>
              <w:rPr>
                <w:rFonts w:ascii="Cambria" w:hAnsi="Cambria"/>
                <w:kern w:val="2"/>
                <w:sz w:val="22"/>
                <w:szCs w:val="22"/>
              </w:rPr>
              <w:t xml:space="preserve"> tyrimų atlikimo paslaugos</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6B6FFF">
        <w:trPr>
          <w:trHeight w:val="3776"/>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7ABC6E24" w14:textId="524259A7" w:rsidR="00BD5DC1" w:rsidRPr="000D32F1" w:rsidRDefault="00BD5DC1" w:rsidP="00BD5DC1">
            <w:pPr>
              <w:jc w:val="both"/>
              <w:rPr>
                <w:rFonts w:ascii="Cambria" w:hAnsi="Cambria"/>
                <w:noProof/>
                <w:sz w:val="22"/>
                <w:szCs w:val="22"/>
              </w:rPr>
            </w:pPr>
            <w:r w:rsidRPr="000D32F1">
              <w:rPr>
                <w:rFonts w:ascii="Cambria" w:hAnsi="Cambria"/>
                <w:sz w:val="22"/>
                <w:szCs w:val="22"/>
              </w:rPr>
              <w:t xml:space="preserve">Šalys Sutaria, kad </w:t>
            </w:r>
            <w:r w:rsidRPr="000D32F1">
              <w:rPr>
                <w:rFonts w:ascii="Cambria" w:hAnsi="Cambria"/>
                <w:noProof/>
                <w:sz w:val="22"/>
                <w:szCs w:val="22"/>
              </w:rPr>
              <w:t xml:space="preserve">už  Ėminių surinkimą ir </w:t>
            </w:r>
            <w:r w:rsidR="000D32F1" w:rsidRPr="000D32F1">
              <w:rPr>
                <w:rFonts w:ascii="Cambria" w:hAnsi="Cambria"/>
                <w:noProof/>
                <w:sz w:val="22"/>
                <w:szCs w:val="22"/>
              </w:rPr>
              <w:t xml:space="preserve">paruošimą transportavimui yra </w:t>
            </w:r>
            <w:r w:rsidRPr="000D32F1">
              <w:rPr>
                <w:rFonts w:ascii="Cambria" w:hAnsi="Cambria"/>
                <w:noProof/>
                <w:sz w:val="22"/>
                <w:szCs w:val="22"/>
              </w:rPr>
              <w:t xml:space="preserve">atsakingas Pirkėjas. </w:t>
            </w:r>
          </w:p>
          <w:p w14:paraId="29DA5F54" w14:textId="43E916C9" w:rsidR="00BD5DC1" w:rsidRPr="000D32F1" w:rsidRDefault="00BD5DC1" w:rsidP="00BD5DC1">
            <w:pPr>
              <w:jc w:val="both"/>
              <w:rPr>
                <w:rFonts w:ascii="Cambria" w:hAnsi="Cambria"/>
                <w:noProof/>
                <w:sz w:val="22"/>
                <w:szCs w:val="22"/>
              </w:rPr>
            </w:pPr>
            <w:r w:rsidRPr="000D32F1">
              <w:rPr>
                <w:rFonts w:ascii="Cambria" w:hAnsi="Cambria"/>
                <w:noProof/>
                <w:sz w:val="22"/>
                <w:szCs w:val="22"/>
              </w:rPr>
              <w:t>Ėminiai surenkami ir paruošiami transportavimui Pirkėjo patalpose adresu Eivenų 2, Kaunas</w:t>
            </w:r>
            <w:r w:rsidRPr="001B795C">
              <w:rPr>
                <w:rStyle w:val="Hyperlink"/>
                <w:rFonts w:ascii="Cambria" w:hAnsi="Cambria"/>
                <w:color w:val="auto"/>
                <w:sz w:val="22"/>
                <w:szCs w:val="22"/>
                <w:u w:val="none"/>
              </w:rPr>
              <w:t xml:space="preserve">. </w:t>
            </w:r>
            <w:r w:rsidRPr="000D32F1">
              <w:rPr>
                <w:rFonts w:ascii="Cambria" w:hAnsi="Cambria"/>
                <w:sz w:val="22"/>
                <w:szCs w:val="22"/>
                <w:shd w:val="clear" w:color="auto" w:fill="FFFFFF"/>
              </w:rPr>
              <w:t>Paslaugos teikėjas pasiima mėginius per 24 val. nuo užsakymo gavimo.</w:t>
            </w:r>
          </w:p>
          <w:p w14:paraId="3987E3EC" w14:textId="30204E2D" w:rsidR="00BD5DC1" w:rsidRPr="000D32F1" w:rsidRDefault="00BD5DC1" w:rsidP="00BD5DC1">
            <w:pPr>
              <w:jc w:val="both"/>
              <w:rPr>
                <w:rFonts w:ascii="Cambria" w:hAnsi="Cambria"/>
                <w:noProof/>
                <w:sz w:val="22"/>
                <w:szCs w:val="22"/>
              </w:rPr>
            </w:pPr>
            <w:r w:rsidRPr="000D32F1">
              <w:rPr>
                <w:rFonts w:ascii="Cambria" w:hAnsi="Cambria"/>
                <w:noProof/>
                <w:sz w:val="22"/>
                <w:szCs w:val="22"/>
              </w:rPr>
              <w:t xml:space="preserve">Paslaugos teikėjo laboratorijoje atliktų Ėminių tyrimo rezultatai t.y., tyrimo ataskaita  </w:t>
            </w:r>
            <w:r w:rsidR="000D32F1" w:rsidRPr="000D32F1">
              <w:rPr>
                <w:rFonts w:ascii="Cambria" w:hAnsi="Cambria"/>
                <w:noProof/>
                <w:sz w:val="22"/>
                <w:szCs w:val="22"/>
              </w:rPr>
              <w:t>su apsaugotu slaptažodžiu pateikiami</w:t>
            </w:r>
            <w:r w:rsidRPr="000D32F1">
              <w:rPr>
                <w:rFonts w:ascii="Cambria" w:hAnsi="Cambria"/>
                <w:noProof/>
                <w:sz w:val="22"/>
                <w:szCs w:val="22"/>
              </w:rPr>
              <w:t xml:space="preserve"> Pirkėjui elektroniniu paštu </w:t>
            </w:r>
            <w:hyperlink r:id="rId10" w:history="1">
              <w:r w:rsidR="000D32F1" w:rsidRPr="000D32F1">
                <w:rPr>
                  <w:rStyle w:val="Hyperlink"/>
                  <w:rFonts w:ascii="Cambria" w:hAnsi="Cambria"/>
                  <w:noProof/>
                  <w:sz w:val="22"/>
                  <w:szCs w:val="22"/>
                </w:rPr>
                <w:t>gmmklinika@kaunoklinikos.lt</w:t>
              </w:r>
            </w:hyperlink>
            <w:r w:rsidR="000D32F1" w:rsidRPr="000D32F1">
              <w:rPr>
                <w:rFonts w:ascii="Cambria" w:hAnsi="Cambria"/>
                <w:noProof/>
                <w:sz w:val="22"/>
                <w:szCs w:val="22"/>
              </w:rPr>
              <w:t xml:space="preserve"> arba tiekėjo internetiniame portale, prisijungus su individualiu paskirtu slaptažodžiu. </w:t>
            </w:r>
          </w:p>
          <w:p w14:paraId="21B97944" w14:textId="4623DE15" w:rsidR="00BD5DC1" w:rsidRPr="000D32F1" w:rsidRDefault="000D32F1" w:rsidP="00BD5DC1">
            <w:pPr>
              <w:jc w:val="both"/>
              <w:rPr>
                <w:rFonts w:ascii="Cambria" w:hAnsi="Cambria"/>
                <w:sz w:val="22"/>
                <w:szCs w:val="22"/>
                <w:highlight w:val="yellow"/>
              </w:rPr>
            </w:pPr>
            <w:r w:rsidRPr="000D32F1">
              <w:rPr>
                <w:rFonts w:ascii="Cambria" w:hAnsi="Cambria"/>
                <w:noProof/>
                <w:sz w:val="22"/>
                <w:szCs w:val="22"/>
              </w:rPr>
              <w:t>Paslaugos Teikėjo t</w:t>
            </w:r>
            <w:r w:rsidR="00BD5DC1" w:rsidRPr="000D32F1">
              <w:rPr>
                <w:rFonts w:ascii="Cambria" w:hAnsi="Cambria"/>
                <w:noProof/>
                <w:sz w:val="22"/>
                <w:szCs w:val="22"/>
              </w:rPr>
              <w:t>yrimo ataskaitoje pateikiama informacija skirta</w:t>
            </w:r>
            <w:r w:rsidRPr="000D32F1">
              <w:rPr>
                <w:rFonts w:ascii="Cambria" w:hAnsi="Cambria"/>
                <w:noProof/>
                <w:sz w:val="22"/>
                <w:szCs w:val="22"/>
              </w:rPr>
              <w:t xml:space="preserve"> pacientui ir</w:t>
            </w:r>
            <w:r w:rsidR="00BD5DC1" w:rsidRPr="000D32F1">
              <w:rPr>
                <w:rFonts w:ascii="Cambria" w:hAnsi="Cambria"/>
                <w:noProof/>
                <w:sz w:val="22"/>
                <w:szCs w:val="22"/>
              </w:rPr>
              <w:t xml:space="preserve"> gydytojui, kuris pagal gautus duomenis gali parinkti ir skirti medikamentus bei tolesnį gydymą pacientui. Tyrimų rezultatai pateikiami ne vėliau kaip per 30 (trisdešimt) dienų nuo ėminių paėmimo datos.</w:t>
            </w:r>
          </w:p>
          <w:p w14:paraId="360B3426" w14:textId="72890ED3" w:rsidR="0026213D" w:rsidRPr="00BD5DC1" w:rsidRDefault="0026213D" w:rsidP="00622BA3">
            <w:pPr>
              <w:jc w:val="both"/>
              <w:rPr>
                <w:rFonts w:ascii="Cambria" w:hAnsi="Cambria"/>
                <w:sz w:val="22"/>
                <w:szCs w:val="22"/>
                <w:highlight w:val="yellow"/>
              </w:rPr>
            </w:pPr>
            <w:r w:rsidRPr="00BD5DC1">
              <w:rPr>
                <w:rFonts w:ascii="Cambria" w:hAnsi="Cambria"/>
                <w:sz w:val="22"/>
                <w:szCs w:val="22"/>
                <w:highlight w:val="yellow"/>
              </w:rPr>
              <w:t xml:space="preserve"> </w:t>
            </w:r>
          </w:p>
          <w:p w14:paraId="66DC7017" w14:textId="77777777" w:rsidR="0026213D" w:rsidRPr="00682751" w:rsidRDefault="0026213D" w:rsidP="00622BA3">
            <w:pPr>
              <w:jc w:val="both"/>
              <w:rPr>
                <w:rFonts w:ascii="Cambria" w:hAnsi="Cambria"/>
                <w:sz w:val="22"/>
                <w:szCs w:val="22"/>
              </w:rPr>
            </w:pPr>
            <w:r w:rsidRPr="00682751">
              <w:rPr>
                <w:rFonts w:ascii="Cambria" w:hAnsi="Cambria"/>
                <w:sz w:val="22"/>
                <w:szCs w:val="22"/>
              </w:rPr>
              <w:t xml:space="preserve">Paslaugų teikėjas Sutarties specialiųjų sąlygų 3.1 punkte </w:t>
            </w:r>
          </w:p>
          <w:p w14:paraId="31C51DD7" w14:textId="372F38DC" w:rsidR="00682751" w:rsidRPr="00A737EE" w:rsidRDefault="0026213D" w:rsidP="00682751">
            <w:pPr>
              <w:jc w:val="both"/>
              <w:rPr>
                <w:rFonts w:ascii="Cambria" w:hAnsi="Cambria"/>
                <w:color w:val="4472C4"/>
                <w:sz w:val="22"/>
                <w:szCs w:val="22"/>
              </w:rPr>
            </w:pPr>
            <w:r w:rsidRPr="00682751">
              <w:rPr>
                <w:rFonts w:ascii="Cambria" w:hAnsi="Cambria"/>
                <w:sz w:val="22"/>
                <w:szCs w:val="22"/>
              </w:rPr>
              <w:t>nurodytas Paslaugas</w:t>
            </w:r>
            <w:r w:rsidRPr="00682751">
              <w:rPr>
                <w:rFonts w:ascii="Cambria" w:hAnsi="Cambria"/>
                <w:sz w:val="22"/>
                <w:szCs w:val="22"/>
                <w:lang w:eastAsia="lt-LT"/>
              </w:rPr>
              <w:t xml:space="preserve"> bei su tuo susijusias patirtas išlaidas (siuntos apmokėjimą, muitinimą</w:t>
            </w:r>
            <w:r w:rsidR="00524CFA" w:rsidRPr="00682751">
              <w:rPr>
                <w:rFonts w:ascii="Cambria" w:hAnsi="Cambria"/>
                <w:sz w:val="22"/>
                <w:szCs w:val="22"/>
                <w:lang w:eastAsia="lt-LT"/>
              </w:rPr>
              <w:t xml:space="preserve">, duomenų apdorojimą, </w:t>
            </w:r>
            <w:r w:rsidR="003352F7">
              <w:rPr>
                <w:rFonts w:ascii="Cambria" w:hAnsi="Cambria"/>
                <w:sz w:val="22"/>
                <w:szCs w:val="22"/>
                <w:lang w:eastAsia="lt-LT"/>
              </w:rPr>
              <w:t>aprašymų bei</w:t>
            </w:r>
            <w:r w:rsidR="00524CFA" w:rsidRPr="00682751">
              <w:rPr>
                <w:rFonts w:ascii="Cambria" w:hAnsi="Cambria"/>
                <w:sz w:val="22"/>
                <w:szCs w:val="22"/>
                <w:lang w:eastAsia="lt-LT"/>
              </w:rPr>
              <w:t xml:space="preserve"> rezultatų pateikimą</w:t>
            </w:r>
            <w:r w:rsidR="00682751" w:rsidRPr="00682751">
              <w:rPr>
                <w:rFonts w:ascii="Cambria" w:hAnsi="Cambria"/>
                <w:sz w:val="22"/>
                <w:szCs w:val="22"/>
                <w:lang w:eastAsia="lt-LT"/>
              </w:rPr>
              <w:t>,</w:t>
            </w:r>
            <w:r w:rsidR="00524CFA" w:rsidRPr="00682751">
              <w:rPr>
                <w:rFonts w:ascii="Cambria" w:hAnsi="Cambria"/>
                <w:sz w:val="22"/>
                <w:szCs w:val="22"/>
                <w:lang w:eastAsia="lt-LT"/>
              </w:rPr>
              <w:t xml:space="preserve"> transportavim</w:t>
            </w:r>
            <w:r w:rsidR="00216B9B" w:rsidRPr="00682751">
              <w:rPr>
                <w:rFonts w:ascii="Cambria" w:hAnsi="Cambria"/>
                <w:sz w:val="22"/>
                <w:szCs w:val="22"/>
                <w:lang w:eastAsia="lt-LT"/>
              </w:rPr>
              <w:t>o išlaidas</w:t>
            </w:r>
            <w:r w:rsidR="00682751" w:rsidRPr="00682751">
              <w:rPr>
                <w:rFonts w:ascii="Cambria" w:hAnsi="Cambria"/>
                <w:sz w:val="22"/>
                <w:szCs w:val="22"/>
                <w:lang w:eastAsia="lt-LT"/>
              </w:rPr>
              <w:t xml:space="preserve"> ir kt.</w:t>
            </w:r>
            <w:r w:rsidRPr="00682751">
              <w:rPr>
                <w:rFonts w:ascii="Cambria" w:hAnsi="Cambria"/>
                <w:sz w:val="22"/>
                <w:szCs w:val="22"/>
                <w:lang w:eastAsia="lt-LT"/>
              </w:rPr>
              <w:t>)</w:t>
            </w:r>
            <w:r w:rsidRPr="00682751">
              <w:rPr>
                <w:rFonts w:ascii="Cambria" w:hAnsi="Cambria"/>
                <w:iCs/>
                <w:noProof/>
                <w:sz w:val="22"/>
                <w:szCs w:val="22"/>
                <w:lang w:eastAsia="ar-SA"/>
              </w:rPr>
              <w:t xml:space="preserve"> </w:t>
            </w:r>
            <w:r w:rsidRPr="00682751">
              <w:rPr>
                <w:rFonts w:ascii="Cambria" w:hAnsi="Cambria"/>
                <w:sz w:val="22"/>
                <w:szCs w:val="22"/>
              </w:rPr>
              <w:t xml:space="preserve"> suteiks savo sąskaita. </w:t>
            </w:r>
          </w:p>
          <w:p w14:paraId="36B51A80" w14:textId="06E96643" w:rsidR="00027B83" w:rsidRPr="00A737EE" w:rsidRDefault="00027B83" w:rsidP="00C35392">
            <w:pPr>
              <w:jc w:val="both"/>
              <w:rPr>
                <w:rFonts w:ascii="Cambria" w:hAnsi="Cambria"/>
                <w:color w:val="4472C4"/>
                <w:sz w:val="22"/>
                <w:szCs w:val="22"/>
              </w:rPr>
            </w:pP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1" w:name="_Hlk192055051"/>
            <w:r w:rsidRPr="00A737EE">
              <w:rPr>
                <w:rFonts w:ascii="Cambria" w:hAnsi="Cambria"/>
                <w:sz w:val="22"/>
                <w:szCs w:val="22"/>
                <w:lang w:eastAsia="lt-LT"/>
              </w:rPr>
              <w:t>Užsakymas paslaugai teikiamas sutartyje nurodytu Paslaugos tiekėjo elektroniniu paštu ir laikomas gaut</w:t>
            </w:r>
            <w:bookmarkEnd w:id="1"/>
            <w:r w:rsidRPr="00A737EE">
              <w:rPr>
                <w:rFonts w:ascii="Cambria" w:hAnsi="Cambria"/>
                <w:sz w:val="22"/>
                <w:szCs w:val="22"/>
                <w:lang w:eastAsia="lt-LT"/>
              </w:rPr>
              <w:t>u sekančią darbo dieną.</w:t>
            </w:r>
          </w:p>
        </w:tc>
      </w:tr>
      <w:tr w:rsidR="00027B83" w:rsidRPr="00A737EE"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3D52FA0E" w:rsidR="00FD40C3"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p w14:paraId="01F88F05" w14:textId="77777777" w:rsidR="00FD40C3" w:rsidRPr="00FD40C3" w:rsidRDefault="00FD40C3" w:rsidP="00FD40C3">
            <w:pPr>
              <w:rPr>
                <w:rFonts w:ascii="Cambria" w:hAnsi="Cambria"/>
                <w:sz w:val="22"/>
                <w:szCs w:val="22"/>
              </w:rPr>
            </w:pPr>
          </w:p>
          <w:p w14:paraId="2F37E0DC" w14:textId="77777777" w:rsidR="00FD40C3" w:rsidRPr="00FD40C3" w:rsidRDefault="00FD40C3" w:rsidP="00FD40C3">
            <w:pPr>
              <w:rPr>
                <w:rFonts w:ascii="Cambria" w:hAnsi="Cambria"/>
                <w:sz w:val="22"/>
                <w:szCs w:val="22"/>
              </w:rPr>
            </w:pPr>
          </w:p>
          <w:p w14:paraId="0C7C4AD3" w14:textId="7851FDEA" w:rsidR="00027B83" w:rsidRPr="00FD40C3" w:rsidRDefault="00027B83" w:rsidP="00FD40C3">
            <w:pPr>
              <w:rPr>
                <w:rFonts w:ascii="Cambria" w:hAnsi="Cambria"/>
                <w:sz w:val="22"/>
                <w:szCs w:val="22"/>
              </w:rPr>
            </w:pP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107601C7" w14:textId="63633B73" w:rsidR="0026213D" w:rsidRPr="00A737EE" w:rsidRDefault="0026213D" w:rsidP="0026213D">
            <w:pPr>
              <w:rPr>
                <w:rFonts w:ascii="Cambria" w:hAnsi="Cambria"/>
                <w:sz w:val="22"/>
                <w:szCs w:val="22"/>
              </w:rPr>
            </w:pPr>
          </w:p>
          <w:p w14:paraId="76F216EF" w14:textId="5B27A864" w:rsidR="0026213D" w:rsidRPr="00A737EE" w:rsidRDefault="0026213D" w:rsidP="0026213D">
            <w:pPr>
              <w:rPr>
                <w:rFonts w:ascii="Cambria" w:hAnsi="Cambria"/>
                <w:sz w:val="22"/>
                <w:szCs w:val="22"/>
              </w:rPr>
            </w:pPr>
          </w:p>
          <w:p w14:paraId="0FC76D6F" w14:textId="79974F38" w:rsidR="00027B83" w:rsidRPr="00A737EE" w:rsidRDefault="00027B83" w:rsidP="0026213D">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lastRenderedPageBreak/>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lastRenderedPageBreak/>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w:t>
            </w:r>
            <w:r w:rsidRPr="00A737EE">
              <w:rPr>
                <w:rFonts w:ascii="Cambria" w:hAnsi="Cambria"/>
                <w:kern w:val="2"/>
                <w:sz w:val="22"/>
                <w:szCs w:val="22"/>
                <w:shd w:val="clear" w:color="auto" w:fill="FFFFFF"/>
              </w:rPr>
              <w:lastRenderedPageBreak/>
              <w:t>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A51736"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lastRenderedPageBreak/>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382B074E" w14:textId="517CAD1D" w:rsidR="006F0803" w:rsidRPr="00FD40C3" w:rsidRDefault="006F0803" w:rsidP="00FD40C3">
            <w:pPr>
              <w:rPr>
                <w:rFonts w:ascii="Cambria" w:hAnsi="Cambria"/>
                <w:kern w:val="2"/>
                <w:sz w:val="22"/>
                <w:szCs w:val="22"/>
              </w:rPr>
            </w:pPr>
            <w:r w:rsidRPr="00A737EE">
              <w:rPr>
                <w:rFonts w:ascii="Cambria" w:hAnsi="Cambria"/>
                <w:kern w:val="2"/>
                <w:sz w:val="22"/>
                <w:szCs w:val="22"/>
              </w:rPr>
              <w:t>Netaikoma</w:t>
            </w: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3258F3A8" w14:textId="29764325"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6A115B7C" w:rsidR="006F0803" w:rsidRPr="00A737EE" w:rsidRDefault="00A264DE" w:rsidP="00622BA3">
            <w:pPr>
              <w:jc w:val="both"/>
              <w:rPr>
                <w:rFonts w:ascii="Cambria" w:hAnsi="Cambria"/>
                <w:kern w:val="2"/>
                <w:sz w:val="22"/>
                <w:szCs w:val="22"/>
              </w:rPr>
            </w:pPr>
            <w:r w:rsidRPr="00F96B93">
              <w:rPr>
                <w:rFonts w:ascii="Cambria" w:hAnsi="Cambria"/>
                <w:kern w:val="2"/>
                <w:sz w:val="22"/>
                <w:szCs w:val="22"/>
              </w:rPr>
              <w:t xml:space="preserve">Sutarties galiojimo metu nustačius Paslaugų trūkumų, Tiekėjas turi ne vėliau kaip per </w:t>
            </w:r>
            <w:r w:rsidRPr="00530C73">
              <w:rPr>
                <w:rFonts w:ascii="Cambria" w:hAnsi="Cambria"/>
                <w:b/>
                <w:kern w:val="2"/>
                <w:sz w:val="22"/>
                <w:szCs w:val="22"/>
              </w:rPr>
              <w:t>1 (viena) darbo diena</w:t>
            </w:r>
            <w:r w:rsidRPr="00530C73">
              <w:rPr>
                <w:rFonts w:ascii="Cambria" w:hAnsi="Cambria"/>
                <w:kern w:val="2"/>
                <w:sz w:val="22"/>
                <w:szCs w:val="22"/>
              </w:rPr>
              <w:t xml:space="preserve"> nuo</w:t>
            </w:r>
            <w:r w:rsidRPr="00F96B93">
              <w:rPr>
                <w:rFonts w:ascii="Cambria" w:hAnsi="Cambria"/>
                <w:kern w:val="2"/>
                <w:sz w:val="22"/>
                <w:szCs w:val="22"/>
              </w:rPr>
              <w:t xml:space="preserve"> rašytinės pretenzijos gavimo dienos pašalinti Paslaugų trūkumus.</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lastRenderedPageBreak/>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 xml:space="preserve">9.9. Tiekėjui taikoma bauda dėl Pirkėjo simbolių, </w:t>
            </w:r>
            <w:r w:rsidRPr="00A737EE">
              <w:rPr>
                <w:rFonts w:ascii="Cambria" w:hAnsi="Cambria"/>
                <w:b/>
                <w:sz w:val="22"/>
                <w:szCs w:val="22"/>
              </w:rPr>
              <w:lastRenderedPageBreak/>
              <w:t>pavadinimo ir ženklo reklamoje ar rinkodaroje naudojimo reikalavimų nesilaikymo bei draudimo 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lastRenderedPageBreak/>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6E3BF6F3" w14:textId="77777777" w:rsidR="00005067" w:rsidRDefault="00005067" w:rsidP="00005067">
            <w:pPr>
              <w:jc w:val="both"/>
              <w:rPr>
                <w:rFonts w:ascii="Cambria" w:hAnsi="Cambria"/>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p w14:paraId="782060E8" w14:textId="675F50C7" w:rsidR="008B2008" w:rsidRPr="008B2008" w:rsidRDefault="008B2008" w:rsidP="00005067">
            <w:pPr>
              <w:jc w:val="both"/>
              <w:rPr>
                <w:rFonts w:ascii="Cambria" w:hAnsi="Cambria"/>
                <w:kern w:val="2"/>
                <w:sz w:val="22"/>
                <w:szCs w:val="22"/>
              </w:rPr>
            </w:pPr>
            <w:r w:rsidRPr="008B2008">
              <w:rPr>
                <w:rFonts w:ascii="Cambria" w:hAnsi="Cambria"/>
                <w:sz w:val="22"/>
                <w:szCs w:val="22"/>
              </w:rPr>
              <w:t>11.2.1. Pirkėjas neišpirko Paslaugų pagal Sutartį ir nėra išnaudota Sutarties kaina</w:t>
            </w:r>
            <w:r w:rsidR="003F06E1">
              <w:rPr>
                <w:rFonts w:ascii="Cambria" w:hAnsi="Cambria"/>
                <w:sz w:val="22"/>
                <w:szCs w:val="22"/>
              </w:rPr>
              <w:t>.</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t xml:space="preserve">Šalys susitaria ir Tiekėjas sutinka, kad šalia kitų Sutartyje nustatytų įsipareigojimų </w:t>
            </w:r>
            <w:bookmarkStart w:id="2" w:name="_Hlk193970808"/>
            <w:r w:rsidRPr="00A737EE">
              <w:rPr>
                <w:rFonts w:ascii="Cambria" w:hAnsi="Cambria"/>
                <w:sz w:val="22"/>
                <w:szCs w:val="22"/>
                <w:lang w:eastAsia="lt-LT"/>
              </w:rPr>
              <w:t xml:space="preserve">Tiekėjas įsipareigoja bendrauti su Pirkėju elektroninėmis priemonėmis </w:t>
            </w:r>
            <w:bookmarkEnd w:id="2"/>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rsidTr="00FD40C3">
        <w:trPr>
          <w:trHeight w:val="718"/>
        </w:trPr>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75DE0152" w14:textId="4E5D92E9" w:rsidR="00253BA1" w:rsidRPr="00A737EE" w:rsidRDefault="000B0897" w:rsidP="00EC02FC">
      <w:pPr>
        <w:tabs>
          <w:tab w:val="left" w:pos="5400"/>
        </w:tabs>
        <w:jc w:val="center"/>
        <w:textAlignment w:val="center"/>
        <w:rPr>
          <w:rFonts w:ascii="Cambria" w:hAnsi="Cambria"/>
          <w:sz w:val="22"/>
          <w:szCs w:val="22"/>
        </w:rPr>
      </w:pPr>
      <w:r w:rsidRPr="00A737EE">
        <w:rPr>
          <w:rFonts w:ascii="Cambria" w:hAnsi="Cambria"/>
          <w:b/>
          <w:bCs/>
          <w:sz w:val="22"/>
          <w:szCs w:val="22"/>
        </w:rPr>
        <w:t>______________</w:t>
      </w:r>
    </w:p>
    <w:p w14:paraId="2C92D90E" w14:textId="54C7BDC5" w:rsidR="00253BA1" w:rsidRPr="00A737EE" w:rsidRDefault="00253BA1" w:rsidP="00271CAF">
      <w:pPr>
        <w:tabs>
          <w:tab w:val="left" w:pos="3285"/>
        </w:tabs>
        <w:rPr>
          <w:rFonts w:ascii="Cambria" w:hAnsi="Cambria"/>
          <w:sz w:val="22"/>
          <w:szCs w:val="22"/>
        </w:rPr>
      </w:pPr>
    </w:p>
    <w:p w14:paraId="0DC812D3" w14:textId="2F0B9258" w:rsidR="00253BA1" w:rsidRPr="00A737EE" w:rsidRDefault="00253BA1" w:rsidP="00271CAF">
      <w:pPr>
        <w:tabs>
          <w:tab w:val="left" w:pos="3285"/>
        </w:tabs>
        <w:rPr>
          <w:rFonts w:ascii="Cambria" w:hAnsi="Cambria"/>
          <w:sz w:val="22"/>
          <w:szCs w:val="22"/>
        </w:rPr>
      </w:pPr>
    </w:p>
    <w:p w14:paraId="69FA0173" w14:textId="574F0EED" w:rsidR="00253BA1" w:rsidRPr="00A737EE" w:rsidRDefault="00253BA1" w:rsidP="00271CAF">
      <w:pPr>
        <w:tabs>
          <w:tab w:val="left" w:pos="3285"/>
        </w:tabs>
        <w:rPr>
          <w:rFonts w:ascii="Cambria" w:hAnsi="Cambria"/>
          <w:sz w:val="22"/>
          <w:szCs w:val="22"/>
        </w:rPr>
      </w:pPr>
    </w:p>
    <w:p w14:paraId="0EFC779D" w14:textId="77777777" w:rsidR="00215895" w:rsidRPr="00A737EE" w:rsidRDefault="00215895" w:rsidP="00271CAF">
      <w:pPr>
        <w:tabs>
          <w:tab w:val="left" w:pos="3285"/>
        </w:tabs>
        <w:rPr>
          <w:rFonts w:ascii="Cambria" w:hAnsi="Cambria"/>
          <w:sz w:val="22"/>
          <w:szCs w:val="22"/>
        </w:rPr>
      </w:pPr>
    </w:p>
    <w:p w14:paraId="168F1468" w14:textId="77777777" w:rsidR="00253BA1" w:rsidRPr="00A737EE" w:rsidRDefault="00253BA1" w:rsidP="00271CAF">
      <w:pPr>
        <w:tabs>
          <w:tab w:val="left" w:pos="3285"/>
        </w:tabs>
        <w:rPr>
          <w:rFonts w:ascii="Cambria" w:hAnsi="Cambria"/>
          <w:sz w:val="22"/>
          <w:szCs w:val="22"/>
        </w:rPr>
      </w:pPr>
    </w:p>
    <w:p w14:paraId="09CC2F36" w14:textId="77777777"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21F1FD4A" w:rsidR="00271CAF" w:rsidRPr="00A737EE" w:rsidRDefault="00271CAF"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5C201" w14:textId="77777777" w:rsidR="00A51736" w:rsidRDefault="00A51736">
      <w:pPr>
        <w:rPr>
          <w:sz w:val="20"/>
        </w:rPr>
      </w:pPr>
      <w:r>
        <w:rPr>
          <w:sz w:val="20"/>
        </w:rPr>
        <w:separator/>
      </w:r>
    </w:p>
  </w:endnote>
  <w:endnote w:type="continuationSeparator" w:id="0">
    <w:p w14:paraId="5B87947E" w14:textId="77777777" w:rsidR="00A51736" w:rsidRDefault="00A51736">
      <w:pPr>
        <w:rPr>
          <w:sz w:val="20"/>
        </w:rPr>
      </w:pPr>
      <w:r>
        <w:rPr>
          <w:sz w:val="20"/>
        </w:rPr>
        <w:continuationSeparator/>
      </w:r>
    </w:p>
  </w:endnote>
  <w:endnote w:type="continuationNotice" w:id="1">
    <w:p w14:paraId="117FC988" w14:textId="77777777" w:rsidR="00A51736" w:rsidRDefault="00A51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AB63" w14:textId="77777777" w:rsidR="0026213D" w:rsidRDefault="0026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54399" w14:textId="77777777" w:rsidR="0026213D" w:rsidRDefault="0026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1D58A" w14:textId="77777777" w:rsidR="00A51736" w:rsidRDefault="00A51736">
      <w:pPr>
        <w:rPr>
          <w:sz w:val="20"/>
        </w:rPr>
      </w:pPr>
      <w:r>
        <w:rPr>
          <w:sz w:val="20"/>
        </w:rPr>
        <w:separator/>
      </w:r>
    </w:p>
  </w:footnote>
  <w:footnote w:type="continuationSeparator" w:id="0">
    <w:p w14:paraId="7DE3EA88" w14:textId="77777777" w:rsidR="00A51736" w:rsidRDefault="00A51736">
      <w:pPr>
        <w:rPr>
          <w:sz w:val="20"/>
        </w:rPr>
      </w:pPr>
      <w:r>
        <w:rPr>
          <w:sz w:val="20"/>
        </w:rPr>
        <w:continuationSeparator/>
      </w:r>
    </w:p>
  </w:footnote>
  <w:footnote w:type="continuationNotice" w:id="1">
    <w:p w14:paraId="19684B90" w14:textId="77777777" w:rsidR="00A51736" w:rsidRDefault="00A517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3F67" w14:textId="77777777" w:rsidR="0026213D" w:rsidRDefault="0026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0C8AB07E"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B09E8">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3F385ADB" w:rsidR="0026213D" w:rsidRPr="001A70A8" w:rsidRDefault="0026213D" w:rsidP="0026213D">
    <w:pPr>
      <w:pStyle w:val="Header"/>
      <w:jc w:val="right"/>
      <w:rPr>
        <w:rFonts w:ascii="Cambria" w:hAnsi="Cambria"/>
        <w:sz w:val="20"/>
      </w:rPr>
    </w:pPr>
    <w:r w:rsidRPr="001A70A8">
      <w:rPr>
        <w:rFonts w:ascii="Cambria" w:hAnsi="Cambria"/>
        <w:sz w:val="20"/>
      </w:rPr>
      <w:t>SUTP-</w:t>
    </w:r>
    <w:r w:rsidR="001D2DF3">
      <w:rPr>
        <w:rFonts w:ascii="Cambria" w:hAnsi="Cambria"/>
        <w:sz w:val="20"/>
      </w:rPr>
      <w:t>3070</w:t>
    </w:r>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61C8"/>
    <w:rsid w:val="000D32F1"/>
    <w:rsid w:val="000E6F2F"/>
    <w:rsid w:val="001327F1"/>
    <w:rsid w:val="00140A6B"/>
    <w:rsid w:val="0014730F"/>
    <w:rsid w:val="001550F8"/>
    <w:rsid w:val="001B795C"/>
    <w:rsid w:val="001D2DF3"/>
    <w:rsid w:val="001D3A17"/>
    <w:rsid w:val="001F409E"/>
    <w:rsid w:val="001F7AC8"/>
    <w:rsid w:val="00215895"/>
    <w:rsid w:val="00216B9B"/>
    <w:rsid w:val="00253BA1"/>
    <w:rsid w:val="0026213D"/>
    <w:rsid w:val="00271CAF"/>
    <w:rsid w:val="002B1201"/>
    <w:rsid w:val="002C2B51"/>
    <w:rsid w:val="002D21E9"/>
    <w:rsid w:val="0033188E"/>
    <w:rsid w:val="003352F7"/>
    <w:rsid w:val="003D05D6"/>
    <w:rsid w:val="003F06E1"/>
    <w:rsid w:val="003F2DBB"/>
    <w:rsid w:val="003F715C"/>
    <w:rsid w:val="00402199"/>
    <w:rsid w:val="00426F91"/>
    <w:rsid w:val="00463D57"/>
    <w:rsid w:val="00495E15"/>
    <w:rsid w:val="004C017A"/>
    <w:rsid w:val="00503D2C"/>
    <w:rsid w:val="00524CFA"/>
    <w:rsid w:val="00545279"/>
    <w:rsid w:val="00580D40"/>
    <w:rsid w:val="005A1C85"/>
    <w:rsid w:val="005F6845"/>
    <w:rsid w:val="00610E98"/>
    <w:rsid w:val="00622BA3"/>
    <w:rsid w:val="00645E7D"/>
    <w:rsid w:val="006573CE"/>
    <w:rsid w:val="00682751"/>
    <w:rsid w:val="006B09E8"/>
    <w:rsid w:val="006B6FFF"/>
    <w:rsid w:val="006C79AA"/>
    <w:rsid w:val="006F0803"/>
    <w:rsid w:val="006F5143"/>
    <w:rsid w:val="00745D97"/>
    <w:rsid w:val="00751603"/>
    <w:rsid w:val="007621BC"/>
    <w:rsid w:val="00770C77"/>
    <w:rsid w:val="00770EC6"/>
    <w:rsid w:val="007A75C6"/>
    <w:rsid w:val="00816041"/>
    <w:rsid w:val="0083118A"/>
    <w:rsid w:val="008446AC"/>
    <w:rsid w:val="00845098"/>
    <w:rsid w:val="008A5234"/>
    <w:rsid w:val="008B2008"/>
    <w:rsid w:val="008E65D0"/>
    <w:rsid w:val="00951D02"/>
    <w:rsid w:val="009728BC"/>
    <w:rsid w:val="009A5BBD"/>
    <w:rsid w:val="009C1206"/>
    <w:rsid w:val="009D3BA4"/>
    <w:rsid w:val="00A264DE"/>
    <w:rsid w:val="00A51736"/>
    <w:rsid w:val="00A737EE"/>
    <w:rsid w:val="00AB0D6E"/>
    <w:rsid w:val="00AB2121"/>
    <w:rsid w:val="00B4087E"/>
    <w:rsid w:val="00B46F6F"/>
    <w:rsid w:val="00BA2066"/>
    <w:rsid w:val="00BC0B3C"/>
    <w:rsid w:val="00BC292E"/>
    <w:rsid w:val="00BC7E56"/>
    <w:rsid w:val="00BD47EF"/>
    <w:rsid w:val="00BD5DC1"/>
    <w:rsid w:val="00BE618B"/>
    <w:rsid w:val="00C35392"/>
    <w:rsid w:val="00C61CCD"/>
    <w:rsid w:val="00C74FA2"/>
    <w:rsid w:val="00C765CD"/>
    <w:rsid w:val="00C771AC"/>
    <w:rsid w:val="00CE5C93"/>
    <w:rsid w:val="00CF0513"/>
    <w:rsid w:val="00D661A1"/>
    <w:rsid w:val="00D9180C"/>
    <w:rsid w:val="00DA4E0C"/>
    <w:rsid w:val="00EC02FC"/>
    <w:rsid w:val="00EC440F"/>
    <w:rsid w:val="00F60BD9"/>
    <w:rsid w:val="00FD40C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mmklinika@kaunoklinikos.lt" TargetMode="Externa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218A8A8-EED4-4534-A259-8009359D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12084</Words>
  <Characters>6888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2025-09-15T13:00:00Z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