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8FD3" w14:textId="7A12FA0E" w:rsidR="00DA4845" w:rsidRDefault="00DA4845" w:rsidP="00DA4845">
      <w:pPr>
        <w:spacing w:after="150"/>
        <w:ind w:firstLine="567"/>
        <w:jc w:val="both"/>
        <w:rPr>
          <w:rFonts w:ascii="Arial" w:hAnsi="Arial" w:cs="Arial"/>
          <w:color w:val="333333"/>
          <w:sz w:val="24"/>
          <w:szCs w:val="24"/>
          <w:lang w:eastAsia="lt-LT"/>
        </w:rPr>
      </w:pPr>
      <w:r>
        <w:rPr>
          <w:rFonts w:ascii="Arial" w:hAnsi="Arial" w:cs="Arial"/>
          <w:color w:val="333333"/>
          <w:sz w:val="24"/>
          <w:szCs w:val="24"/>
          <w:lang w:eastAsia="lt-LT"/>
        </w:rPr>
        <w:t xml:space="preserve">Valstybinio socialinio draudimo fondo valdybos prie Socialinės apsaugos ir darbo ministerijos (toliau – Fondo valdyba) viešojo pirkimo komisija (toliau – komisija) atlieka </w:t>
      </w:r>
      <w:r>
        <w:rPr>
          <w:rFonts w:ascii="Arial" w:hAnsi="Arial" w:cs="Arial"/>
          <w:color w:val="333333"/>
          <w:sz w:val="24"/>
          <w:szCs w:val="24"/>
          <w:shd w:val="clear" w:color="auto" w:fill="FFFFFF"/>
        </w:rPr>
        <w:t>Turto draudimo</w:t>
      </w:r>
      <w:r w:rsidRPr="00A522DA">
        <w:rPr>
          <w:rFonts w:ascii="Arial" w:hAnsi="Arial" w:cs="Arial"/>
          <w:color w:val="333333"/>
          <w:sz w:val="24"/>
          <w:szCs w:val="24"/>
          <w:shd w:val="clear" w:color="auto" w:fill="FFFFFF"/>
        </w:rPr>
        <w:t xml:space="preserve"> pasl</w:t>
      </w:r>
      <w:r w:rsidRPr="00B900FD">
        <w:rPr>
          <w:rFonts w:ascii="Arial" w:hAnsi="Arial" w:cs="Arial"/>
          <w:color w:val="333333"/>
          <w:sz w:val="24"/>
          <w:szCs w:val="24"/>
          <w:shd w:val="clear" w:color="auto" w:fill="FFFFFF"/>
        </w:rPr>
        <w:t xml:space="preserve">augų </w:t>
      </w:r>
      <w:r w:rsidRPr="00B900FD">
        <w:rPr>
          <w:rFonts w:ascii="Arial" w:hAnsi="Arial" w:cs="Arial"/>
          <w:sz w:val="24"/>
          <w:szCs w:val="24"/>
        </w:rPr>
        <w:t>pirkimą</w:t>
      </w:r>
      <w:r w:rsidRPr="00B900FD">
        <w:rPr>
          <w:rFonts w:ascii="Arial" w:hAnsi="Arial" w:cs="Arial"/>
          <w:color w:val="333333"/>
          <w:sz w:val="24"/>
          <w:szCs w:val="24"/>
          <w:lang w:eastAsia="lt-LT"/>
        </w:rPr>
        <w:t>. Skelbimas apie šį pirkimą Centrinėje viešųjų pirkimų informacinėje sistemoje paskelbtas 2024-1</w:t>
      </w:r>
      <w:r w:rsidR="00B900FD" w:rsidRPr="00B900FD">
        <w:rPr>
          <w:rFonts w:ascii="Arial" w:hAnsi="Arial" w:cs="Arial"/>
          <w:color w:val="333333"/>
          <w:sz w:val="24"/>
          <w:szCs w:val="24"/>
          <w:lang w:eastAsia="lt-LT"/>
        </w:rPr>
        <w:t>2</w:t>
      </w:r>
      <w:r w:rsidRPr="00B900FD">
        <w:rPr>
          <w:rFonts w:ascii="Arial" w:hAnsi="Arial" w:cs="Arial"/>
          <w:color w:val="333333"/>
          <w:sz w:val="24"/>
          <w:szCs w:val="24"/>
          <w:lang w:eastAsia="lt-LT"/>
        </w:rPr>
        <w:t>-0</w:t>
      </w:r>
      <w:r w:rsidR="00B900FD" w:rsidRPr="00B900FD">
        <w:rPr>
          <w:rFonts w:ascii="Arial" w:hAnsi="Arial" w:cs="Arial"/>
          <w:color w:val="333333"/>
          <w:sz w:val="24"/>
          <w:szCs w:val="24"/>
          <w:lang w:eastAsia="lt-LT"/>
        </w:rPr>
        <w:t>6</w:t>
      </w:r>
      <w:r w:rsidRPr="00B900FD">
        <w:rPr>
          <w:rFonts w:ascii="Arial" w:hAnsi="Arial" w:cs="Arial"/>
          <w:color w:val="333333"/>
          <w:sz w:val="24"/>
          <w:szCs w:val="24"/>
          <w:lang w:eastAsia="lt-LT"/>
        </w:rPr>
        <w:t xml:space="preserve">. Pirkimo </w:t>
      </w:r>
      <w:r w:rsidR="00B900FD" w:rsidRPr="00B900FD">
        <w:rPr>
          <w:rFonts w:ascii="Arial" w:hAnsi="Arial" w:cs="Arial"/>
          <w:color w:val="333333"/>
          <w:sz w:val="24"/>
          <w:szCs w:val="24"/>
          <w:lang w:eastAsia="lt-LT"/>
        </w:rPr>
        <w:t>ID</w:t>
      </w:r>
      <w:r w:rsidRPr="00B900FD">
        <w:rPr>
          <w:rFonts w:ascii="Arial" w:hAnsi="Arial" w:cs="Arial"/>
          <w:color w:val="333333"/>
          <w:sz w:val="24"/>
          <w:szCs w:val="24"/>
          <w:lang w:eastAsia="lt-LT"/>
        </w:rPr>
        <w:t>.</w:t>
      </w:r>
      <w:r w:rsidRPr="00B900FD">
        <w:rPr>
          <w:rFonts w:ascii="Arial" w:hAnsi="Arial" w:cs="Arial"/>
          <w:sz w:val="24"/>
          <w:szCs w:val="24"/>
        </w:rPr>
        <w:t xml:space="preserve"> </w:t>
      </w:r>
      <w:r w:rsidR="00B900FD" w:rsidRPr="00B900FD">
        <w:rPr>
          <w:rFonts w:ascii="Arial" w:hAnsi="Arial" w:cs="Arial"/>
          <w:color w:val="333333"/>
          <w:sz w:val="24"/>
          <w:szCs w:val="24"/>
          <w:shd w:val="clear" w:color="auto" w:fill="FFFFFF"/>
        </w:rPr>
        <w:tab/>
        <w:t>289300</w:t>
      </w:r>
      <w:r w:rsidRPr="00B900FD">
        <w:rPr>
          <w:rFonts w:ascii="Arial" w:hAnsi="Arial" w:cs="Arial"/>
          <w:color w:val="333333"/>
          <w:sz w:val="24"/>
          <w:szCs w:val="24"/>
          <w:lang w:eastAsia="lt-LT"/>
        </w:rPr>
        <w:t>.</w:t>
      </w:r>
    </w:p>
    <w:p w14:paraId="51336B91" w14:textId="27961461" w:rsidR="00DA4845" w:rsidRDefault="00DA4845" w:rsidP="00DA4845">
      <w:pPr>
        <w:spacing w:before="240"/>
        <w:ind w:firstLine="567"/>
        <w:jc w:val="both"/>
        <w:rPr>
          <w:rFonts w:ascii="Arial" w:hAnsi="Arial" w:cs="Arial"/>
          <w:b/>
          <w:color w:val="000000"/>
          <w:sz w:val="24"/>
          <w:szCs w:val="24"/>
          <w:u w:val="single"/>
        </w:rPr>
      </w:pPr>
      <w:r>
        <w:rPr>
          <w:rFonts w:ascii="Arial" w:hAnsi="Arial" w:cs="Arial"/>
          <w:b/>
          <w:sz w:val="24"/>
          <w:szCs w:val="24"/>
          <w:u w:val="single"/>
        </w:rPr>
        <w:t>Informuojame, kad 2024-1</w:t>
      </w:r>
      <w:r>
        <w:rPr>
          <w:rFonts w:ascii="Arial" w:hAnsi="Arial" w:cs="Arial"/>
          <w:b/>
          <w:sz w:val="24"/>
          <w:szCs w:val="24"/>
          <w:u w:val="single"/>
        </w:rPr>
        <w:t>2</w:t>
      </w:r>
      <w:r>
        <w:rPr>
          <w:rFonts w:ascii="Arial" w:hAnsi="Arial" w:cs="Arial"/>
          <w:b/>
          <w:sz w:val="24"/>
          <w:szCs w:val="24"/>
          <w:u w:val="single"/>
        </w:rPr>
        <w:t>-</w:t>
      </w:r>
      <w:r>
        <w:rPr>
          <w:rFonts w:ascii="Arial" w:hAnsi="Arial" w:cs="Arial"/>
          <w:b/>
          <w:sz w:val="24"/>
          <w:szCs w:val="24"/>
          <w:u w:val="single"/>
        </w:rPr>
        <w:t>13</w:t>
      </w:r>
      <w:r>
        <w:rPr>
          <w:rFonts w:ascii="Arial" w:hAnsi="Arial" w:cs="Arial"/>
          <w:b/>
          <w:sz w:val="24"/>
          <w:szCs w:val="24"/>
          <w:u w:val="single"/>
        </w:rPr>
        <w:t xml:space="preserve"> posėdyje komisija</w:t>
      </w:r>
      <w:r>
        <w:rPr>
          <w:rFonts w:ascii="Arial" w:hAnsi="Arial" w:cs="Arial"/>
          <w:b/>
          <w:color w:val="000000"/>
          <w:sz w:val="24"/>
          <w:szCs w:val="24"/>
          <w:u w:val="single"/>
        </w:rPr>
        <w:t xml:space="preserve"> nutarė:</w:t>
      </w:r>
    </w:p>
    <w:p w14:paraId="3CB27251" w14:textId="23D173B8" w:rsidR="00DA4845" w:rsidRPr="006C3C84" w:rsidRDefault="00DA4845" w:rsidP="00DA4845">
      <w:pPr>
        <w:pStyle w:val="Sraopastraipa"/>
        <w:numPr>
          <w:ilvl w:val="0"/>
          <w:numId w:val="1"/>
        </w:numPr>
        <w:rPr>
          <w:rFonts w:ascii="Arial" w:hAnsi="Arial" w:cs="Arial"/>
        </w:rPr>
      </w:pPr>
      <w:r w:rsidRPr="006C3C84">
        <w:rPr>
          <w:rFonts w:ascii="Arial" w:hAnsi="Arial" w:cs="Arial"/>
        </w:rPr>
        <w:t>Pateikti atsakymus į 2024-1</w:t>
      </w:r>
      <w:r>
        <w:rPr>
          <w:rFonts w:ascii="Arial" w:hAnsi="Arial" w:cs="Arial"/>
        </w:rPr>
        <w:t>2</w:t>
      </w:r>
      <w:r w:rsidRPr="006C3C84">
        <w:rPr>
          <w:rFonts w:ascii="Arial" w:hAnsi="Arial" w:cs="Arial"/>
        </w:rPr>
        <w:t>-</w:t>
      </w:r>
      <w:r>
        <w:rPr>
          <w:rFonts w:ascii="Arial" w:hAnsi="Arial" w:cs="Arial"/>
        </w:rPr>
        <w:t>12</w:t>
      </w:r>
      <w:r w:rsidRPr="006C3C84">
        <w:rPr>
          <w:rFonts w:ascii="Arial" w:hAnsi="Arial" w:cs="Arial"/>
        </w:rPr>
        <w:t xml:space="preserve"> dienos paklausimus:</w:t>
      </w:r>
    </w:p>
    <w:tbl>
      <w:tblPr>
        <w:tblStyle w:val="Lentelstinklelis"/>
        <w:tblW w:w="0" w:type="auto"/>
        <w:tblLook w:val="04A0" w:firstRow="1" w:lastRow="0" w:firstColumn="1" w:lastColumn="0" w:noHBand="0" w:noVBand="1"/>
      </w:tblPr>
      <w:tblGrid>
        <w:gridCol w:w="4814"/>
        <w:gridCol w:w="4814"/>
      </w:tblGrid>
      <w:tr w:rsidR="00193579" w:rsidRPr="00F64234" w14:paraId="742505E3" w14:textId="77777777" w:rsidTr="002146C7">
        <w:tc>
          <w:tcPr>
            <w:tcW w:w="4814" w:type="dxa"/>
          </w:tcPr>
          <w:p w14:paraId="348060DE" w14:textId="77777777" w:rsidR="00193579" w:rsidRPr="00F64234" w:rsidRDefault="00193579" w:rsidP="00586DA0">
            <w:pPr>
              <w:pStyle w:val="Sraopastraipa"/>
              <w:spacing w:line="280" w:lineRule="exact"/>
              <w:jc w:val="center"/>
            </w:pPr>
            <w:r w:rsidRPr="00F64234">
              <w:t>Klausimas</w:t>
            </w:r>
          </w:p>
        </w:tc>
        <w:tc>
          <w:tcPr>
            <w:tcW w:w="4814" w:type="dxa"/>
          </w:tcPr>
          <w:p w14:paraId="3C110621" w14:textId="77777777" w:rsidR="00193579" w:rsidRPr="00F64234" w:rsidRDefault="00193579" w:rsidP="002146C7">
            <w:pPr>
              <w:spacing w:line="280" w:lineRule="exact"/>
              <w:jc w:val="center"/>
              <w:rPr>
                <w:szCs w:val="22"/>
              </w:rPr>
            </w:pPr>
            <w:r w:rsidRPr="00F64234">
              <w:rPr>
                <w:szCs w:val="22"/>
              </w:rPr>
              <w:t>Fondo valdybos atsakymas</w:t>
            </w:r>
          </w:p>
        </w:tc>
      </w:tr>
      <w:tr w:rsidR="00193579" w:rsidRPr="00F64234" w14:paraId="139C6516" w14:textId="77777777" w:rsidTr="002146C7">
        <w:tc>
          <w:tcPr>
            <w:tcW w:w="4814" w:type="dxa"/>
          </w:tcPr>
          <w:p w14:paraId="4B5FD6DE" w14:textId="77777777" w:rsidR="00193579" w:rsidRPr="00F64234" w:rsidRDefault="00193579" w:rsidP="002146C7">
            <w:pPr>
              <w:spacing w:line="280" w:lineRule="exact"/>
              <w:jc w:val="both"/>
              <w:rPr>
                <w:szCs w:val="22"/>
              </w:rPr>
            </w:pPr>
            <w:r w:rsidRPr="00F64234">
              <w:rPr>
                <w:szCs w:val="22"/>
              </w:rPr>
              <w:t>Prašome pakoreguoti TS:</w:t>
            </w:r>
          </w:p>
          <w:p w14:paraId="36C2D0CD" w14:textId="77777777" w:rsidR="00193579" w:rsidRPr="00F64234" w:rsidRDefault="00193579" w:rsidP="002146C7">
            <w:pPr>
              <w:ind w:firstLine="567"/>
              <w:jc w:val="both"/>
              <w:rPr>
                <w:szCs w:val="22"/>
              </w:rPr>
            </w:pPr>
            <w:r w:rsidRPr="00F64234">
              <w:rPr>
                <w:szCs w:val="22"/>
              </w:rPr>
              <w:t>2.2.3. punktas:</w:t>
            </w:r>
          </w:p>
          <w:p w14:paraId="6AD10D41" w14:textId="77777777" w:rsidR="00193579" w:rsidRPr="00F64234" w:rsidRDefault="00193579" w:rsidP="002146C7">
            <w:pPr>
              <w:ind w:firstLine="567"/>
              <w:jc w:val="both"/>
              <w:rPr>
                <w:szCs w:val="22"/>
              </w:rPr>
            </w:pPr>
            <w:r w:rsidRPr="00F64234">
              <w:rPr>
                <w:szCs w:val="22"/>
              </w:rPr>
              <w:t>- palikti tik Lietuvos Respublikos galiojančius teisės aktus.</w:t>
            </w:r>
          </w:p>
          <w:p w14:paraId="70F66D12" w14:textId="77777777" w:rsidR="00193579" w:rsidRPr="00F64234" w:rsidRDefault="00193579" w:rsidP="002146C7">
            <w:pPr>
              <w:spacing w:line="280" w:lineRule="exact"/>
              <w:jc w:val="both"/>
              <w:rPr>
                <w:szCs w:val="22"/>
              </w:rPr>
            </w:pPr>
          </w:p>
        </w:tc>
        <w:tc>
          <w:tcPr>
            <w:tcW w:w="4814" w:type="dxa"/>
          </w:tcPr>
          <w:p w14:paraId="38C3527C" w14:textId="77777777" w:rsidR="00193579" w:rsidRPr="00F64234" w:rsidRDefault="00193579" w:rsidP="002146C7">
            <w:pPr>
              <w:spacing w:line="280" w:lineRule="exact"/>
              <w:jc w:val="both"/>
              <w:rPr>
                <w:szCs w:val="22"/>
              </w:rPr>
            </w:pPr>
            <w:r w:rsidRPr="00F64234">
              <w:rPr>
                <w:szCs w:val="22"/>
              </w:rPr>
              <w:t>2.2.3. Fondo administravimo įstaigos kaip darbdavio civilinė atsakomybė už žalą, padarytą jos darbuotojams (įskaitant laikinojo įdarbinimo santykius), kilusią dėl nelaimingo atsitikimo, įvykusio draudimo sutarties galiojimo teritorijoje darbe ir pakeliui į darbą ar iš darbo, pagal draudžiamojo įvykio metu galiojusius Lietuvos Respublikos įstatymus.</w:t>
            </w:r>
          </w:p>
          <w:p w14:paraId="38403E22" w14:textId="77777777" w:rsidR="00193579" w:rsidRPr="00F64234" w:rsidRDefault="00193579" w:rsidP="002146C7">
            <w:pPr>
              <w:spacing w:line="280" w:lineRule="exact"/>
              <w:jc w:val="both"/>
              <w:rPr>
                <w:szCs w:val="22"/>
              </w:rPr>
            </w:pPr>
          </w:p>
        </w:tc>
      </w:tr>
      <w:tr w:rsidR="00193579" w:rsidRPr="00F64234" w14:paraId="0980F901" w14:textId="77777777" w:rsidTr="002146C7">
        <w:tc>
          <w:tcPr>
            <w:tcW w:w="4814" w:type="dxa"/>
          </w:tcPr>
          <w:p w14:paraId="71DEC273" w14:textId="77777777" w:rsidR="00193579" w:rsidRPr="00F64234" w:rsidRDefault="00193579" w:rsidP="002146C7">
            <w:pPr>
              <w:spacing w:line="280" w:lineRule="exact"/>
              <w:jc w:val="both"/>
              <w:rPr>
                <w:szCs w:val="22"/>
              </w:rPr>
            </w:pPr>
            <w:r w:rsidRPr="00F64234">
              <w:rPr>
                <w:szCs w:val="22"/>
              </w:rPr>
              <w:t>- panaikinti: Fondo administravimo įstaigos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tc>
        <w:tc>
          <w:tcPr>
            <w:tcW w:w="4814" w:type="dxa"/>
          </w:tcPr>
          <w:p w14:paraId="09D69E3B" w14:textId="0D2F683D" w:rsidR="00193579" w:rsidRPr="00F64234" w:rsidRDefault="00193579" w:rsidP="002146C7">
            <w:pPr>
              <w:spacing w:line="280" w:lineRule="exact"/>
              <w:jc w:val="both"/>
              <w:rPr>
                <w:szCs w:val="22"/>
              </w:rPr>
            </w:pPr>
            <w:r w:rsidRPr="00F64234">
              <w:rPr>
                <w:szCs w:val="22"/>
              </w:rPr>
              <w:t>Šio punkto nenaikinsime</w:t>
            </w:r>
            <w:r w:rsidR="00C92708">
              <w:rPr>
                <w:szCs w:val="22"/>
              </w:rPr>
              <w:t>.</w:t>
            </w:r>
          </w:p>
        </w:tc>
      </w:tr>
      <w:tr w:rsidR="00193579" w:rsidRPr="00F64234" w14:paraId="5BFE8AF4" w14:textId="77777777" w:rsidTr="002146C7">
        <w:tc>
          <w:tcPr>
            <w:tcW w:w="4814" w:type="dxa"/>
          </w:tcPr>
          <w:p w14:paraId="33DD5E5A" w14:textId="77777777" w:rsidR="00193579" w:rsidRPr="00F64234" w:rsidRDefault="00193579" w:rsidP="002146C7">
            <w:pPr>
              <w:spacing w:line="280" w:lineRule="exact"/>
              <w:jc w:val="both"/>
              <w:rPr>
                <w:szCs w:val="22"/>
              </w:rPr>
            </w:pPr>
            <w:r w:rsidRPr="00F64234">
              <w:rPr>
                <w:szCs w:val="22"/>
              </w:rPr>
              <w:t>Papildyti „Draudimo objektu nelaikoma (nedraudžiama)“:</w:t>
            </w:r>
          </w:p>
          <w:p w14:paraId="4E796502" w14:textId="77777777" w:rsidR="00193579" w:rsidRPr="00F64234" w:rsidRDefault="00193579" w:rsidP="002146C7">
            <w:pPr>
              <w:spacing w:line="280" w:lineRule="exact"/>
              <w:jc w:val="both"/>
              <w:rPr>
                <w:szCs w:val="22"/>
              </w:rPr>
            </w:pPr>
            <w:r w:rsidRPr="00F64234">
              <w:rPr>
                <w:szCs w:val="22"/>
              </w:rPr>
              <w:t>- Įvykis laikomas nedraudžiamuoju, kai jis įvyko dėl Draudėjo tyčios tik tuo atveju, kai teismas nustato tyčinės veikos požymius.</w:t>
            </w:r>
          </w:p>
        </w:tc>
        <w:tc>
          <w:tcPr>
            <w:tcW w:w="4814" w:type="dxa"/>
          </w:tcPr>
          <w:p w14:paraId="2224CE0D" w14:textId="77777777" w:rsidR="00193579" w:rsidRPr="00F64234" w:rsidRDefault="00193579" w:rsidP="002146C7">
            <w:pPr>
              <w:spacing w:line="280" w:lineRule="exact"/>
              <w:jc w:val="both"/>
              <w:rPr>
                <w:szCs w:val="22"/>
              </w:rPr>
            </w:pPr>
            <w:r w:rsidRPr="00F64234">
              <w:rPr>
                <w:szCs w:val="22"/>
              </w:rPr>
              <w:t xml:space="preserve">Nedraudžiamųjų įvykių sąrašas nėra baigtinis. </w:t>
            </w:r>
          </w:p>
          <w:p w14:paraId="790197C5" w14:textId="77777777" w:rsidR="00193579" w:rsidRPr="00F64234" w:rsidRDefault="00193579" w:rsidP="002146C7">
            <w:pPr>
              <w:spacing w:line="280" w:lineRule="exact"/>
              <w:jc w:val="both"/>
              <w:rPr>
                <w:szCs w:val="22"/>
              </w:rPr>
            </w:pPr>
            <w:r w:rsidRPr="00F64234">
              <w:rPr>
                <w:szCs w:val="22"/>
              </w:rPr>
              <w:t>Techninės specifikacijos 2.1. p. yra nurodyta:</w:t>
            </w:r>
          </w:p>
          <w:p w14:paraId="4D28529B" w14:textId="1DD81D12" w:rsidR="00193579" w:rsidRPr="00F64234" w:rsidRDefault="00193579" w:rsidP="002146C7">
            <w:pPr>
              <w:spacing w:line="280" w:lineRule="exact"/>
              <w:jc w:val="both"/>
              <w:rPr>
                <w:szCs w:val="22"/>
              </w:rPr>
            </w:pPr>
            <w:r w:rsidRPr="00F64234">
              <w:rPr>
                <w:szCs w:val="22"/>
              </w:rPr>
              <w:t>2.1. Draudžiama pagal Draudiko Bendrosios civilinės atsakomybės draudimo ta</w:t>
            </w:r>
            <w:bookmarkStart w:id="0" w:name="_GoBack"/>
            <w:bookmarkEnd w:id="0"/>
            <w:r w:rsidRPr="00F64234">
              <w:rPr>
                <w:szCs w:val="22"/>
              </w:rPr>
              <w:t>isykles, įvertinus šioje konkurso medžiagoje numatytus reikalavimus draudimui. Nedraudžiamieji įvykiai taikomi pagal draudimo bendrovės taisykles tiek kiek jie neprieštarauja šiai pirkimo medžiagai.</w:t>
            </w:r>
          </w:p>
          <w:p w14:paraId="1EF5EFD5" w14:textId="77777777" w:rsidR="00193579" w:rsidRPr="00F64234" w:rsidRDefault="00193579" w:rsidP="002146C7">
            <w:pPr>
              <w:spacing w:line="280" w:lineRule="exact"/>
              <w:jc w:val="both"/>
              <w:rPr>
                <w:szCs w:val="22"/>
              </w:rPr>
            </w:pPr>
            <w:r w:rsidRPr="00F64234">
              <w:rPr>
                <w:szCs w:val="22"/>
              </w:rPr>
              <w:t>Techninės specifikacijos sąlyga nepildysime.</w:t>
            </w:r>
          </w:p>
        </w:tc>
      </w:tr>
      <w:tr w:rsidR="00193579" w:rsidRPr="00F64234" w14:paraId="7838342D" w14:textId="77777777" w:rsidTr="002146C7">
        <w:tc>
          <w:tcPr>
            <w:tcW w:w="4814" w:type="dxa"/>
          </w:tcPr>
          <w:p w14:paraId="4F25A4E8" w14:textId="77777777" w:rsidR="00193579" w:rsidRPr="00F64234" w:rsidRDefault="00193579" w:rsidP="002146C7">
            <w:pPr>
              <w:spacing w:line="280" w:lineRule="exact"/>
              <w:jc w:val="both"/>
              <w:rPr>
                <w:szCs w:val="22"/>
              </w:rPr>
            </w:pPr>
            <w:r w:rsidRPr="00F64234">
              <w:rPr>
                <w:szCs w:val="22"/>
              </w:rPr>
              <w:t>2.2.4. punktas.</w:t>
            </w:r>
          </w:p>
          <w:p w14:paraId="72343231" w14:textId="77777777" w:rsidR="00193579" w:rsidRPr="00F64234" w:rsidRDefault="00193579" w:rsidP="002146C7">
            <w:pPr>
              <w:spacing w:line="280" w:lineRule="exact"/>
              <w:jc w:val="both"/>
              <w:rPr>
                <w:szCs w:val="22"/>
              </w:rPr>
            </w:pPr>
            <w:r w:rsidRPr="00F64234">
              <w:rPr>
                <w:szCs w:val="22"/>
              </w:rPr>
              <w:t>Detalizuoti kas yra patikėtas turtas.</w:t>
            </w:r>
          </w:p>
        </w:tc>
        <w:tc>
          <w:tcPr>
            <w:tcW w:w="4814" w:type="dxa"/>
          </w:tcPr>
          <w:p w14:paraId="577680CE" w14:textId="77777777" w:rsidR="00193579" w:rsidRPr="00F64234" w:rsidRDefault="00193579" w:rsidP="002146C7">
            <w:pPr>
              <w:spacing w:line="280" w:lineRule="exact"/>
              <w:jc w:val="both"/>
              <w:rPr>
                <w:szCs w:val="22"/>
              </w:rPr>
            </w:pPr>
            <w:r w:rsidRPr="00F64234">
              <w:rPr>
                <w:szCs w:val="22"/>
              </w:rPr>
              <w:t>Patikėtas turtas yra išsinuomotos patalpos, kurios yra išvardintos specialiųjų pirkimo sąlygų priede Nr. 8</w:t>
            </w:r>
          </w:p>
        </w:tc>
      </w:tr>
      <w:tr w:rsidR="00193579" w:rsidRPr="00F64234" w14:paraId="58028894" w14:textId="77777777" w:rsidTr="002146C7">
        <w:tc>
          <w:tcPr>
            <w:tcW w:w="4814" w:type="dxa"/>
          </w:tcPr>
          <w:p w14:paraId="1F369E48" w14:textId="77777777" w:rsidR="00193579" w:rsidRPr="00F64234" w:rsidRDefault="00193579" w:rsidP="002146C7">
            <w:pPr>
              <w:spacing w:line="280" w:lineRule="exact"/>
              <w:jc w:val="both"/>
              <w:rPr>
                <w:szCs w:val="22"/>
              </w:rPr>
            </w:pPr>
            <w:r w:rsidRPr="00F64234">
              <w:rPr>
                <w:szCs w:val="22"/>
              </w:rPr>
              <w:t>2.6. punktas.</w:t>
            </w:r>
          </w:p>
          <w:p w14:paraId="0D62F46B" w14:textId="77777777" w:rsidR="00193579" w:rsidRPr="00F64234" w:rsidRDefault="00193579" w:rsidP="002146C7">
            <w:pPr>
              <w:spacing w:line="280" w:lineRule="exact"/>
              <w:jc w:val="both"/>
              <w:rPr>
                <w:szCs w:val="22"/>
              </w:rPr>
            </w:pPr>
            <w:r w:rsidRPr="00F64234">
              <w:rPr>
                <w:szCs w:val="22"/>
              </w:rPr>
              <w:t>Koreguoti: ...kaip žalos trečiojo asmens sveikatai, gyvybei pasekmė; netiesioginiai nuostoliai (įskaitant negautas pajamas), atsirandantys kaip žalos trečiojo asmens turtui, asmens sveikatai, gyvybei pasekmė ir / ar susiję su žalos padarymu trečiojo asmens turtui, asmens sveikatai, gyvybei.</w:t>
            </w:r>
          </w:p>
        </w:tc>
        <w:tc>
          <w:tcPr>
            <w:tcW w:w="4814" w:type="dxa"/>
          </w:tcPr>
          <w:p w14:paraId="2847728E" w14:textId="77777777" w:rsidR="00193579" w:rsidRPr="00F64234" w:rsidRDefault="00193579" w:rsidP="002146C7">
            <w:pPr>
              <w:spacing w:line="280" w:lineRule="exact"/>
              <w:jc w:val="both"/>
              <w:rPr>
                <w:szCs w:val="22"/>
              </w:rPr>
            </w:pPr>
            <w:r w:rsidRPr="00F64234">
              <w:rPr>
                <w:szCs w:val="22"/>
              </w:rPr>
              <w:t>Sąlygos nekoreguosime, nes sąvoka „finansinė žala“ yra tapatu sąvokai „netiesioginiai nuostoliai“.</w:t>
            </w:r>
          </w:p>
        </w:tc>
      </w:tr>
    </w:tbl>
    <w:p w14:paraId="13633059" w14:textId="6EBE94D8" w:rsidR="0048519C" w:rsidRDefault="0048519C"/>
    <w:p w14:paraId="20611483" w14:textId="7FE6F39B" w:rsidR="00C92708" w:rsidRDefault="00C92708">
      <w:r>
        <w:t>Komisijos pirmininkė Daiva Gavėnienė</w:t>
      </w:r>
    </w:p>
    <w:sectPr w:rsidR="00C92708"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C345E"/>
    <w:multiLevelType w:val="hybridMultilevel"/>
    <w:tmpl w:val="D9DA1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80"/>
    <w:rsid w:val="00193579"/>
    <w:rsid w:val="00232902"/>
    <w:rsid w:val="00411680"/>
    <w:rsid w:val="0048519C"/>
    <w:rsid w:val="00586DA0"/>
    <w:rsid w:val="006A79E5"/>
    <w:rsid w:val="00B900FD"/>
    <w:rsid w:val="00C92708"/>
    <w:rsid w:val="00DA4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62B2"/>
  <w15:chartTrackingRefBased/>
  <w15:docId w15:val="{FFD75EF5-9E9E-40C8-BDDA-3A7AF066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4845"/>
    <w:pPr>
      <w:spacing w:line="254"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4845"/>
    <w:pPr>
      <w:ind w:left="720"/>
      <w:contextualSpacing/>
    </w:pPr>
  </w:style>
  <w:style w:type="table" w:styleId="Lentelstinklelis">
    <w:name w:val="Table Grid"/>
    <w:basedOn w:val="prastojilentel"/>
    <w:rsid w:val="00193579"/>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1600</Words>
  <Characters>912</Characters>
  <Application>Microsoft Office Word</Application>
  <DocSecurity>0</DocSecurity>
  <Lines>7</Lines>
  <Paragraphs>5</Paragraphs>
  <ScaleCrop>false</ScaleCrop>
  <Company>SoDra</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Laukavičienė</dc:creator>
  <cp:keywords/>
  <dc:description/>
  <cp:lastModifiedBy>Agnietė Laukavičienė</cp:lastModifiedBy>
  <cp:revision>7</cp:revision>
  <dcterms:created xsi:type="dcterms:W3CDTF">2024-12-13T11:31:00Z</dcterms:created>
  <dcterms:modified xsi:type="dcterms:W3CDTF">2024-12-13T11:35:00Z</dcterms:modified>
</cp:coreProperties>
</file>