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F88F" w14:textId="287F3A94" w:rsidR="009A294C" w:rsidRPr="00B842FF" w:rsidRDefault="009A294C" w:rsidP="009A294C">
      <w:pPr>
        <w:jc w:val="right"/>
        <w:rPr>
          <w:i/>
          <w:iCs/>
        </w:rPr>
      </w:pPr>
      <w:r>
        <w:rPr>
          <w:i/>
          <w:iCs/>
        </w:rPr>
        <w:t>P</w:t>
      </w:r>
      <w:r w:rsidRPr="00B842FF">
        <w:rPr>
          <w:i/>
          <w:iCs/>
        </w:rPr>
        <w:t>irkimo sąlygų</w:t>
      </w:r>
      <w:r>
        <w:rPr>
          <w:i/>
          <w:iCs/>
        </w:rPr>
        <w:t xml:space="preserve"> A dalies</w:t>
      </w:r>
      <w:r w:rsidRPr="00B842FF">
        <w:rPr>
          <w:i/>
          <w:iCs/>
        </w:rPr>
        <w:t xml:space="preserve"> </w:t>
      </w:r>
      <w:r>
        <w:rPr>
          <w:i/>
          <w:iCs/>
        </w:rPr>
        <w:t>6</w:t>
      </w:r>
      <w:r w:rsidRPr="00B842FF">
        <w:rPr>
          <w:i/>
          <w:iCs/>
        </w:rPr>
        <w:t xml:space="preserve"> priedas </w:t>
      </w:r>
    </w:p>
    <w:p w14:paraId="7AD753F3" w14:textId="77777777" w:rsidR="007F0C16" w:rsidRDefault="007F0C16" w:rsidP="002B6C8B">
      <w:pPr>
        <w:tabs>
          <w:tab w:val="num" w:pos="3065"/>
        </w:tabs>
        <w:ind w:right="278"/>
        <w:rPr>
          <w:rFonts w:eastAsia="Calibri"/>
          <w:b/>
          <w:bCs/>
          <w:szCs w:val="24"/>
        </w:rPr>
      </w:pPr>
    </w:p>
    <w:p w14:paraId="368B5C7A" w14:textId="77777777" w:rsidR="00B43507" w:rsidRDefault="00B43507" w:rsidP="00B43507">
      <w:pPr>
        <w:tabs>
          <w:tab w:val="num" w:pos="3065"/>
        </w:tabs>
        <w:ind w:right="278"/>
        <w:jc w:val="center"/>
        <w:rPr>
          <w:rFonts w:eastAsia="Calibri"/>
          <w:b/>
          <w:bCs/>
          <w:szCs w:val="24"/>
        </w:rPr>
      </w:pPr>
    </w:p>
    <w:p w14:paraId="0B4EC3C1" w14:textId="77777777" w:rsidR="00104EC6" w:rsidRDefault="00104EC6" w:rsidP="00B43507">
      <w:pPr>
        <w:tabs>
          <w:tab w:val="num" w:pos="3065"/>
        </w:tabs>
        <w:ind w:right="278"/>
        <w:jc w:val="center"/>
        <w:rPr>
          <w:rFonts w:eastAsia="Calibri"/>
          <w:b/>
          <w:bCs/>
          <w:szCs w:val="24"/>
        </w:rPr>
      </w:pPr>
    </w:p>
    <w:p w14:paraId="73DB4484" w14:textId="6F450716" w:rsidR="00B43507" w:rsidRDefault="00B43507" w:rsidP="00B43507">
      <w:pPr>
        <w:tabs>
          <w:tab w:val="num" w:pos="3065"/>
        </w:tabs>
        <w:ind w:right="278"/>
        <w:jc w:val="center"/>
        <w:rPr>
          <w:rFonts w:eastAsia="Calibri"/>
          <w:b/>
          <w:bCs/>
          <w:szCs w:val="24"/>
        </w:rPr>
      </w:pPr>
      <w:r w:rsidRPr="001B7A85">
        <w:rPr>
          <w:rFonts w:eastAsia="Calibri"/>
          <w:b/>
          <w:bCs/>
          <w:szCs w:val="24"/>
        </w:rPr>
        <w:t>TIEKĖJO</w:t>
      </w:r>
      <w:r w:rsidR="00801A25">
        <w:rPr>
          <w:rFonts w:eastAsia="Calibri"/>
          <w:b/>
          <w:bCs/>
          <w:szCs w:val="24"/>
        </w:rPr>
        <w:t xml:space="preserve"> </w:t>
      </w:r>
      <w:r w:rsidR="009D22A4">
        <w:rPr>
          <w:rFonts w:eastAsia="Calibri"/>
          <w:b/>
          <w:bCs/>
          <w:szCs w:val="24"/>
        </w:rPr>
        <w:t>ĮGYVENDINTŲ VEIKLŲ</w:t>
      </w:r>
      <w:r w:rsidRPr="001B7A85">
        <w:rPr>
          <w:rFonts w:eastAsia="Calibri"/>
          <w:b/>
          <w:bCs/>
          <w:szCs w:val="24"/>
        </w:rPr>
        <w:t xml:space="preserve"> SĄRAŠAS</w:t>
      </w:r>
    </w:p>
    <w:p w14:paraId="7F3BB16D" w14:textId="77777777" w:rsidR="007E0425" w:rsidRPr="001B7A85" w:rsidRDefault="007E0425" w:rsidP="00B43507">
      <w:pPr>
        <w:tabs>
          <w:tab w:val="num" w:pos="3065"/>
        </w:tabs>
        <w:ind w:right="278"/>
        <w:jc w:val="center"/>
        <w:rPr>
          <w:rFonts w:eastAsia="Calibri"/>
          <w:b/>
          <w:bCs/>
          <w:szCs w:val="24"/>
        </w:rPr>
      </w:pPr>
    </w:p>
    <w:p w14:paraId="3DE06334" w14:textId="77777777" w:rsidR="00B43507" w:rsidRPr="001B7A85" w:rsidRDefault="00B43507" w:rsidP="00B43507">
      <w:pPr>
        <w:tabs>
          <w:tab w:val="num" w:pos="3065"/>
        </w:tabs>
        <w:ind w:right="278"/>
        <w:rPr>
          <w:rFonts w:eastAsia="Calibri"/>
          <w:i/>
          <w:szCs w:val="24"/>
        </w:rPr>
      </w:pPr>
    </w:p>
    <w:tbl>
      <w:tblPr>
        <w:tblStyle w:val="TableGrid"/>
        <w:tblW w:w="4966" w:type="pct"/>
        <w:tblLayout w:type="fixed"/>
        <w:tblLook w:val="04A0" w:firstRow="1" w:lastRow="0" w:firstColumn="1" w:lastColumn="0" w:noHBand="0" w:noVBand="1"/>
      </w:tblPr>
      <w:tblGrid>
        <w:gridCol w:w="705"/>
        <w:gridCol w:w="3117"/>
        <w:gridCol w:w="2553"/>
        <w:gridCol w:w="2977"/>
        <w:gridCol w:w="2834"/>
        <w:gridCol w:w="3401"/>
      </w:tblGrid>
      <w:tr w:rsidR="00C11941" w:rsidRPr="008165C0" w14:paraId="027045C2" w14:textId="4BE6FE7C" w:rsidTr="00C11941">
        <w:tc>
          <w:tcPr>
            <w:tcW w:w="226" w:type="pct"/>
            <w:shd w:val="clear" w:color="auto" w:fill="F2F2F2" w:themeFill="background1" w:themeFillShade="F2"/>
            <w:vAlign w:val="center"/>
          </w:tcPr>
          <w:p w14:paraId="644AA76B" w14:textId="77777777" w:rsidR="00C11941" w:rsidRPr="008165C0" w:rsidRDefault="00C11941" w:rsidP="00104EC6">
            <w:pPr>
              <w:tabs>
                <w:tab w:val="num" w:pos="3065"/>
              </w:tabs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165C0">
              <w:rPr>
                <w:rFonts w:eastAsia="Calibri"/>
                <w:i/>
                <w:sz w:val="22"/>
                <w:szCs w:val="22"/>
              </w:rPr>
              <w:t>Eil. Nr.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1F05926F" w14:textId="4491DE47" w:rsidR="00C11941" w:rsidRPr="008165C0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165C0">
              <w:rPr>
                <w:rFonts w:eastAsia="Calibri"/>
                <w:i/>
                <w:sz w:val="22"/>
                <w:szCs w:val="22"/>
              </w:rPr>
              <w:t>Paslaug</w:t>
            </w:r>
            <w:r>
              <w:rPr>
                <w:rFonts w:eastAsia="Calibri"/>
                <w:i/>
                <w:sz w:val="22"/>
                <w:szCs w:val="22"/>
              </w:rPr>
              <w:t>ų</w:t>
            </w:r>
            <w:r w:rsidRPr="008165C0">
              <w:rPr>
                <w:rFonts w:eastAsia="Calibri"/>
                <w:i/>
                <w:sz w:val="22"/>
                <w:szCs w:val="22"/>
              </w:rPr>
              <w:t xml:space="preserve"> gavėjo (užsakovo)</w:t>
            </w:r>
            <w:r w:rsidRPr="00AB462C">
              <w:rPr>
                <w:i/>
                <w:sz w:val="22"/>
                <w:szCs w:val="22"/>
                <w:lang w:val="sv-SE"/>
              </w:rPr>
              <w:t xml:space="preserve"> </w:t>
            </w:r>
            <w:r w:rsidRPr="008165C0">
              <w:rPr>
                <w:rFonts w:eastAsia="Calibri"/>
                <w:i/>
                <w:sz w:val="22"/>
                <w:szCs w:val="22"/>
              </w:rPr>
              <w:t>pavadinimas, adresas, telefono numeris ir kontaktinis asmuo</w:t>
            </w:r>
          </w:p>
        </w:tc>
        <w:tc>
          <w:tcPr>
            <w:tcW w:w="819" w:type="pct"/>
            <w:shd w:val="clear" w:color="auto" w:fill="F2F2F2" w:themeFill="background1" w:themeFillShade="F2"/>
            <w:vAlign w:val="center"/>
          </w:tcPr>
          <w:p w14:paraId="33CF68A4" w14:textId="27423C91" w:rsidR="00C11941" w:rsidRPr="008165C0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Įgyvendintos priemonės</w:t>
            </w:r>
            <w:r w:rsidRPr="008165C0">
              <w:rPr>
                <w:rFonts w:eastAsia="Calibri"/>
                <w:i/>
                <w:sz w:val="22"/>
                <w:szCs w:val="22"/>
              </w:rPr>
              <w:t xml:space="preserve"> pavadinimas, </w:t>
            </w:r>
            <w:r>
              <w:rPr>
                <w:rFonts w:eastAsia="Calibri"/>
                <w:i/>
                <w:sz w:val="22"/>
                <w:szCs w:val="22"/>
              </w:rPr>
              <w:t xml:space="preserve">sudarymo </w:t>
            </w:r>
            <w:r w:rsidRPr="008165C0">
              <w:rPr>
                <w:rFonts w:eastAsia="Calibri"/>
                <w:i/>
                <w:sz w:val="22"/>
                <w:szCs w:val="22"/>
              </w:rPr>
              <w:t>data ir Nr.</w:t>
            </w:r>
            <w:r>
              <w:rPr>
                <w:rFonts w:eastAsia="Calibri"/>
                <w:i/>
                <w:sz w:val="22"/>
                <w:szCs w:val="22"/>
              </w:rPr>
              <w:t>*</w:t>
            </w:r>
          </w:p>
        </w:tc>
        <w:tc>
          <w:tcPr>
            <w:tcW w:w="955" w:type="pct"/>
            <w:shd w:val="clear" w:color="auto" w:fill="F2F2F2" w:themeFill="background1" w:themeFillShade="F2"/>
            <w:vAlign w:val="center"/>
          </w:tcPr>
          <w:p w14:paraId="6C90F30B" w14:textId="1CF8BC99" w:rsidR="00C11941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Įgyvendintos priemonės </w:t>
            </w:r>
            <w:r w:rsidRPr="008165C0">
              <w:rPr>
                <w:rFonts w:eastAsia="Calibri"/>
                <w:i/>
                <w:sz w:val="22"/>
                <w:szCs w:val="22"/>
              </w:rPr>
              <w:t xml:space="preserve">laikotarpis </w:t>
            </w:r>
          </w:p>
          <w:p w14:paraId="36EE3DE3" w14:textId="3C5A3ADD" w:rsidR="00C11941" w:rsidRPr="008165C0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165C0">
              <w:rPr>
                <w:rFonts w:eastAsia="Calibri"/>
                <w:i/>
                <w:sz w:val="22"/>
                <w:szCs w:val="22"/>
              </w:rPr>
              <w:t>(</w:t>
            </w:r>
            <w:r>
              <w:rPr>
                <w:rFonts w:eastAsia="Calibri"/>
                <w:i/>
                <w:sz w:val="22"/>
                <w:szCs w:val="22"/>
              </w:rPr>
              <w:t>nuo – iki, m., mėn., d.</w:t>
            </w:r>
            <w:r w:rsidRPr="008165C0">
              <w:rPr>
                <w:rFonts w:eastAsia="Calibri"/>
                <w:i/>
                <w:sz w:val="22"/>
                <w:szCs w:val="22"/>
              </w:rPr>
              <w:t>)</w:t>
            </w:r>
          </w:p>
        </w:tc>
        <w:tc>
          <w:tcPr>
            <w:tcW w:w="909" w:type="pct"/>
            <w:shd w:val="clear" w:color="auto" w:fill="F2F2F2" w:themeFill="background1" w:themeFillShade="F2"/>
            <w:vAlign w:val="center"/>
          </w:tcPr>
          <w:p w14:paraId="73363A87" w14:textId="073D09CE" w:rsidR="00C11941" w:rsidRPr="008165C0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165C0">
              <w:rPr>
                <w:rFonts w:eastAsia="Calibri"/>
                <w:i/>
                <w:sz w:val="22"/>
                <w:szCs w:val="22"/>
              </w:rPr>
              <w:t xml:space="preserve">Tiekėjo </w:t>
            </w:r>
            <w:r>
              <w:rPr>
                <w:rFonts w:eastAsia="Calibri"/>
                <w:i/>
                <w:sz w:val="22"/>
                <w:szCs w:val="22"/>
              </w:rPr>
              <w:t>įgyvendintų</w:t>
            </w:r>
            <w:r w:rsidRPr="008165C0">
              <w:rPr>
                <w:rFonts w:eastAsia="Calibri"/>
                <w:i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</w:rPr>
              <w:t>priemonių</w:t>
            </w:r>
            <w:r w:rsidRPr="008165C0">
              <w:rPr>
                <w:rFonts w:eastAsia="Calibri"/>
                <w:i/>
                <w:sz w:val="22"/>
                <w:szCs w:val="22"/>
              </w:rPr>
              <w:t xml:space="preserve"> aprašymas</w:t>
            </w:r>
          </w:p>
        </w:tc>
        <w:tc>
          <w:tcPr>
            <w:tcW w:w="1091" w:type="pct"/>
            <w:shd w:val="clear" w:color="auto" w:fill="F2F2F2" w:themeFill="background1" w:themeFillShade="F2"/>
          </w:tcPr>
          <w:p w14:paraId="77BDC0A6" w14:textId="12153E4D" w:rsidR="00C11941" w:rsidRPr="008165C0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165C0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Pastabos (nurodyti, kai Tiekėjas remiasi </w:t>
            </w:r>
            <w:r>
              <w:rPr>
                <w:rFonts w:asciiTheme="majorBidi" w:hAnsiTheme="majorBidi" w:cstheme="majorBidi"/>
                <w:i/>
                <w:sz w:val="22"/>
                <w:szCs w:val="22"/>
              </w:rPr>
              <w:t>priemonių</w:t>
            </w:r>
            <w:r w:rsidRPr="008165C0">
              <w:rPr>
                <w:rFonts w:asciiTheme="majorBidi" w:hAnsiTheme="majorBidi" w:cstheme="majorBidi"/>
                <w:i/>
                <w:sz w:val="22"/>
                <w:szCs w:val="22"/>
              </w:rPr>
              <w:t>, kur</w:t>
            </w:r>
            <w:r>
              <w:rPr>
                <w:rFonts w:asciiTheme="majorBidi" w:hAnsiTheme="majorBidi" w:cstheme="majorBidi"/>
                <w:i/>
                <w:sz w:val="22"/>
                <w:szCs w:val="22"/>
              </w:rPr>
              <w:t>ias</w:t>
            </w:r>
            <w:r w:rsidRPr="008165C0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jis vykdė ne vienas, bet kartu su kitais ūkio subjektais bei išskirti kokias </w:t>
            </w:r>
            <w:r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veiklas </w:t>
            </w:r>
            <w:r w:rsidRPr="008165C0">
              <w:rPr>
                <w:rFonts w:asciiTheme="majorBidi" w:hAnsiTheme="majorBidi" w:cstheme="majorBidi"/>
                <w:i/>
                <w:sz w:val="22"/>
                <w:szCs w:val="22"/>
              </w:rPr>
              <w:t>ir kada suteikė tiekėjas dalyvaujantis šiame pirkime)</w:t>
            </w:r>
          </w:p>
        </w:tc>
      </w:tr>
      <w:tr w:rsidR="00C11941" w:rsidRPr="001B7A85" w14:paraId="075A2E72" w14:textId="231C2BBE" w:rsidTr="00C11941">
        <w:tc>
          <w:tcPr>
            <w:tcW w:w="226" w:type="pct"/>
            <w:shd w:val="clear" w:color="auto" w:fill="F2F2F2" w:themeFill="background1" w:themeFillShade="F2"/>
          </w:tcPr>
          <w:p w14:paraId="2830C891" w14:textId="77777777" w:rsidR="00C11941" w:rsidRPr="001B7A85" w:rsidRDefault="00C11941" w:rsidP="009A294C">
            <w:pPr>
              <w:tabs>
                <w:tab w:val="num" w:pos="3065"/>
              </w:tabs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28B3925" w14:textId="77777777" w:rsidR="00C11941" w:rsidRPr="001B7A85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2</w:t>
            </w:r>
          </w:p>
        </w:tc>
        <w:tc>
          <w:tcPr>
            <w:tcW w:w="819" w:type="pct"/>
            <w:shd w:val="clear" w:color="auto" w:fill="F2F2F2" w:themeFill="background1" w:themeFillShade="F2"/>
          </w:tcPr>
          <w:p w14:paraId="621C2272" w14:textId="77777777" w:rsidR="00C11941" w:rsidRPr="001B7A85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3</w:t>
            </w:r>
          </w:p>
        </w:tc>
        <w:tc>
          <w:tcPr>
            <w:tcW w:w="955" w:type="pct"/>
            <w:shd w:val="clear" w:color="auto" w:fill="F2F2F2" w:themeFill="background1" w:themeFillShade="F2"/>
          </w:tcPr>
          <w:p w14:paraId="6C625FBB" w14:textId="77777777" w:rsidR="00C11941" w:rsidRPr="001B7A85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4</w:t>
            </w:r>
          </w:p>
        </w:tc>
        <w:tc>
          <w:tcPr>
            <w:tcW w:w="909" w:type="pct"/>
            <w:shd w:val="clear" w:color="auto" w:fill="F2F2F2" w:themeFill="background1" w:themeFillShade="F2"/>
          </w:tcPr>
          <w:p w14:paraId="26182542" w14:textId="1C37C17B" w:rsidR="00C11941" w:rsidRPr="001B7A85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5</w:t>
            </w:r>
          </w:p>
        </w:tc>
        <w:tc>
          <w:tcPr>
            <w:tcW w:w="1091" w:type="pct"/>
            <w:shd w:val="clear" w:color="auto" w:fill="F2F2F2" w:themeFill="background1" w:themeFillShade="F2"/>
          </w:tcPr>
          <w:p w14:paraId="0AC6D000" w14:textId="64A65A15" w:rsidR="00C11941" w:rsidRPr="001B7A85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6</w:t>
            </w:r>
          </w:p>
        </w:tc>
      </w:tr>
      <w:tr w:rsidR="00C11941" w:rsidRPr="001B7A85" w14:paraId="32FA22F0" w14:textId="5B6E0144" w:rsidTr="00C11941">
        <w:tc>
          <w:tcPr>
            <w:tcW w:w="226" w:type="pct"/>
          </w:tcPr>
          <w:p w14:paraId="29B47A3F" w14:textId="77777777" w:rsidR="00C11941" w:rsidRPr="001B7A85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</w:p>
        </w:tc>
        <w:tc>
          <w:tcPr>
            <w:tcW w:w="1000" w:type="pct"/>
          </w:tcPr>
          <w:p w14:paraId="0BC28A86" w14:textId="77777777" w:rsidR="00C11941" w:rsidRPr="001B7A85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</w:p>
        </w:tc>
        <w:tc>
          <w:tcPr>
            <w:tcW w:w="819" w:type="pct"/>
          </w:tcPr>
          <w:p w14:paraId="4148DCAB" w14:textId="77777777" w:rsidR="00C11941" w:rsidRPr="001B7A85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</w:p>
        </w:tc>
        <w:tc>
          <w:tcPr>
            <w:tcW w:w="955" w:type="pct"/>
          </w:tcPr>
          <w:p w14:paraId="2346697C" w14:textId="77777777" w:rsidR="00C11941" w:rsidRPr="001B7A85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</w:p>
        </w:tc>
        <w:tc>
          <w:tcPr>
            <w:tcW w:w="909" w:type="pct"/>
          </w:tcPr>
          <w:p w14:paraId="20D8A9E3" w14:textId="77777777" w:rsidR="00C11941" w:rsidRPr="001B7A85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</w:p>
        </w:tc>
        <w:tc>
          <w:tcPr>
            <w:tcW w:w="1091" w:type="pct"/>
          </w:tcPr>
          <w:p w14:paraId="26336C57" w14:textId="77777777" w:rsidR="00C11941" w:rsidRPr="001B7A85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</w:p>
        </w:tc>
      </w:tr>
      <w:tr w:rsidR="00C11941" w:rsidRPr="001B7A85" w14:paraId="3DC8F606" w14:textId="6CB7E64A" w:rsidTr="00C11941">
        <w:tc>
          <w:tcPr>
            <w:tcW w:w="226" w:type="pct"/>
          </w:tcPr>
          <w:p w14:paraId="411B10E0" w14:textId="77777777" w:rsidR="00C11941" w:rsidRPr="001B7A85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</w:p>
        </w:tc>
        <w:tc>
          <w:tcPr>
            <w:tcW w:w="1000" w:type="pct"/>
          </w:tcPr>
          <w:p w14:paraId="46634A59" w14:textId="77777777" w:rsidR="00C11941" w:rsidRPr="001B7A85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</w:p>
        </w:tc>
        <w:tc>
          <w:tcPr>
            <w:tcW w:w="819" w:type="pct"/>
          </w:tcPr>
          <w:p w14:paraId="6A282487" w14:textId="77777777" w:rsidR="00C11941" w:rsidRPr="001B7A85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</w:p>
        </w:tc>
        <w:tc>
          <w:tcPr>
            <w:tcW w:w="955" w:type="pct"/>
          </w:tcPr>
          <w:p w14:paraId="210E33F9" w14:textId="77777777" w:rsidR="00C11941" w:rsidRPr="001B7A85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</w:p>
        </w:tc>
        <w:tc>
          <w:tcPr>
            <w:tcW w:w="909" w:type="pct"/>
          </w:tcPr>
          <w:p w14:paraId="6974B823" w14:textId="77777777" w:rsidR="00C11941" w:rsidRPr="001B7A85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</w:p>
        </w:tc>
        <w:tc>
          <w:tcPr>
            <w:tcW w:w="1091" w:type="pct"/>
          </w:tcPr>
          <w:p w14:paraId="660A9BCB" w14:textId="77777777" w:rsidR="00C11941" w:rsidRPr="001B7A85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</w:p>
        </w:tc>
      </w:tr>
      <w:tr w:rsidR="00C11941" w:rsidRPr="001B7A85" w14:paraId="5A22EA4F" w14:textId="13CD35C8" w:rsidTr="00C11941">
        <w:tc>
          <w:tcPr>
            <w:tcW w:w="226" w:type="pct"/>
          </w:tcPr>
          <w:p w14:paraId="61931FD1" w14:textId="77777777" w:rsidR="00C11941" w:rsidRPr="001B7A85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</w:p>
        </w:tc>
        <w:tc>
          <w:tcPr>
            <w:tcW w:w="1000" w:type="pct"/>
          </w:tcPr>
          <w:p w14:paraId="64387462" w14:textId="77777777" w:rsidR="00C11941" w:rsidRPr="001B7A85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</w:p>
        </w:tc>
        <w:tc>
          <w:tcPr>
            <w:tcW w:w="819" w:type="pct"/>
          </w:tcPr>
          <w:p w14:paraId="64D5BD2C" w14:textId="77777777" w:rsidR="00C11941" w:rsidRPr="001B7A85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</w:p>
        </w:tc>
        <w:tc>
          <w:tcPr>
            <w:tcW w:w="955" w:type="pct"/>
          </w:tcPr>
          <w:p w14:paraId="76C73E90" w14:textId="77777777" w:rsidR="00C11941" w:rsidRPr="001B7A85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</w:p>
        </w:tc>
        <w:tc>
          <w:tcPr>
            <w:tcW w:w="909" w:type="pct"/>
          </w:tcPr>
          <w:p w14:paraId="3296B177" w14:textId="77777777" w:rsidR="00C11941" w:rsidRPr="001B7A85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</w:p>
        </w:tc>
        <w:tc>
          <w:tcPr>
            <w:tcW w:w="1091" w:type="pct"/>
          </w:tcPr>
          <w:p w14:paraId="4294EE2E" w14:textId="77777777" w:rsidR="00C11941" w:rsidRPr="001B7A85" w:rsidRDefault="00C11941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</w:p>
        </w:tc>
      </w:tr>
    </w:tbl>
    <w:p w14:paraId="0883CEDD" w14:textId="77777777" w:rsidR="00B43507" w:rsidRPr="001B7A85" w:rsidRDefault="00B43507" w:rsidP="00B43507">
      <w:pPr>
        <w:tabs>
          <w:tab w:val="num" w:pos="3065"/>
        </w:tabs>
        <w:ind w:right="278"/>
        <w:rPr>
          <w:rFonts w:eastAsia="Calibri"/>
          <w:i/>
          <w:szCs w:val="24"/>
        </w:rPr>
      </w:pPr>
    </w:p>
    <w:p w14:paraId="43A3B8EB" w14:textId="7D9CD9FB" w:rsidR="00B43507" w:rsidRPr="009D3342" w:rsidRDefault="009E4AB7" w:rsidP="00B43507">
      <w:pPr>
        <w:jc w:val="both"/>
        <w:rPr>
          <w:i/>
          <w:iCs/>
          <w:sz w:val="22"/>
          <w:szCs w:val="22"/>
        </w:rPr>
      </w:pPr>
      <w:r w:rsidRPr="009D3342">
        <w:rPr>
          <w:sz w:val="22"/>
          <w:szCs w:val="22"/>
        </w:rPr>
        <w:t>*</w:t>
      </w:r>
      <w:r w:rsidR="009A328E" w:rsidRPr="009D3342">
        <w:rPr>
          <w:rFonts w:asciiTheme="majorBidi" w:hAnsiTheme="majorBidi" w:cstheme="majorBidi"/>
          <w:sz w:val="22"/>
          <w:szCs w:val="22"/>
        </w:rPr>
        <w:t>Taip pat turi būti pateikta Užsakovo (-ų) pažyma (-os) apie tinkamai vykdytas</w:t>
      </w:r>
      <w:r w:rsidR="00C11941">
        <w:rPr>
          <w:rFonts w:asciiTheme="majorBidi" w:hAnsiTheme="majorBidi" w:cstheme="majorBidi"/>
          <w:sz w:val="22"/>
          <w:szCs w:val="22"/>
        </w:rPr>
        <w:t xml:space="preserve"> priemones</w:t>
      </w:r>
      <w:r w:rsidR="00887D3E" w:rsidRPr="00F10683">
        <w:rPr>
          <w:rFonts w:asciiTheme="majorBidi" w:hAnsiTheme="majorBidi" w:cstheme="majorBidi"/>
          <w:sz w:val="22"/>
          <w:szCs w:val="22"/>
        </w:rPr>
        <w:t>.</w:t>
      </w:r>
      <w:r w:rsidR="009A328E" w:rsidRPr="00F10683">
        <w:rPr>
          <w:rFonts w:asciiTheme="majorBidi" w:hAnsiTheme="majorBidi" w:cstheme="majorBidi"/>
          <w:sz w:val="22"/>
          <w:szCs w:val="22"/>
        </w:rPr>
        <w:t xml:space="preserve"> Pateikiamose pažymose turi būti nurodytas </w:t>
      </w:r>
      <w:r w:rsidR="000576E5">
        <w:rPr>
          <w:rFonts w:asciiTheme="majorBidi" w:hAnsiTheme="majorBidi" w:cstheme="majorBidi"/>
          <w:sz w:val="22"/>
          <w:szCs w:val="22"/>
        </w:rPr>
        <w:t>priemonės</w:t>
      </w:r>
      <w:r w:rsidR="009A328E" w:rsidRPr="00F10683">
        <w:rPr>
          <w:rFonts w:asciiTheme="majorBidi" w:hAnsiTheme="majorBidi" w:cstheme="majorBidi"/>
          <w:sz w:val="22"/>
          <w:szCs w:val="22"/>
        </w:rPr>
        <w:t xml:space="preserve"> objektas, data, jų gavėjas. Abiejų šalių pasirašyti priėmimo-perdavimo aktai ar kiti lygiaverčiai dokumentai yra tinkami tik tuo atveju, jei juose yra pateikta informacija apie tai, kad </w:t>
      </w:r>
      <w:r w:rsidR="000576E5">
        <w:rPr>
          <w:rFonts w:asciiTheme="majorBidi" w:hAnsiTheme="majorBidi" w:cstheme="majorBidi"/>
          <w:sz w:val="22"/>
          <w:szCs w:val="22"/>
        </w:rPr>
        <w:t xml:space="preserve">priemonės </w:t>
      </w:r>
      <w:r w:rsidR="009A328E" w:rsidRPr="00F10683">
        <w:rPr>
          <w:rFonts w:asciiTheme="majorBidi" w:hAnsiTheme="majorBidi" w:cstheme="majorBidi"/>
          <w:sz w:val="22"/>
          <w:szCs w:val="22"/>
        </w:rPr>
        <w:t>suteiktos tinkamai arba užsakovas dėl sutei</w:t>
      </w:r>
      <w:r w:rsidR="00EB0481" w:rsidRPr="00F10683">
        <w:rPr>
          <w:rFonts w:asciiTheme="majorBidi" w:hAnsiTheme="majorBidi" w:cstheme="majorBidi"/>
          <w:sz w:val="22"/>
          <w:szCs w:val="22"/>
        </w:rPr>
        <w:t xml:space="preserve">ktų </w:t>
      </w:r>
      <w:r w:rsidR="00A06CAB">
        <w:rPr>
          <w:rFonts w:asciiTheme="majorBidi" w:hAnsiTheme="majorBidi" w:cstheme="majorBidi"/>
          <w:sz w:val="22"/>
          <w:szCs w:val="22"/>
        </w:rPr>
        <w:t>priemonių</w:t>
      </w:r>
      <w:r w:rsidR="009A328E" w:rsidRPr="00F10683">
        <w:rPr>
          <w:rFonts w:asciiTheme="majorBidi" w:hAnsiTheme="majorBidi" w:cstheme="majorBidi"/>
          <w:sz w:val="22"/>
          <w:szCs w:val="22"/>
        </w:rPr>
        <w:t xml:space="preserve"> pretenzijų neturi ar kita informacija leidžianti įsitikinti, jog </w:t>
      </w:r>
      <w:r w:rsidR="00EB0481" w:rsidRPr="00F10683">
        <w:rPr>
          <w:rFonts w:asciiTheme="majorBidi" w:hAnsiTheme="majorBidi" w:cstheme="majorBidi"/>
          <w:sz w:val="22"/>
          <w:szCs w:val="22"/>
        </w:rPr>
        <w:t>į</w:t>
      </w:r>
      <w:r w:rsidR="00F10683" w:rsidRPr="00F10683">
        <w:rPr>
          <w:rFonts w:asciiTheme="majorBidi" w:hAnsiTheme="majorBidi" w:cstheme="majorBidi"/>
          <w:sz w:val="22"/>
          <w:szCs w:val="22"/>
        </w:rPr>
        <w:t xml:space="preserve">gyvendintos </w:t>
      </w:r>
      <w:r w:rsidR="00A06CAB">
        <w:rPr>
          <w:rFonts w:asciiTheme="majorBidi" w:hAnsiTheme="majorBidi" w:cstheme="majorBidi"/>
          <w:sz w:val="22"/>
          <w:szCs w:val="22"/>
        </w:rPr>
        <w:t>priemonės</w:t>
      </w:r>
      <w:r w:rsidR="009A328E" w:rsidRPr="00F10683">
        <w:rPr>
          <w:rFonts w:asciiTheme="majorBidi" w:hAnsiTheme="majorBidi" w:cstheme="majorBidi"/>
          <w:sz w:val="22"/>
          <w:szCs w:val="22"/>
        </w:rPr>
        <w:t xml:space="preserve"> suteiktos tinkamai.</w:t>
      </w:r>
    </w:p>
    <w:p w14:paraId="606C98FE" w14:textId="77777777" w:rsidR="00B43507" w:rsidRPr="001B7A85" w:rsidRDefault="00B43507" w:rsidP="00B43507">
      <w:pPr>
        <w:widowControl w:val="0"/>
        <w:ind w:left="480"/>
        <w:rPr>
          <w:szCs w:val="24"/>
          <w:shd w:val="clear" w:color="auto" w:fill="00FF00"/>
        </w:rPr>
      </w:pPr>
    </w:p>
    <w:p w14:paraId="41362123" w14:textId="77777777" w:rsidR="00B43507" w:rsidRPr="001B7A85" w:rsidRDefault="00B43507" w:rsidP="00B43507">
      <w:pPr>
        <w:widowControl w:val="0"/>
        <w:ind w:left="480"/>
        <w:rPr>
          <w:szCs w:val="24"/>
          <w:shd w:val="clear" w:color="auto" w:fill="00FF00"/>
        </w:rPr>
      </w:pPr>
    </w:p>
    <w:p w14:paraId="440A47E9" w14:textId="0408F7E8" w:rsidR="00E21D20" w:rsidRPr="00B43507" w:rsidRDefault="00E21D20" w:rsidP="00B43507"/>
    <w:sectPr w:rsidR="00E21D20" w:rsidRPr="00B43507" w:rsidSect="00FD7E4E">
      <w:pgSz w:w="16838" w:h="11906" w:orient="landscape"/>
      <w:pgMar w:top="851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E0539" w14:textId="77777777" w:rsidR="00A034DD" w:rsidRDefault="00A034DD" w:rsidP="00FC0A46">
      <w:r>
        <w:separator/>
      </w:r>
    </w:p>
  </w:endnote>
  <w:endnote w:type="continuationSeparator" w:id="0">
    <w:p w14:paraId="0FB150D7" w14:textId="77777777" w:rsidR="00A034DD" w:rsidRDefault="00A034DD" w:rsidP="00FC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C3B2" w14:textId="77777777" w:rsidR="00A034DD" w:rsidRDefault="00A034DD" w:rsidP="00FC0A46">
      <w:r>
        <w:separator/>
      </w:r>
    </w:p>
  </w:footnote>
  <w:footnote w:type="continuationSeparator" w:id="0">
    <w:p w14:paraId="0D92B992" w14:textId="77777777" w:rsidR="00A034DD" w:rsidRDefault="00A034DD" w:rsidP="00FC0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4550"/>
    <w:multiLevelType w:val="hybridMultilevel"/>
    <w:tmpl w:val="82BAB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09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0D"/>
    <w:rsid w:val="0002522E"/>
    <w:rsid w:val="000576E5"/>
    <w:rsid w:val="00090B84"/>
    <w:rsid w:val="000C4A95"/>
    <w:rsid w:val="00104EC6"/>
    <w:rsid w:val="00107677"/>
    <w:rsid w:val="001115EB"/>
    <w:rsid w:val="00120B00"/>
    <w:rsid w:val="0012529B"/>
    <w:rsid w:val="0014089E"/>
    <w:rsid w:val="00145FF9"/>
    <w:rsid w:val="00181439"/>
    <w:rsid w:val="001B29C4"/>
    <w:rsid w:val="001B3B93"/>
    <w:rsid w:val="001C4E2B"/>
    <w:rsid w:val="00210B1A"/>
    <w:rsid w:val="00220C83"/>
    <w:rsid w:val="0026162B"/>
    <w:rsid w:val="00265373"/>
    <w:rsid w:val="00265D4C"/>
    <w:rsid w:val="00275494"/>
    <w:rsid w:val="002B6C8B"/>
    <w:rsid w:val="002C2EEA"/>
    <w:rsid w:val="002D5450"/>
    <w:rsid w:val="002F6D7D"/>
    <w:rsid w:val="00337914"/>
    <w:rsid w:val="00340434"/>
    <w:rsid w:val="00352C6D"/>
    <w:rsid w:val="00397B10"/>
    <w:rsid w:val="003A31A7"/>
    <w:rsid w:val="003D536D"/>
    <w:rsid w:val="003E4041"/>
    <w:rsid w:val="00401389"/>
    <w:rsid w:val="00405B3C"/>
    <w:rsid w:val="004111D0"/>
    <w:rsid w:val="004311B5"/>
    <w:rsid w:val="004B20E7"/>
    <w:rsid w:val="004D45C7"/>
    <w:rsid w:val="004E0630"/>
    <w:rsid w:val="004E2290"/>
    <w:rsid w:val="004E5F30"/>
    <w:rsid w:val="0051128D"/>
    <w:rsid w:val="005139BD"/>
    <w:rsid w:val="005D0D5E"/>
    <w:rsid w:val="005D72C1"/>
    <w:rsid w:val="005E3485"/>
    <w:rsid w:val="006073F7"/>
    <w:rsid w:val="0061504C"/>
    <w:rsid w:val="00626B50"/>
    <w:rsid w:val="00630FE9"/>
    <w:rsid w:val="006340DD"/>
    <w:rsid w:val="00665B78"/>
    <w:rsid w:val="006D1916"/>
    <w:rsid w:val="006E4531"/>
    <w:rsid w:val="00722448"/>
    <w:rsid w:val="007363A8"/>
    <w:rsid w:val="0074100D"/>
    <w:rsid w:val="007820B2"/>
    <w:rsid w:val="007D4B71"/>
    <w:rsid w:val="007D7476"/>
    <w:rsid w:val="007E0425"/>
    <w:rsid w:val="007F0C16"/>
    <w:rsid w:val="007F4C35"/>
    <w:rsid w:val="007F6F7F"/>
    <w:rsid w:val="0080078A"/>
    <w:rsid w:val="00801A25"/>
    <w:rsid w:val="008165C0"/>
    <w:rsid w:val="00820FE1"/>
    <w:rsid w:val="008227A0"/>
    <w:rsid w:val="00852A02"/>
    <w:rsid w:val="00854B11"/>
    <w:rsid w:val="00856F79"/>
    <w:rsid w:val="00862D6B"/>
    <w:rsid w:val="0087075F"/>
    <w:rsid w:val="00887D3E"/>
    <w:rsid w:val="008B206D"/>
    <w:rsid w:val="008C1FC5"/>
    <w:rsid w:val="008C7FF7"/>
    <w:rsid w:val="008E5E45"/>
    <w:rsid w:val="009200ED"/>
    <w:rsid w:val="00931368"/>
    <w:rsid w:val="00936E41"/>
    <w:rsid w:val="00937027"/>
    <w:rsid w:val="00940204"/>
    <w:rsid w:val="00963029"/>
    <w:rsid w:val="009955B9"/>
    <w:rsid w:val="009A294C"/>
    <w:rsid w:val="009A328E"/>
    <w:rsid w:val="009A779B"/>
    <w:rsid w:val="009D22A4"/>
    <w:rsid w:val="009D3342"/>
    <w:rsid w:val="009E0B1F"/>
    <w:rsid w:val="009E4AB7"/>
    <w:rsid w:val="00A01EA7"/>
    <w:rsid w:val="00A034DD"/>
    <w:rsid w:val="00A06CAB"/>
    <w:rsid w:val="00A17055"/>
    <w:rsid w:val="00A257AF"/>
    <w:rsid w:val="00A26028"/>
    <w:rsid w:val="00A46A11"/>
    <w:rsid w:val="00A86483"/>
    <w:rsid w:val="00A94A3C"/>
    <w:rsid w:val="00AB15B7"/>
    <w:rsid w:val="00AB462C"/>
    <w:rsid w:val="00AB63A0"/>
    <w:rsid w:val="00AD6409"/>
    <w:rsid w:val="00B32579"/>
    <w:rsid w:val="00B326C7"/>
    <w:rsid w:val="00B329C3"/>
    <w:rsid w:val="00B43507"/>
    <w:rsid w:val="00B74CF9"/>
    <w:rsid w:val="00B85634"/>
    <w:rsid w:val="00B87BBD"/>
    <w:rsid w:val="00B97F4B"/>
    <w:rsid w:val="00BF214E"/>
    <w:rsid w:val="00C11941"/>
    <w:rsid w:val="00C82559"/>
    <w:rsid w:val="00C97C19"/>
    <w:rsid w:val="00CA6F0C"/>
    <w:rsid w:val="00CF7E7F"/>
    <w:rsid w:val="00D2357E"/>
    <w:rsid w:val="00D31713"/>
    <w:rsid w:val="00D33A78"/>
    <w:rsid w:val="00D46961"/>
    <w:rsid w:val="00D55619"/>
    <w:rsid w:val="00D609E6"/>
    <w:rsid w:val="00D708E9"/>
    <w:rsid w:val="00D84A84"/>
    <w:rsid w:val="00D94921"/>
    <w:rsid w:val="00DA0871"/>
    <w:rsid w:val="00DA2B4C"/>
    <w:rsid w:val="00DC6595"/>
    <w:rsid w:val="00DC65FD"/>
    <w:rsid w:val="00DE420C"/>
    <w:rsid w:val="00DE4C95"/>
    <w:rsid w:val="00DF044E"/>
    <w:rsid w:val="00E12411"/>
    <w:rsid w:val="00E21D20"/>
    <w:rsid w:val="00E4756D"/>
    <w:rsid w:val="00E54C4E"/>
    <w:rsid w:val="00E95C89"/>
    <w:rsid w:val="00EB0481"/>
    <w:rsid w:val="00EC55FC"/>
    <w:rsid w:val="00EC684D"/>
    <w:rsid w:val="00ED1402"/>
    <w:rsid w:val="00F10683"/>
    <w:rsid w:val="00F122EE"/>
    <w:rsid w:val="00F35B5F"/>
    <w:rsid w:val="00F45F8A"/>
    <w:rsid w:val="00F50CF9"/>
    <w:rsid w:val="00F604AC"/>
    <w:rsid w:val="00FA235D"/>
    <w:rsid w:val="00FA2624"/>
    <w:rsid w:val="00FC0A46"/>
    <w:rsid w:val="00FD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344DD"/>
  <w15:chartTrackingRefBased/>
  <w15:docId w15:val="{428CCBBE-EFA4-4888-A7E4-62D60783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A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Normal"/>
    <w:link w:val="FootnoteTextChar"/>
    <w:uiPriority w:val="99"/>
    <w:rsid w:val="00FC0A46"/>
    <w:rPr>
      <w:sz w:val="20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"/>
    <w:basedOn w:val="DefaultParagraphFont"/>
    <w:link w:val="FootnoteText"/>
    <w:uiPriority w:val="99"/>
    <w:rsid w:val="00FC0A4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uiPriority w:val="99"/>
    <w:rsid w:val="00FC0A46"/>
    <w:rPr>
      <w:vertAlign w:val="superscript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34"/>
    <w:qFormat/>
    <w:rsid w:val="00FC0A46"/>
    <w:pPr>
      <w:ind w:left="720"/>
      <w:contextualSpacing/>
    </w:pPr>
  </w:style>
  <w:style w:type="table" w:styleId="TableGrid">
    <w:name w:val="Table Grid"/>
    <w:basedOn w:val="TableNormal"/>
    <w:uiPriority w:val="39"/>
    <w:rsid w:val="00FC0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,lp1 Char"/>
    <w:link w:val="ListParagraph"/>
    <w:uiPriority w:val="34"/>
    <w:qFormat/>
    <w:locked/>
    <w:rsid w:val="00FC0A46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2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9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9C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7B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431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Macijauskienė</dc:creator>
  <cp:keywords/>
  <dc:description/>
  <cp:lastModifiedBy>Donata Stankūnienė</cp:lastModifiedBy>
  <cp:revision>74</cp:revision>
  <dcterms:created xsi:type="dcterms:W3CDTF">2022-04-13T08:34:00Z</dcterms:created>
  <dcterms:modified xsi:type="dcterms:W3CDTF">2025-09-16T07:20:00Z</dcterms:modified>
</cp:coreProperties>
</file>