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580" w14:textId="43BE3A8E" w:rsidR="00C15F54" w:rsidRPr="00AA3B11" w:rsidRDefault="006E16FC" w:rsidP="0021177D">
      <w:pPr>
        <w:widowControl w:val="0"/>
        <w:tabs>
          <w:tab w:val="left" w:pos="720"/>
          <w:tab w:val="center" w:pos="4153"/>
          <w:tab w:val="right" w:pos="8306"/>
        </w:tabs>
        <w:jc w:val="right"/>
        <w:rPr>
          <w:rFonts w:eastAsia="Times New Roman"/>
          <w:bdr w:val="none" w:sz="0" w:space="0" w:color="auto"/>
          <w:lang w:eastAsia="lt-LT"/>
        </w:rPr>
      </w:pPr>
      <w:r>
        <w:rPr>
          <w:rFonts w:eastAsia="Times New Roman"/>
          <w:bdr w:val="none" w:sz="0" w:space="0" w:color="auto"/>
          <w:lang w:eastAsia="lt-LT"/>
        </w:rPr>
        <w:t xml:space="preserve"> </w:t>
      </w:r>
    </w:p>
    <w:p w14:paraId="60E5BBD9" w14:textId="334AB9FF" w:rsidR="00900C9B" w:rsidRPr="00C50E47" w:rsidRDefault="00003C80" w:rsidP="0021177D">
      <w:pPr>
        <w:widowControl w:val="0"/>
        <w:tabs>
          <w:tab w:val="left" w:pos="720"/>
          <w:tab w:val="center" w:pos="4153"/>
          <w:tab w:val="right" w:pos="8306"/>
        </w:tabs>
        <w:jc w:val="right"/>
        <w:rPr>
          <w:lang w:val="lt-LT"/>
        </w:rPr>
      </w:pPr>
      <w:r w:rsidRPr="00900C9B">
        <w:rPr>
          <w:rFonts w:eastAsia="Times New Roman"/>
          <w:bdr w:val="none" w:sz="0" w:space="0" w:color="auto"/>
          <w:lang w:val="lt-LT" w:eastAsia="lt-LT"/>
        </w:rPr>
        <w:t xml:space="preserve">Pirkimo sąlygų </w:t>
      </w:r>
      <w:r w:rsidR="00DA4A9D">
        <w:rPr>
          <w:rFonts w:eastAsia="Times New Roman"/>
          <w:bdr w:val="none" w:sz="0" w:space="0" w:color="auto"/>
          <w:lang w:val="lt-LT" w:eastAsia="lt-LT"/>
        </w:rPr>
        <w:t>4</w:t>
      </w:r>
      <w:r w:rsidRPr="00900C9B">
        <w:rPr>
          <w:rFonts w:eastAsia="Times New Roman"/>
          <w:bdr w:val="none" w:sz="0" w:space="0" w:color="auto"/>
          <w:lang w:val="lt-LT" w:eastAsia="lt-LT"/>
        </w:rPr>
        <w:t xml:space="preserve"> priedas</w:t>
      </w:r>
      <w:r w:rsidR="00900C9B">
        <w:rPr>
          <w:rFonts w:eastAsia="Times New Roman"/>
          <w:bdr w:val="none" w:sz="0" w:space="0" w:color="auto"/>
          <w:lang w:val="lt-LT" w:eastAsia="lt-LT"/>
        </w:rPr>
        <w:t xml:space="preserve"> </w:t>
      </w:r>
    </w:p>
    <w:p w14:paraId="3B3C3A5B" w14:textId="68646F9D" w:rsidR="00003C80" w:rsidRPr="00900C9B"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dr w:val="none" w:sz="0" w:space="0" w:color="auto"/>
          <w:lang w:val="lt-LT" w:eastAsia="lt-LT"/>
        </w:rPr>
      </w:pPr>
    </w:p>
    <w:p w14:paraId="10978D67" w14:textId="77777777" w:rsidR="00003C80" w:rsidRPr="00003C80"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53ACB091" w14:textId="53AB80CF" w:rsidR="00B04F88" w:rsidRPr="003E505C" w:rsidRDefault="003E505C" w:rsidP="003E505C">
      <w:pPr>
        <w:jc w:val="center"/>
        <w:rPr>
          <w:b/>
          <w:bCs/>
          <w:lang w:val="lt-LT" w:eastAsia="ar-SA"/>
        </w:rPr>
      </w:pPr>
      <w:r w:rsidRPr="003E505C">
        <w:rPr>
          <w:b/>
          <w:bCs/>
          <w:lang w:val="lt-LT" w:eastAsia="ar-SA"/>
        </w:rPr>
        <w:t xml:space="preserve">BUITINIŲ NUOTEKŲ TINKLŲ PLĖTRA PERGALĖS G., LIEPŲ G., BAŽNYČIOS G., </w:t>
      </w:r>
      <w:r w:rsidR="00B33768">
        <w:rPr>
          <w:b/>
          <w:bCs/>
          <w:lang w:val="lt-LT" w:eastAsia="ar-SA"/>
        </w:rPr>
        <w:t xml:space="preserve">TULPIŲ G., </w:t>
      </w:r>
      <w:r w:rsidRPr="003E505C">
        <w:rPr>
          <w:b/>
          <w:bCs/>
          <w:lang w:val="lt-LT" w:eastAsia="ar-SA"/>
        </w:rPr>
        <w:t xml:space="preserve">VILKIJOS M., KAUNO R. SAV. </w:t>
      </w:r>
      <w:r w:rsidR="00DA4BB2" w:rsidRPr="00DA4BB2">
        <w:rPr>
          <w:rFonts w:eastAsia="Times New Roman"/>
          <w:b/>
          <w:bCs/>
          <w:bdr w:val="none" w:sz="0" w:space="0" w:color="auto" w:frame="1"/>
          <w:lang w:val="lt-LT"/>
        </w:rPr>
        <w:t>PRELIMINARIO</w:t>
      </w:r>
      <w:r w:rsidR="00B04F88">
        <w:rPr>
          <w:rFonts w:eastAsia="Times New Roman"/>
          <w:b/>
          <w:bCs/>
          <w:bdr w:val="none" w:sz="0" w:space="0" w:color="auto" w:frame="1"/>
          <w:lang w:val="lt-LT"/>
        </w:rPr>
        <w:t>JI</w:t>
      </w:r>
      <w:r w:rsidR="00DA4BB2" w:rsidRPr="00DA4BB2">
        <w:rPr>
          <w:rFonts w:eastAsia="Times New Roman"/>
          <w:b/>
          <w:bCs/>
          <w:bdr w:val="none" w:sz="0" w:space="0" w:color="auto" w:frame="1"/>
          <w:lang w:val="lt-LT"/>
        </w:rPr>
        <w:t xml:space="preserve"> SUTARTI</w:t>
      </w:r>
      <w:r w:rsidR="00B04F88">
        <w:rPr>
          <w:rFonts w:eastAsia="Times New Roman"/>
          <w:b/>
          <w:bCs/>
          <w:bdr w:val="none" w:sz="0" w:space="0" w:color="auto" w:frame="1"/>
          <w:lang w:val="lt-LT"/>
        </w:rPr>
        <w:t>S</w:t>
      </w:r>
    </w:p>
    <w:p w14:paraId="216991BD" w14:textId="17C754CC"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 xml:space="preserve"> </w:t>
      </w:r>
      <w:r w:rsidR="00B04F88">
        <w:rPr>
          <w:rFonts w:eastAsia="Times New Roman"/>
          <w:b/>
          <w:bCs/>
          <w:bdr w:val="none" w:sz="0" w:space="0" w:color="auto" w:frame="1"/>
          <w:lang w:val="lt-LT"/>
        </w:rPr>
        <w:t>(</w:t>
      </w:r>
      <w:r w:rsidRPr="00DA4BB2">
        <w:rPr>
          <w:rFonts w:eastAsia="Times New Roman"/>
          <w:b/>
          <w:bCs/>
          <w:bdr w:val="none" w:sz="0" w:space="0" w:color="auto" w:frame="1"/>
          <w:lang w:val="lt-LT"/>
        </w:rPr>
        <w:t>PROJEKTAS</w:t>
      </w:r>
      <w:r w:rsidR="00B04F88">
        <w:rPr>
          <w:rFonts w:eastAsia="Times New Roman"/>
          <w:b/>
          <w:bCs/>
          <w:bdr w:val="none" w:sz="0" w:space="0" w:color="auto" w:frame="1"/>
          <w:lang w:val="lt-LT"/>
        </w:rPr>
        <w:t>)</w:t>
      </w:r>
    </w:p>
    <w:p w14:paraId="6A08B681" w14:textId="65EF2EC6"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145588">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w:t>
      </w:r>
      <w:r w:rsidR="00BD0538">
        <w:rPr>
          <w:rFonts w:eastAsia="Times New Roman"/>
          <w:color w:val="000000"/>
          <w:bdr w:val="none" w:sz="0" w:space="0" w:color="auto" w:frame="1"/>
          <w:lang w:val="lt-LT" w:eastAsia="lt-LT"/>
        </w:rPr>
        <w:t>_______</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 xml:space="preserve">Nr. </w:t>
      </w:r>
      <w:r w:rsidR="00A92A22">
        <w:rPr>
          <w:rFonts w:eastAsia="Times New Roman"/>
          <w:color w:val="000000"/>
          <w:bdr w:val="none" w:sz="0" w:space="0" w:color="auto" w:frame="1"/>
          <w:lang w:val="lt-LT" w:eastAsia="lt-LT"/>
        </w:rPr>
        <w:t>DS</w:t>
      </w:r>
      <w:r w:rsidRPr="00DA4BB2">
        <w:rPr>
          <w:rFonts w:eastAsia="Times New Roman"/>
          <w:color w:val="000000"/>
          <w:bdr w:val="none" w:sz="0" w:space="0" w:color="auto" w:frame="1"/>
          <w:lang w:val="lt-LT" w:eastAsia="lt-LT"/>
        </w:rPr>
        <w:t>-</w:t>
      </w:r>
      <w:r w:rsidR="00BD0538">
        <w:rPr>
          <w:rFonts w:eastAsia="Times New Roman"/>
          <w:color w:val="000000"/>
          <w:bdr w:val="none" w:sz="0" w:space="0" w:color="auto" w:frame="1"/>
          <w:lang w:val="lt-LT" w:eastAsia="lt-LT"/>
        </w:rPr>
        <w:t xml:space="preserve"> _____</w:t>
      </w:r>
    </w:p>
    <w:p w14:paraId="63AC2C56" w14:textId="69088A26" w:rsidR="00145588" w:rsidRPr="00B71FC0"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B71FC0">
        <w:rPr>
          <w:rFonts w:eastAsia="Times New Roman"/>
          <w:bdr w:val="none" w:sz="0" w:space="0" w:color="auto" w:frame="1"/>
          <w:lang w:val="lt-LT"/>
        </w:rPr>
        <w:t>Kaun</w:t>
      </w:r>
      <w:r w:rsidR="00253145">
        <w:rPr>
          <w:rFonts w:eastAsia="Times New Roman"/>
          <w:bdr w:val="none" w:sz="0" w:space="0" w:color="auto" w:frame="1"/>
          <w:lang w:val="lt-LT"/>
        </w:rPr>
        <w:t xml:space="preserve">o r. </w:t>
      </w:r>
    </w:p>
    <w:p w14:paraId="61BAD3BF" w14:textId="0B83B576" w:rsidR="00900C9B" w:rsidRPr="00900C9B" w:rsidRDefault="00DA4A9D" w:rsidP="0021177D">
      <w:pPr>
        <w:tabs>
          <w:tab w:val="left" w:pos="7797"/>
        </w:tabs>
        <w:ind w:firstLine="851"/>
        <w:jc w:val="both"/>
        <w:rPr>
          <w:lang w:val="lt-LT"/>
        </w:rPr>
      </w:pPr>
      <w:r w:rsidRPr="00B71FC0">
        <w:rPr>
          <w:b/>
          <w:lang w:val="lt-LT"/>
        </w:rPr>
        <w:t>UAB „Giraitės vandenys“</w:t>
      </w:r>
      <w:r w:rsidR="00900C9B" w:rsidRPr="00B71FC0">
        <w:rPr>
          <w:bCs/>
          <w:lang w:val="lt-LT"/>
        </w:rPr>
        <w:t>,</w:t>
      </w:r>
      <w:r w:rsidR="00900C9B" w:rsidRPr="00B71FC0">
        <w:rPr>
          <w:lang w:val="lt-LT"/>
        </w:rPr>
        <w:t xml:space="preserve"> </w:t>
      </w:r>
      <w:r w:rsidR="000B7893" w:rsidRPr="00B71FC0">
        <w:rPr>
          <w:lang w:val="lt-LT"/>
        </w:rPr>
        <w:t>juridinio asmens kodas</w:t>
      </w:r>
      <w:r w:rsidR="00900C9B" w:rsidRPr="00B71FC0">
        <w:rPr>
          <w:lang w:val="lt-LT"/>
        </w:rPr>
        <w:t xml:space="preserve"> 1</w:t>
      </w:r>
      <w:r w:rsidR="00B71FC0" w:rsidRPr="00A92A22">
        <w:rPr>
          <w:lang w:val="lt-LT"/>
        </w:rPr>
        <w:t>59702357</w:t>
      </w:r>
      <w:r w:rsidR="00900C9B" w:rsidRPr="00B71FC0">
        <w:rPr>
          <w:lang w:val="lt-LT"/>
        </w:rPr>
        <w:t xml:space="preserve">, adresas </w:t>
      </w:r>
      <w:r w:rsidR="00B71FC0" w:rsidRPr="00B71FC0">
        <w:rPr>
          <w:lang w:val="lt-LT"/>
        </w:rPr>
        <w:t xml:space="preserve">Topolių g. </w:t>
      </w:r>
      <w:r w:rsidR="00B71FC0" w:rsidRPr="00A92A22">
        <w:rPr>
          <w:lang w:val="lt-LT"/>
        </w:rPr>
        <w:t>5, Girait</w:t>
      </w:r>
      <w:r w:rsidR="00B71FC0" w:rsidRPr="00B71FC0">
        <w:rPr>
          <w:lang w:val="lt-LT"/>
        </w:rPr>
        <w:t xml:space="preserve">ė </w:t>
      </w:r>
      <w:r w:rsidR="00B71FC0" w:rsidRPr="00A92A22">
        <w:rPr>
          <w:lang w:val="lt-LT"/>
        </w:rPr>
        <w:t>54310,</w:t>
      </w:r>
      <w:r w:rsidR="00900C9B" w:rsidRPr="00B71FC0">
        <w:rPr>
          <w:lang w:val="lt-LT"/>
        </w:rPr>
        <w:t xml:space="preserve"> Kaun</w:t>
      </w:r>
      <w:r w:rsidR="00B71FC0" w:rsidRPr="00B71FC0">
        <w:rPr>
          <w:lang w:val="lt-LT"/>
        </w:rPr>
        <w:t>o r.</w:t>
      </w:r>
      <w:r w:rsidR="00900C9B" w:rsidRPr="00B71FC0">
        <w:rPr>
          <w:lang w:val="lt-LT"/>
        </w:rPr>
        <w:t xml:space="preserve">, atstovaujama direktoriaus </w:t>
      </w:r>
      <w:r w:rsidR="00B71FC0" w:rsidRPr="00B71FC0">
        <w:rPr>
          <w:lang w:val="lt-LT"/>
        </w:rPr>
        <w:t>Andriaus Dzevyžio</w:t>
      </w:r>
      <w:r w:rsidR="00900C9B" w:rsidRPr="00B71FC0">
        <w:rPr>
          <w:lang w:val="lt-LT"/>
        </w:rPr>
        <w:t>,</w:t>
      </w:r>
      <w:r w:rsidR="00B71FC0" w:rsidRPr="00B71FC0">
        <w:rPr>
          <w:lang w:val="lt-LT"/>
        </w:rPr>
        <w:t xml:space="preserve"> veikiančio pagal bendrovės įstatus</w:t>
      </w:r>
      <w:r w:rsidR="00900C9B" w:rsidRPr="00B71FC0">
        <w:rPr>
          <w:lang w:val="lt-LT"/>
        </w:rPr>
        <w:t xml:space="preserve"> (toliau – Užsakovas), </w:t>
      </w:r>
      <w:r w:rsidR="00900C9B" w:rsidRPr="00B71FC0">
        <w:rPr>
          <w:bCs/>
          <w:lang w:val="lt-LT"/>
        </w:rPr>
        <w:t>ir</w:t>
      </w:r>
    </w:p>
    <w:p w14:paraId="575A3C06" w14:textId="07313A77" w:rsidR="00900C9B" w:rsidRPr="00900C9B" w:rsidRDefault="00900C9B" w:rsidP="0021177D">
      <w:pPr>
        <w:tabs>
          <w:tab w:val="left" w:pos="7797"/>
        </w:tabs>
        <w:ind w:firstLine="851"/>
        <w:jc w:val="both"/>
        <w:rPr>
          <w:lang w:val="lt-LT"/>
        </w:rPr>
      </w:pPr>
      <w:r w:rsidRPr="00900C9B">
        <w:rPr>
          <w:lang w:val="lt-LT"/>
        </w:rPr>
        <w:t>[</w:t>
      </w:r>
      <w:r w:rsidRPr="00900C9B">
        <w:rPr>
          <w:b/>
          <w:bCs/>
          <w:lang w:val="lt-LT"/>
        </w:rPr>
        <w:t>Rangovo pavadinimas</w:t>
      </w:r>
      <w:r w:rsidRPr="00900C9B">
        <w:rPr>
          <w:lang w:val="lt-LT"/>
        </w:rPr>
        <w:t xml:space="preserve">], </w:t>
      </w:r>
      <w:r w:rsidR="00145588">
        <w:rPr>
          <w:lang w:val="lt-LT"/>
        </w:rPr>
        <w:t>juridinio asmens kodas</w:t>
      </w:r>
      <w:r w:rsidRPr="00900C9B">
        <w:rPr>
          <w:lang w:val="lt-LT"/>
        </w:rPr>
        <w:t xml:space="preserve"> [...],adresas [...],atstovaujama direktoriaus [...], (toliau – </w:t>
      </w:r>
      <w:r w:rsidRPr="00900C9B">
        <w:rPr>
          <w:bCs/>
          <w:lang w:val="lt-LT"/>
        </w:rPr>
        <w:t>Rangovas</w:t>
      </w:r>
      <w:r w:rsidRPr="00900C9B">
        <w:rPr>
          <w:lang w:val="lt-LT"/>
        </w:rPr>
        <w:t xml:space="preserve">), </w:t>
      </w:r>
    </w:p>
    <w:p w14:paraId="3BBD92C3" w14:textId="77777777" w:rsidR="00900C9B" w:rsidRPr="00900C9B" w:rsidRDefault="00900C9B" w:rsidP="0021177D">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613590CD" w:rsidR="00900C9B" w:rsidRPr="00B672D4" w:rsidRDefault="00900C9B" w:rsidP="00B672D4">
      <w:pPr>
        <w:pStyle w:val="ListParagraph"/>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color w:val="000000" w:themeColor="text1"/>
          <w:lang w:val="lt-LT"/>
        </w:rPr>
      </w:pPr>
      <w:r w:rsidRPr="00900C9B">
        <w:rPr>
          <w:lang w:val="lt-LT"/>
        </w:rPr>
        <w:t xml:space="preserve">sudarė šią preliminariąją sutartį (toliau </w:t>
      </w:r>
      <w:r w:rsidRPr="00763E63">
        <w:rPr>
          <w:lang w:val="lt-LT"/>
        </w:rPr>
        <w:t>– Preliminarioji sutartis), vadovaujantis supaprastinto atviro konkurso būdu atlikto viešojo pirkimo</w:t>
      </w:r>
      <w:r w:rsidR="00DA4A9D">
        <w:rPr>
          <w:lang w:val="lt-LT"/>
        </w:rPr>
        <w:t xml:space="preserve"> „</w:t>
      </w:r>
      <w:r w:rsidR="00B672D4">
        <w:rPr>
          <w:color w:val="000000" w:themeColor="text1"/>
          <w:lang w:val="lt-LT"/>
        </w:rPr>
        <w:t>B</w:t>
      </w:r>
      <w:r w:rsidR="00B672D4" w:rsidRPr="00B672D4">
        <w:rPr>
          <w:color w:val="000000" w:themeColor="text1"/>
          <w:lang w:val="lt-LT"/>
        </w:rPr>
        <w:t>uitinių  nuotekų tinklų plėtr</w:t>
      </w:r>
      <w:r w:rsidR="00B672D4">
        <w:rPr>
          <w:color w:val="000000" w:themeColor="text1"/>
          <w:lang w:val="lt-LT"/>
        </w:rPr>
        <w:t>a</w:t>
      </w:r>
      <w:r w:rsidR="00B672D4" w:rsidRPr="00B672D4">
        <w:rPr>
          <w:color w:val="000000" w:themeColor="text1"/>
          <w:lang w:val="lt-LT"/>
        </w:rPr>
        <w:t xml:space="preserve"> Pergalės g., Liepų g., Bažnyčios g., </w:t>
      </w:r>
      <w:r w:rsidR="00B33768">
        <w:rPr>
          <w:color w:val="000000" w:themeColor="text1"/>
          <w:lang w:val="lt-LT"/>
        </w:rPr>
        <w:t xml:space="preserve">Tulpių g., </w:t>
      </w:r>
      <w:r w:rsidR="00B672D4" w:rsidRPr="00B672D4">
        <w:rPr>
          <w:color w:val="000000" w:themeColor="text1"/>
          <w:lang w:val="lt-LT"/>
        </w:rPr>
        <w:t>Vilkijos m., Kauno r. sav.</w:t>
      </w:r>
      <w:r w:rsidR="003E505C" w:rsidRPr="00B672D4">
        <w:rPr>
          <w:lang w:val="lt-LT"/>
        </w:rPr>
        <w:t>“</w:t>
      </w:r>
      <w:r w:rsidR="00DA4A9D" w:rsidRPr="00B672D4">
        <w:rPr>
          <w:lang w:val="lt-LT"/>
        </w:rPr>
        <w:t xml:space="preserve"> </w:t>
      </w:r>
      <w:r w:rsidRPr="00B672D4">
        <w:rPr>
          <w:bCs/>
          <w:lang w:val="lt-LT"/>
        </w:rPr>
        <w:t>(viešojo pirkimo Nr.</w:t>
      </w:r>
      <w:r w:rsidR="00145588" w:rsidRPr="00B672D4">
        <w:rPr>
          <w:bCs/>
          <w:lang w:val="lt-LT"/>
        </w:rPr>
        <w:t>/ID</w:t>
      </w:r>
      <w:r w:rsidRPr="00B672D4">
        <w:rPr>
          <w:bCs/>
          <w:lang w:val="lt-LT"/>
        </w:rPr>
        <w:t>___)</w:t>
      </w:r>
      <w:r w:rsidRPr="00B672D4">
        <w:rPr>
          <w:b/>
          <w:lang w:val="lt-LT"/>
        </w:rPr>
        <w:t xml:space="preserve"> </w:t>
      </w:r>
      <w:r w:rsidRPr="00B672D4">
        <w:rPr>
          <w:lang w:val="lt-LT"/>
        </w:rPr>
        <w:t>sąlygomis ir susitarė dėl toliau išvardytų sąlygų.</w:t>
      </w:r>
    </w:p>
    <w:p w14:paraId="474B59EE" w14:textId="77777777" w:rsidR="00B04F88" w:rsidRPr="00B04F88" w:rsidRDefault="00B04F88" w:rsidP="0021177D">
      <w:pPr>
        <w:tabs>
          <w:tab w:val="left" w:pos="7797"/>
        </w:tabs>
        <w:ind w:firstLine="851"/>
        <w:jc w:val="both"/>
        <w:rPr>
          <w:bCs/>
          <w:highlight w:val="yellow"/>
          <w:lang w:val="lt-LT"/>
        </w:rPr>
      </w:pPr>
    </w:p>
    <w:p w14:paraId="2A39835C" w14:textId="6B502AB1" w:rsidR="00100A45"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426940">
      <w:pPr>
        <w:pStyle w:val="Body2"/>
        <w:rPr>
          <w:lang w:val="lt-LT"/>
        </w:rPr>
      </w:pPr>
    </w:p>
    <w:p w14:paraId="50DDC49F" w14:textId="4394B6B2" w:rsidR="007B2C4F" w:rsidRDefault="00AC495C" w:rsidP="00B672D4">
      <w:pPr>
        <w:pStyle w:val="Stilius3"/>
        <w:tabs>
          <w:tab w:val="left" w:pos="695"/>
        </w:tabs>
        <w:spacing w:before="0"/>
        <w:ind w:left="40" w:right="34" w:firstLine="811"/>
        <w:rPr>
          <w:sz w:val="24"/>
          <w:szCs w:val="24"/>
        </w:rPr>
      </w:pPr>
      <w:r w:rsidRPr="00CC25C8">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r w:rsidR="00B672D4" w:rsidRPr="00B672D4">
        <w:rPr>
          <w:sz w:val="24"/>
          <w:szCs w:val="24"/>
        </w:rPr>
        <w:t xml:space="preserve">buitinių  nuotekų tinklų plėtros Pergalės g., Liepų g., Bažnyčios g., </w:t>
      </w:r>
      <w:r w:rsidR="00B33768">
        <w:rPr>
          <w:sz w:val="24"/>
          <w:szCs w:val="24"/>
        </w:rPr>
        <w:t xml:space="preserve">Tulpių g., </w:t>
      </w:r>
      <w:r w:rsidR="00B672D4" w:rsidRPr="00B672D4">
        <w:rPr>
          <w:sz w:val="24"/>
          <w:szCs w:val="24"/>
        </w:rPr>
        <w:t>Vilkijos m., Kauno r. sav. darb</w:t>
      </w:r>
      <w:r w:rsidR="00B672D4">
        <w:rPr>
          <w:sz w:val="24"/>
          <w:szCs w:val="24"/>
        </w:rPr>
        <w:t xml:space="preserve">ų, </w:t>
      </w:r>
      <w:r w:rsidR="00DB4E94" w:rsidRPr="00DB4E94">
        <w:rPr>
          <w:sz w:val="24"/>
          <w:szCs w:val="24"/>
        </w:rPr>
        <w:t>įskaitant</w:t>
      </w:r>
      <w:r w:rsidR="00DB4E94">
        <w:rPr>
          <w:sz w:val="24"/>
          <w:szCs w:val="24"/>
        </w:rPr>
        <w:t xml:space="preserve"> </w:t>
      </w:r>
      <w:r w:rsidR="00DC0659" w:rsidRPr="006E7E3C">
        <w:rPr>
          <w:sz w:val="24"/>
          <w:szCs w:val="24"/>
        </w:rPr>
        <w:t>elektroninio statybos darbų žurnalo užsakym</w:t>
      </w:r>
      <w:r w:rsidR="00DB4E94">
        <w:rPr>
          <w:sz w:val="24"/>
          <w:szCs w:val="24"/>
        </w:rPr>
        <w:t>ą</w:t>
      </w:r>
      <w:r w:rsidR="00DC0659" w:rsidRPr="006E7E3C">
        <w:rPr>
          <w:sz w:val="24"/>
          <w:szCs w:val="24"/>
        </w:rPr>
        <w:t xml:space="preserve"> (prenumeratos užsakymas, statybos žurnalo pildymas ir saugojimas ir po statybos darbų baigimo jo pilnas perleidimas </w:t>
      </w:r>
      <w:r w:rsidR="004B211F">
        <w:rPr>
          <w:sz w:val="24"/>
          <w:szCs w:val="24"/>
        </w:rPr>
        <w:t>Užsakovui</w:t>
      </w:r>
      <w:r w:rsidR="00DC0659" w:rsidRPr="006E7E3C">
        <w:rPr>
          <w:sz w:val="24"/>
          <w:szCs w:val="24"/>
        </w:rPr>
        <w:t>),</w:t>
      </w:r>
      <w:r w:rsidR="004B211F">
        <w:rPr>
          <w:sz w:val="24"/>
          <w:szCs w:val="24"/>
        </w:rPr>
        <w:t xml:space="preserve"> </w:t>
      </w:r>
      <w:r w:rsidR="00DC0659" w:rsidRPr="006E7E3C">
        <w:rPr>
          <w:sz w:val="24"/>
          <w:szCs w:val="24"/>
        </w:rPr>
        <w:t xml:space="preserve">(toliau – </w:t>
      </w:r>
      <w:r w:rsidR="00DC0659" w:rsidRPr="004B211F">
        <w:rPr>
          <w:b/>
          <w:bCs/>
          <w:sz w:val="24"/>
          <w:szCs w:val="24"/>
        </w:rPr>
        <w:t>Darbai</w:t>
      </w:r>
      <w:r w:rsidR="00DC0659" w:rsidRPr="006E7E3C">
        <w:rPr>
          <w:sz w:val="24"/>
          <w:szCs w:val="24"/>
        </w:rPr>
        <w:t xml:space="preserve">), bei </w:t>
      </w:r>
      <w:r w:rsidR="00DB4E94">
        <w:rPr>
          <w:sz w:val="24"/>
          <w:szCs w:val="24"/>
        </w:rPr>
        <w:t>statybos užbaigimo procedūros atlikimo ir dokumentų, privalomų statybos užbaigimo procedūrai tinkamai atlikti, parengim</w:t>
      </w:r>
      <w:r w:rsidR="008B3A84">
        <w:rPr>
          <w:sz w:val="24"/>
          <w:szCs w:val="24"/>
        </w:rPr>
        <w:t>as</w:t>
      </w:r>
      <w:r w:rsidR="000C5A66">
        <w:rPr>
          <w:sz w:val="24"/>
          <w:szCs w:val="24"/>
        </w:rPr>
        <w:t xml:space="preserve"> </w:t>
      </w:r>
      <w:r w:rsidR="00DC0659" w:rsidRPr="006E7E3C">
        <w:rPr>
          <w:sz w:val="24"/>
          <w:szCs w:val="24"/>
        </w:rPr>
        <w:t>(</w:t>
      </w:r>
      <w:r w:rsidR="004517D7" w:rsidRPr="004517D7">
        <w:rPr>
          <w:color w:val="000000" w:themeColor="text1"/>
          <w:sz w:val="24"/>
          <w:szCs w:val="24"/>
        </w:rPr>
        <w:t>kontrolinių geodezinių nuotraukų parengimas, kadastrinių matavimų bylų (statinio, žemės sklypo) nekilnojamojo turto kadastro nuostatose nustatyta tvarka (išankstinė patikra), eksperto patvirtinto</w:t>
      </w:r>
      <w:r w:rsidR="008B2686">
        <w:rPr>
          <w:color w:val="000000" w:themeColor="text1"/>
          <w:sz w:val="24"/>
          <w:szCs w:val="24"/>
        </w:rPr>
        <w:t>s</w:t>
      </w:r>
      <w:r w:rsidR="004517D7" w:rsidRPr="004517D7">
        <w:rPr>
          <w:color w:val="000000" w:themeColor="text1"/>
          <w:sz w:val="24"/>
          <w:szCs w:val="24"/>
        </w:rPr>
        <w:t xml:space="preserve"> ir IS „Infostatyba“ užregistruoto</w:t>
      </w:r>
      <w:r w:rsidR="008B2686">
        <w:rPr>
          <w:color w:val="000000" w:themeColor="text1"/>
          <w:sz w:val="24"/>
          <w:szCs w:val="24"/>
        </w:rPr>
        <w:t>s</w:t>
      </w:r>
      <w:r w:rsidR="004517D7" w:rsidRPr="004517D7">
        <w:rPr>
          <w:color w:val="000000" w:themeColor="text1"/>
          <w:sz w:val="24"/>
          <w:szCs w:val="24"/>
        </w:rPr>
        <w:t xml:space="preserve"> </w:t>
      </w:r>
      <w:r w:rsidR="008B2686">
        <w:rPr>
          <w:color w:val="000000" w:themeColor="text1"/>
          <w:sz w:val="24"/>
          <w:szCs w:val="24"/>
        </w:rPr>
        <w:t>deklaracijos</w:t>
      </w:r>
      <w:r w:rsidR="004517D7" w:rsidRPr="004517D7">
        <w:rPr>
          <w:color w:val="000000" w:themeColor="text1"/>
          <w:sz w:val="24"/>
          <w:szCs w:val="24"/>
        </w:rPr>
        <w:t xml:space="preserve"> apie šių statinių statybos užbaigimą pateikimas</w:t>
      </w:r>
      <w:r w:rsidR="00EC29B9">
        <w:rPr>
          <w:color w:val="000000" w:themeColor="text1"/>
          <w:sz w:val="24"/>
          <w:szCs w:val="24"/>
        </w:rPr>
        <w:t xml:space="preserve"> </w:t>
      </w:r>
      <w:r w:rsidR="007B2C4F" w:rsidRPr="00CC25C8">
        <w:rPr>
          <w:sz w:val="24"/>
          <w:szCs w:val="24"/>
        </w:rPr>
        <w:t xml:space="preserve">(toliau – </w:t>
      </w:r>
      <w:r w:rsidR="007B2C4F" w:rsidRPr="004B211F">
        <w:rPr>
          <w:b/>
          <w:bCs/>
          <w:sz w:val="24"/>
          <w:szCs w:val="24"/>
        </w:rPr>
        <w:t>su Darbais susijusios paslaugos</w:t>
      </w:r>
      <w:r w:rsidR="007B2C4F" w:rsidRPr="00CC25C8">
        <w:rPr>
          <w:sz w:val="24"/>
          <w:szCs w:val="24"/>
        </w:rPr>
        <w:t xml:space="preserve">), pagal </w:t>
      </w:r>
      <w:r w:rsidR="00FC26EA">
        <w:rPr>
          <w:iCs/>
          <w:sz w:val="24"/>
          <w:szCs w:val="24"/>
        </w:rPr>
        <w:t>P</w:t>
      </w:r>
      <w:r w:rsidR="007B2C4F" w:rsidRPr="00CC25C8">
        <w:rPr>
          <w:iCs/>
          <w:sz w:val="24"/>
          <w:szCs w:val="24"/>
        </w:rPr>
        <w:t xml:space="preserve">agrindinėje sutartyje </w:t>
      </w:r>
      <w:r w:rsidR="005C09D3">
        <w:rPr>
          <w:iCs/>
          <w:sz w:val="24"/>
          <w:szCs w:val="24"/>
        </w:rPr>
        <w:t>bei</w:t>
      </w:r>
      <w:r w:rsidR="007B2C4F" w:rsidRPr="00CC25C8">
        <w:rPr>
          <w:iCs/>
          <w:sz w:val="24"/>
          <w:szCs w:val="24"/>
        </w:rPr>
        <w:t xml:space="preserve"> jos prieduose (Preliminariosios sutarties 1 priedas „Pagrindinė sutartis“), pateiktus reikalavimus</w:t>
      </w:r>
      <w:r w:rsidR="007B2C4F">
        <w:rPr>
          <w:iCs/>
          <w:sz w:val="24"/>
          <w:szCs w:val="24"/>
        </w:rPr>
        <w:t xml:space="preserve"> </w:t>
      </w:r>
      <w:r w:rsidR="007B2C4F" w:rsidRPr="00CC25C8">
        <w:rPr>
          <w:sz w:val="24"/>
          <w:szCs w:val="24"/>
        </w:rPr>
        <w:t xml:space="preserve">(toliau – </w:t>
      </w:r>
      <w:r w:rsidR="008B3A84">
        <w:rPr>
          <w:sz w:val="24"/>
          <w:szCs w:val="24"/>
        </w:rPr>
        <w:t>S</w:t>
      </w:r>
      <w:r w:rsidR="007B2C4F" w:rsidRPr="00CC25C8">
        <w:rPr>
          <w:sz w:val="24"/>
          <w:szCs w:val="24"/>
        </w:rPr>
        <w:t>utartis)</w:t>
      </w:r>
      <w:r w:rsidR="007B2C4F">
        <w:rPr>
          <w:sz w:val="24"/>
          <w:szCs w:val="24"/>
        </w:rPr>
        <w:t>.</w:t>
      </w:r>
    </w:p>
    <w:p w14:paraId="7D1F7A05" w14:textId="37668A33" w:rsidR="00AE372E" w:rsidRPr="00B672D4" w:rsidRDefault="00730B19" w:rsidP="00B672D4">
      <w:pPr>
        <w:pStyle w:val="Stilius3"/>
        <w:tabs>
          <w:tab w:val="left" w:pos="695"/>
        </w:tabs>
        <w:spacing w:before="0"/>
        <w:ind w:left="40" w:right="34" w:firstLine="811"/>
        <w:rPr>
          <w:sz w:val="24"/>
          <w:szCs w:val="24"/>
          <w:lang w:eastAsia="lt-LT"/>
        </w:rPr>
      </w:pPr>
      <w:bookmarkStart w:id="0"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agrindines sutartis) pagal turimą finansavimą. Darbų apimtys</w:t>
      </w:r>
      <w:r w:rsidR="00F54C2D">
        <w:rPr>
          <w:rFonts w:eastAsia="Arial Unicode MS"/>
          <w:sz w:val="24"/>
          <w:szCs w:val="24"/>
        </w:rPr>
        <w:t xml:space="preserve">, </w:t>
      </w:r>
      <w:r w:rsidRPr="00C34676">
        <w:rPr>
          <w:rFonts w:eastAsia="Arial Unicode MS"/>
          <w:sz w:val="24"/>
          <w:szCs w:val="24"/>
        </w:rPr>
        <w:t>Darbų atlikimo termina</w:t>
      </w:r>
      <w:r w:rsidR="00F54C2D">
        <w:rPr>
          <w:rFonts w:eastAsia="Arial Unicode MS"/>
          <w:sz w:val="24"/>
          <w:szCs w:val="24"/>
        </w:rPr>
        <w:t>s</w:t>
      </w:r>
      <w:r w:rsidRPr="00C34676">
        <w:rPr>
          <w:rFonts w:eastAsia="Arial Unicode MS"/>
          <w:sz w:val="24"/>
          <w:szCs w:val="24"/>
        </w:rPr>
        <w:t xml:space="preserve"> </w:t>
      </w:r>
      <w:r w:rsidR="00F54C2D">
        <w:rPr>
          <w:rFonts w:eastAsia="Arial Unicode MS"/>
          <w:sz w:val="24"/>
          <w:szCs w:val="24"/>
        </w:rPr>
        <w:t xml:space="preserve">ir Pagrindinės sutarties vertė </w:t>
      </w:r>
      <w:r w:rsidRPr="00C34676">
        <w:rPr>
          <w:rFonts w:eastAsia="Arial Unicode MS"/>
          <w:sz w:val="24"/>
          <w:szCs w:val="24"/>
        </w:rPr>
        <w:t xml:space="preserve">bus pateikiami kvietime sudaryti </w:t>
      </w:r>
      <w:r w:rsidR="00C34676">
        <w:rPr>
          <w:rFonts w:eastAsia="Arial Unicode MS"/>
          <w:sz w:val="24"/>
          <w:szCs w:val="24"/>
        </w:rPr>
        <w:t>P</w:t>
      </w:r>
      <w:r w:rsidRPr="00C34676">
        <w:rPr>
          <w:rFonts w:eastAsia="Arial Unicode MS"/>
          <w:sz w:val="24"/>
          <w:szCs w:val="24"/>
        </w:rPr>
        <w:t xml:space="preserve">agrindinę (-es) sutartį (-is) ir bus nurodyti sudaromoje </w:t>
      </w:r>
      <w:r w:rsidR="00C34676">
        <w:rPr>
          <w:rFonts w:eastAsia="Arial Unicode MS"/>
          <w:iCs/>
          <w:sz w:val="24"/>
          <w:szCs w:val="24"/>
        </w:rPr>
        <w:t>P</w:t>
      </w:r>
      <w:r w:rsidRPr="00C34676">
        <w:rPr>
          <w:rFonts w:eastAsia="Arial Unicode MS"/>
          <w:iCs/>
          <w:sz w:val="24"/>
          <w:szCs w:val="24"/>
        </w:rPr>
        <w:t>agrindinėje (-se) sutartyje (-se)</w:t>
      </w:r>
      <w:r w:rsidR="00F628D3" w:rsidRPr="00C34676">
        <w:rPr>
          <w:sz w:val="24"/>
          <w:szCs w:val="24"/>
          <w:lang w:eastAsia="lt-LT"/>
        </w:rPr>
        <w:t>.</w:t>
      </w:r>
    </w:p>
    <w:p w14:paraId="3B990ECC" w14:textId="25742A05" w:rsidR="00AE372E" w:rsidRDefault="00AE372E" w:rsidP="00AE372E">
      <w:pPr>
        <w:pStyle w:val="Stilius3"/>
        <w:tabs>
          <w:tab w:val="left" w:pos="695"/>
        </w:tabs>
        <w:spacing w:before="0" w:line="276" w:lineRule="auto"/>
        <w:ind w:right="34" w:firstLine="851"/>
        <w:rPr>
          <w:sz w:val="24"/>
          <w:szCs w:val="24"/>
          <w:lang w:eastAsia="lt-LT"/>
        </w:rPr>
      </w:pPr>
      <w:r>
        <w:rPr>
          <w:rFonts w:eastAsia="Arial Unicode MS"/>
          <w:sz w:val="24"/>
          <w:szCs w:val="24"/>
        </w:rPr>
        <w:t>1.</w:t>
      </w:r>
      <w:r w:rsidR="00B672D4">
        <w:rPr>
          <w:rFonts w:eastAsia="Arial Unicode MS"/>
          <w:sz w:val="24"/>
          <w:szCs w:val="24"/>
        </w:rPr>
        <w:t>3</w:t>
      </w:r>
      <w:r>
        <w:rPr>
          <w:rFonts w:eastAsia="Arial Unicode MS"/>
          <w:sz w:val="24"/>
          <w:szCs w:val="24"/>
        </w:rPr>
        <w:t xml:space="preserve">. </w:t>
      </w:r>
      <w:r w:rsidRPr="000C45BD">
        <w:rPr>
          <w:sz w:val="24"/>
          <w:szCs w:val="24"/>
          <w:lang w:eastAsia="lt-LT"/>
        </w:rPr>
        <w:t>Pagal preliminariąją sutartį sudarytos (-ų) Pagrindinės (-ių) sutarties (-ių) Darbų atlikimo terminas negali viršyti 12 mėn. nuo</w:t>
      </w:r>
      <w:r w:rsidRPr="000C45BD">
        <w:rPr>
          <w:b/>
          <w:bCs/>
          <w:sz w:val="24"/>
          <w:szCs w:val="24"/>
          <w:lang w:eastAsia="lt-LT"/>
        </w:rPr>
        <w:t xml:space="preserve"> </w:t>
      </w:r>
      <w:r w:rsidRPr="000C45BD">
        <w:rPr>
          <w:sz w:val="24"/>
          <w:szCs w:val="24"/>
          <w:lang w:eastAsia="lt-LT"/>
        </w:rPr>
        <w:t xml:space="preserve">Darbų pradžios. </w:t>
      </w:r>
      <w:r w:rsidRPr="00CB7EE3">
        <w:rPr>
          <w:sz w:val="24"/>
          <w:szCs w:val="24"/>
          <w:lang w:eastAsia="lt-LT"/>
        </w:rPr>
        <w:t xml:space="preserve">Darbų pradžia laikoma </w:t>
      </w:r>
      <w:r w:rsidR="006D28AD" w:rsidRPr="006D28AD">
        <w:rPr>
          <w:sz w:val="24"/>
          <w:szCs w:val="24"/>
          <w:lang w:eastAsia="lt-LT"/>
        </w:rPr>
        <w:t>Rangovui priėmus iš statytojo (Užsakovo) statybvietę, į statybos darbų žurnalą įrašyta diena, kai Rangovas pradeda vykdyti bet kuriuos statybos darbus.</w:t>
      </w:r>
      <w:r w:rsidR="006D28AD">
        <w:rPr>
          <w:sz w:val="24"/>
          <w:szCs w:val="24"/>
          <w:lang w:eastAsia="lt-LT"/>
        </w:rPr>
        <w:t xml:space="preserve"> </w:t>
      </w:r>
      <w:r w:rsidRPr="00CB7EE3">
        <w:rPr>
          <w:sz w:val="24"/>
          <w:szCs w:val="24"/>
          <w:lang w:eastAsia="lt-LT"/>
        </w:rPr>
        <w:t xml:space="preserve">Atsiradus nenumatytoms aplinkybėms, ne dėl </w:t>
      </w:r>
      <w:r>
        <w:rPr>
          <w:sz w:val="24"/>
          <w:szCs w:val="24"/>
          <w:lang w:eastAsia="lt-LT"/>
        </w:rPr>
        <w:t>Rangovo</w:t>
      </w:r>
      <w:r w:rsidRPr="00CB7EE3">
        <w:rPr>
          <w:sz w:val="24"/>
          <w:szCs w:val="24"/>
          <w:lang w:eastAsia="lt-LT"/>
        </w:rPr>
        <w:t xml:space="preserve"> kaltės, </w:t>
      </w:r>
      <w:r>
        <w:rPr>
          <w:sz w:val="24"/>
          <w:szCs w:val="24"/>
          <w:lang w:eastAsia="lt-LT"/>
        </w:rPr>
        <w:t>Užsakovui</w:t>
      </w:r>
      <w:r w:rsidRPr="00CB7EE3">
        <w:rPr>
          <w:sz w:val="24"/>
          <w:szCs w:val="24"/>
          <w:lang w:eastAsia="lt-LT"/>
        </w:rPr>
        <w:t xml:space="preserve"> sutikus, Darbų  atlikimo terminas gali būti pratęstas 1 (vieną) kartą 1 (vienam) mėnesiui, raštišku susitarimu</w:t>
      </w:r>
      <w:r>
        <w:rPr>
          <w:sz w:val="24"/>
          <w:szCs w:val="24"/>
          <w:lang w:eastAsia="lt-LT"/>
        </w:rPr>
        <w:t>.</w:t>
      </w:r>
      <w:r w:rsidRPr="00CB7EE3">
        <w:rPr>
          <w:sz w:val="24"/>
          <w:szCs w:val="24"/>
          <w:lang w:eastAsia="lt-LT"/>
        </w:rPr>
        <w:t xml:space="preserve"> </w:t>
      </w:r>
    </w:p>
    <w:p w14:paraId="38386792" w14:textId="597E5DBF" w:rsidR="00EA7A57" w:rsidRDefault="00AE372E" w:rsidP="00EA7A57">
      <w:pPr>
        <w:pStyle w:val="Stilius3"/>
        <w:tabs>
          <w:tab w:val="left" w:pos="695"/>
        </w:tabs>
        <w:spacing w:before="0" w:line="276" w:lineRule="auto"/>
        <w:ind w:right="34" w:firstLine="851"/>
        <w:rPr>
          <w:sz w:val="24"/>
          <w:szCs w:val="24"/>
        </w:rPr>
      </w:pPr>
      <w:r w:rsidRPr="00A37036">
        <w:rPr>
          <w:sz w:val="24"/>
          <w:szCs w:val="24"/>
          <w:lang w:eastAsia="lt-LT"/>
        </w:rPr>
        <w:t>1.</w:t>
      </w:r>
      <w:r w:rsidR="00162A59">
        <w:rPr>
          <w:sz w:val="24"/>
          <w:szCs w:val="24"/>
          <w:lang w:eastAsia="lt-LT"/>
        </w:rPr>
        <w:t>4</w:t>
      </w:r>
      <w:r w:rsidRPr="00A37036">
        <w:rPr>
          <w:sz w:val="24"/>
          <w:szCs w:val="24"/>
          <w:lang w:eastAsia="lt-LT"/>
        </w:rPr>
        <w:t>. Su Darbais susijusios Paslaugos</w:t>
      </w:r>
      <w:r w:rsidRPr="005F06D4">
        <w:rPr>
          <w:sz w:val="24"/>
          <w:szCs w:val="24"/>
          <w:lang w:eastAsia="lt-LT"/>
        </w:rPr>
        <w:t xml:space="preserve">, turės būti atliktos per 5 (penkis) mėnesius nuo Darbų </w:t>
      </w:r>
      <w:r w:rsidRPr="00A37036">
        <w:rPr>
          <w:sz w:val="24"/>
          <w:szCs w:val="24"/>
          <w:lang w:eastAsia="lt-LT"/>
        </w:rPr>
        <w:t>pabaigos.</w:t>
      </w:r>
      <w:r w:rsidRPr="00A37036">
        <w:rPr>
          <w:b/>
          <w:bCs/>
          <w:sz w:val="24"/>
          <w:szCs w:val="24"/>
          <w:lang w:eastAsia="lt-LT"/>
        </w:rPr>
        <w:t xml:space="preserve"> </w:t>
      </w:r>
      <w:r w:rsidRPr="00A37036">
        <w:rPr>
          <w:sz w:val="24"/>
          <w:szCs w:val="24"/>
          <w:lang w:eastAsia="lt-LT"/>
        </w:rPr>
        <w:t>Darbų pabaiga pagal sutartį bus laikomas momentas, kai bus užbaigti visi sutartyje numatyti Darbai, ištaisyti defektai ir pasirašytas Darbų perdavimo - priėmimo aktas.</w:t>
      </w:r>
      <w:r w:rsidRPr="00A37036">
        <w:rPr>
          <w:sz w:val="24"/>
          <w:szCs w:val="24"/>
        </w:rPr>
        <w:t xml:space="preserve"> </w:t>
      </w:r>
    </w:p>
    <w:p w14:paraId="229DC004" w14:textId="1669354D" w:rsidR="00EA7A57" w:rsidRDefault="00EA7A57" w:rsidP="00EA7A57">
      <w:pPr>
        <w:pStyle w:val="Stilius3"/>
        <w:tabs>
          <w:tab w:val="left" w:pos="695"/>
        </w:tabs>
        <w:spacing w:before="0" w:line="276" w:lineRule="auto"/>
        <w:ind w:right="34" w:firstLine="851"/>
        <w:rPr>
          <w:sz w:val="24"/>
          <w:szCs w:val="24"/>
        </w:rPr>
      </w:pPr>
      <w:r>
        <w:rPr>
          <w:sz w:val="24"/>
          <w:szCs w:val="24"/>
        </w:rPr>
        <w:t>1.</w:t>
      </w:r>
      <w:r w:rsidR="00162A59">
        <w:rPr>
          <w:sz w:val="24"/>
          <w:szCs w:val="24"/>
        </w:rPr>
        <w:t>5</w:t>
      </w:r>
      <w:r>
        <w:rPr>
          <w:sz w:val="24"/>
          <w:szCs w:val="24"/>
        </w:rPr>
        <w:t>. Pirkimo</w:t>
      </w:r>
      <w:r w:rsidRPr="00EA7A57">
        <w:rPr>
          <w:sz w:val="24"/>
          <w:szCs w:val="24"/>
        </w:rPr>
        <w:t xml:space="preserve"> objektas laikomas žaliu, nes perkamiems Darbams Rangovas taiko aplinkos apsaugos vadybos sistemos reikalavimus pagal standartą LST EN ISO 14001 „Aplinkos vadybos </w:t>
      </w:r>
      <w:r w:rsidRPr="00EA7A57">
        <w:rPr>
          <w:sz w:val="24"/>
          <w:szCs w:val="24"/>
        </w:rPr>
        <w:lastRenderedPageBreak/>
        <w:t xml:space="preserve">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4.1 punkte.  </w:t>
      </w:r>
    </w:p>
    <w:p w14:paraId="6EC566CF" w14:textId="5D006493" w:rsidR="00EA7A57" w:rsidRPr="00EA7A57" w:rsidRDefault="00EA7A57" w:rsidP="00EA7A57">
      <w:pPr>
        <w:pStyle w:val="Stilius3"/>
        <w:tabs>
          <w:tab w:val="left" w:pos="695"/>
        </w:tabs>
        <w:spacing w:before="0" w:line="276" w:lineRule="auto"/>
        <w:ind w:right="34" w:firstLine="851"/>
        <w:rPr>
          <w:i/>
          <w:iCs/>
          <w:sz w:val="24"/>
          <w:szCs w:val="24"/>
        </w:rPr>
      </w:pPr>
      <w:r>
        <w:rPr>
          <w:sz w:val="24"/>
          <w:szCs w:val="24"/>
        </w:rPr>
        <w:t>1.</w:t>
      </w:r>
      <w:r w:rsidR="00162A59">
        <w:rPr>
          <w:sz w:val="24"/>
          <w:szCs w:val="24"/>
        </w:rPr>
        <w:t>6</w:t>
      </w:r>
      <w:r>
        <w:rPr>
          <w:sz w:val="24"/>
          <w:szCs w:val="24"/>
        </w:rPr>
        <w:t>. Pagrindinės s</w:t>
      </w:r>
      <w:r w:rsidRPr="00EA7A57">
        <w:rPr>
          <w:sz w:val="24"/>
          <w:szCs w:val="24"/>
        </w:rPr>
        <w:t>utarties galiojimo metu Rangovas įsipareigoj</w:t>
      </w:r>
      <w:r>
        <w:rPr>
          <w:sz w:val="24"/>
          <w:szCs w:val="24"/>
        </w:rPr>
        <w:t>a</w:t>
      </w:r>
      <w:r w:rsidRPr="00EA7A57">
        <w:rPr>
          <w:sz w:val="24"/>
          <w:szCs w:val="24"/>
        </w:rPr>
        <w:t xml:space="preserve"> atliekamiems statybos darbams taikyti pasiūlyme nurodytas ekonominio naudingumo vertinimo kriterijų reikšmes: </w:t>
      </w:r>
      <w:r w:rsidRPr="00EA7A57">
        <w:rPr>
          <w:i/>
          <w:iCs/>
          <w:sz w:val="24"/>
          <w:szCs w:val="24"/>
        </w:rPr>
        <w:t>[tiksliai nurodomi Rangovo pasiūlyme nurodyti taikytini vertinimo kriterijai ir jų reikšmės</w:t>
      </w:r>
      <w:r w:rsidR="006D28AD">
        <w:rPr>
          <w:i/>
          <w:iCs/>
          <w:sz w:val="24"/>
          <w:szCs w:val="24"/>
        </w:rPr>
        <w:t>, jeigu Rangovas taiko</w:t>
      </w:r>
      <w:r w:rsidRPr="00EA7A57">
        <w:rPr>
          <w:i/>
          <w:iCs/>
          <w:sz w:val="24"/>
          <w:szCs w:val="24"/>
        </w:rPr>
        <w:t>]</w:t>
      </w:r>
      <w:r>
        <w:rPr>
          <w:i/>
          <w:iCs/>
          <w:sz w:val="24"/>
          <w:szCs w:val="24"/>
        </w:rPr>
        <w:t>.</w:t>
      </w:r>
    </w:p>
    <w:p w14:paraId="39C54CA2" w14:textId="12F0932B" w:rsidR="008B3A84" w:rsidRDefault="00AE372E" w:rsidP="00AE372E">
      <w:pPr>
        <w:pStyle w:val="Stilius3"/>
        <w:tabs>
          <w:tab w:val="left" w:pos="695"/>
        </w:tabs>
        <w:spacing w:before="0" w:line="276" w:lineRule="auto"/>
        <w:ind w:right="34" w:firstLine="851"/>
        <w:rPr>
          <w:sz w:val="24"/>
          <w:szCs w:val="24"/>
        </w:rPr>
      </w:pPr>
      <w:r>
        <w:rPr>
          <w:sz w:val="24"/>
          <w:szCs w:val="24"/>
        </w:rPr>
        <w:t>1.</w:t>
      </w:r>
      <w:r w:rsidR="00162A59">
        <w:rPr>
          <w:sz w:val="24"/>
          <w:szCs w:val="24"/>
        </w:rPr>
        <w:t>7</w:t>
      </w:r>
      <w:r>
        <w:rPr>
          <w:sz w:val="24"/>
          <w:szCs w:val="24"/>
        </w:rPr>
        <w:t xml:space="preserve">. </w:t>
      </w:r>
      <w:r w:rsidR="008B3A84">
        <w:rPr>
          <w:sz w:val="24"/>
          <w:szCs w:val="24"/>
        </w:rPr>
        <w:t>Pagrindinė sutartis</w:t>
      </w:r>
      <w:r w:rsidR="008B3A84" w:rsidRPr="008B3A84">
        <w:rPr>
          <w:sz w:val="24"/>
          <w:szCs w:val="24"/>
        </w:rPr>
        <w:t xml:space="preserve"> įsigalioja abiem Sutarties Šalims pasirašius Sutartį ir Rangovui per 10 </w:t>
      </w:r>
      <w:r w:rsidR="006E16FC">
        <w:rPr>
          <w:sz w:val="24"/>
          <w:szCs w:val="24"/>
        </w:rPr>
        <w:t>kalendorinių</w:t>
      </w:r>
      <w:r w:rsidR="008B3A84" w:rsidRPr="008B3A84">
        <w:rPr>
          <w:sz w:val="24"/>
          <w:szCs w:val="24"/>
        </w:rPr>
        <w:t xml:space="preserve"> dienų nuo Sutarties pasirašymo dienos pateikus Užsakovui tinkamą </w:t>
      </w:r>
      <w:r w:rsidR="008B3A84">
        <w:rPr>
          <w:sz w:val="24"/>
          <w:szCs w:val="24"/>
        </w:rPr>
        <w:t>(</w:t>
      </w:r>
      <w:r w:rsidR="008B3A84" w:rsidRPr="00A92A22">
        <w:rPr>
          <w:sz w:val="24"/>
          <w:szCs w:val="24"/>
        </w:rPr>
        <w:t>5 proc. nuo pradin</w:t>
      </w:r>
      <w:r w:rsidR="008B3A84">
        <w:rPr>
          <w:sz w:val="24"/>
          <w:szCs w:val="24"/>
        </w:rPr>
        <w:t xml:space="preserve">ės Sutarties vertės be PVM) </w:t>
      </w:r>
      <w:r w:rsidR="008B3A84" w:rsidRPr="008B3A84">
        <w:rPr>
          <w:sz w:val="24"/>
          <w:szCs w:val="24"/>
        </w:rPr>
        <w:t>Sutarties įvykdymo užtikrinimą patvirtinantį dokumentą (toliau – Sutarties įvykdymo užtikrinimas) ir jo apmokėjimą patvirtinantį dokumentą (jeigu pateikiamas draudimo bendrovės išduotas Sutarties įvykdymo užtikrinimas) arba banko patvirtintą pavedimo kopiją (jeigu pervedamas piniginis užstatas). Atlikus šiuos veiksmus, Sutarties įsigaliojimo diena laikytina Sutarties įvykdymo užtikrinimo pateikimo diena. Šalims nepasirašius Sutarties ir (arba) Rangovui per 10 darbo dienų nuo Sutarties pasirašymo dienos nepateikus tinkamo Sutarties įvykdymo užtikrinimo (įskaitant ir piniginio užstato pervedimą)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bookmarkEnd w:id="0"/>
    <w:p w14:paraId="1FAF6BAE" w14:textId="71606794" w:rsidR="008B3A84" w:rsidRDefault="00227F3F" w:rsidP="00A21ACD">
      <w:pPr>
        <w:pStyle w:val="Stilius3"/>
        <w:tabs>
          <w:tab w:val="left" w:pos="695"/>
        </w:tabs>
        <w:spacing w:before="0"/>
        <w:ind w:left="40" w:right="34" w:firstLine="811"/>
        <w:rPr>
          <w:sz w:val="24"/>
          <w:szCs w:val="24"/>
        </w:rPr>
      </w:pPr>
      <w:r w:rsidRPr="00ED1058">
        <w:rPr>
          <w:sz w:val="24"/>
          <w:szCs w:val="24"/>
        </w:rPr>
        <w:t>1.</w:t>
      </w:r>
      <w:r w:rsidR="00162A59">
        <w:rPr>
          <w:sz w:val="24"/>
          <w:szCs w:val="24"/>
        </w:rPr>
        <w:t>8</w:t>
      </w:r>
      <w:r w:rsidRPr="00ED1058">
        <w:rPr>
          <w:sz w:val="24"/>
          <w:szCs w:val="24"/>
        </w:rPr>
        <w:t xml:space="preserve">. </w:t>
      </w:r>
      <w:r w:rsidR="008B3A84" w:rsidRPr="008B3A84">
        <w:rPr>
          <w:sz w:val="24"/>
          <w:szCs w:val="24"/>
        </w:rPr>
        <w:t>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w:t>
      </w:r>
    </w:p>
    <w:p w14:paraId="78F89820" w14:textId="1E5344BE" w:rsidR="0021177D" w:rsidRDefault="003527FE"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t>1.</w:t>
      </w:r>
      <w:r w:rsidR="00162A59">
        <w:rPr>
          <w:lang w:val="lt-LT"/>
        </w:rPr>
        <w:t>9</w:t>
      </w:r>
      <w:r w:rsidRPr="00ED1058">
        <w:rPr>
          <w:lang w:val="lt-LT"/>
        </w:rPr>
        <w:t xml:space="preserve">.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426940">
      <w:pPr>
        <w:pStyle w:val="Body2"/>
        <w:ind w:left="720"/>
        <w:rPr>
          <w:lang w:val="lt-LT"/>
        </w:rPr>
      </w:pPr>
    </w:p>
    <w:p w14:paraId="731F7C66" w14:textId="34086657" w:rsidR="006640F3" w:rsidRPr="00CF2F50"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(-ys) sudaroma</w:t>
      </w:r>
      <w:r w:rsidR="00D64C25">
        <w:rPr>
          <w:color w:val="auto"/>
          <w:sz w:val="24"/>
          <w:szCs w:val="24"/>
          <w:lang w:val="lt-LT"/>
        </w:rPr>
        <w:t xml:space="preserve"> </w:t>
      </w:r>
      <w:r w:rsidR="001F2332" w:rsidRPr="001F2332">
        <w:rPr>
          <w:color w:val="auto"/>
          <w:sz w:val="24"/>
          <w:szCs w:val="24"/>
          <w:lang w:val="lt-LT"/>
        </w:rPr>
        <w:t xml:space="preserve">(-os) vadovaujantis </w:t>
      </w:r>
      <w:r w:rsidR="001365E1">
        <w:rPr>
          <w:color w:val="auto"/>
          <w:sz w:val="24"/>
          <w:szCs w:val="24"/>
          <w:lang w:val="lt-LT"/>
        </w:rPr>
        <w:t>PĮ 9</w:t>
      </w:r>
      <w:r w:rsidR="001365E1" w:rsidRPr="00A92A22">
        <w:rPr>
          <w:color w:val="auto"/>
          <w:sz w:val="24"/>
          <w:szCs w:val="24"/>
          <w:lang w:val="lt-LT"/>
        </w:rPr>
        <w:t>4</w:t>
      </w:r>
      <w:r w:rsidR="001F2332" w:rsidRPr="001F2332">
        <w:rPr>
          <w:color w:val="auto"/>
          <w:sz w:val="24"/>
          <w:szCs w:val="24"/>
          <w:lang w:val="lt-LT"/>
        </w:rPr>
        <w:t xml:space="preserve"> straipsni</w:t>
      </w:r>
      <w:r w:rsidR="005B69F3">
        <w:rPr>
          <w:color w:val="auto"/>
          <w:sz w:val="24"/>
          <w:szCs w:val="24"/>
          <w:lang w:val="lt-LT"/>
        </w:rPr>
        <w:t>u</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1177D">
      <w:pPr>
        <w:pStyle w:val="Body2"/>
        <w:spacing w:after="0"/>
        <w:rPr>
          <w:rFonts w:cs="Times New Roman"/>
          <w:color w:val="auto"/>
          <w:sz w:val="24"/>
          <w:szCs w:val="24"/>
          <w:lang w:val="lt-LT"/>
        </w:rPr>
      </w:pPr>
      <w:r w:rsidRPr="00CF2F50">
        <w:rPr>
          <w:rFonts w:cs="Times New Roman"/>
          <w:color w:val="auto"/>
          <w:sz w:val="24"/>
          <w:szCs w:val="24"/>
          <w:lang w:val="lt-LT"/>
        </w:rPr>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386C509" w:rsidR="006640F3" w:rsidRPr="00FD1DE7" w:rsidRDefault="00A5757B" w:rsidP="0021177D">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w:t>
      </w:r>
      <w:r w:rsidR="005C09D3">
        <w:rPr>
          <w:rFonts w:cs="Times New Roman"/>
          <w:color w:val="auto"/>
          <w:sz w:val="24"/>
          <w:szCs w:val="24"/>
          <w:lang w:val="lt-LT"/>
        </w:rPr>
        <w:t>kvietimu</w:t>
      </w:r>
      <w:r w:rsidRPr="00EB6605">
        <w:rPr>
          <w:rFonts w:cs="Times New Roman"/>
          <w:color w:val="auto"/>
          <w:sz w:val="24"/>
          <w:szCs w:val="24"/>
          <w:lang w:val="lt-LT"/>
        </w:rPr>
        <w:t xml:space="preserve">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 xml:space="preserve">Kartu su </w:t>
      </w:r>
      <w:r w:rsidR="005C09D3">
        <w:rPr>
          <w:rFonts w:cs="Times New Roman"/>
          <w:color w:val="auto"/>
          <w:sz w:val="24"/>
          <w:szCs w:val="24"/>
          <w:lang w:val="lt-LT"/>
        </w:rPr>
        <w:t>kvietimu</w:t>
      </w:r>
      <w:r w:rsidRPr="00EB6605">
        <w:rPr>
          <w:rFonts w:cs="Times New Roman"/>
          <w:color w:val="auto"/>
          <w:sz w:val="24"/>
          <w:szCs w:val="24"/>
          <w:lang w:val="lt-LT"/>
        </w:rPr>
        <w:t xml:space="preserve">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1177D">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1177D">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5ACB2C71" w14:textId="63C00A4F" w:rsidR="00AE372E" w:rsidRDefault="00A5757B" w:rsidP="0021177D">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lastRenderedPageBreak/>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7462253F" w14:textId="77777777" w:rsidR="00426940" w:rsidRPr="00683A96" w:rsidRDefault="00426940" w:rsidP="0021177D">
      <w:pPr>
        <w:pStyle w:val="Body2"/>
        <w:spacing w:after="0"/>
        <w:rPr>
          <w:rFonts w:cs="Times New Roman"/>
          <w:color w:val="auto"/>
          <w:sz w:val="24"/>
          <w:szCs w:val="24"/>
          <w:lang w:val="lt-LT"/>
        </w:rPr>
      </w:pPr>
    </w:p>
    <w:p w14:paraId="3BD59CF9" w14:textId="4087F2BE" w:rsidR="00EE43DA" w:rsidRDefault="004C52C7" w:rsidP="00426940">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426940">
      <w:pPr>
        <w:pStyle w:val="Body2"/>
        <w:ind w:left="720"/>
        <w:rPr>
          <w:lang w:val="lt-LT"/>
        </w:rPr>
      </w:pPr>
    </w:p>
    <w:p w14:paraId="4F490AD7" w14:textId="77777777" w:rsidR="00475434" w:rsidRPr="00DA4A9D" w:rsidRDefault="00EE43DA" w:rsidP="00475434">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 xml:space="preserve">Pradinė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 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 (</w:t>
      </w:r>
      <w:r w:rsidR="00475434" w:rsidRPr="00B655BD">
        <w:rPr>
          <w:rFonts w:cs="Times New Roman"/>
          <w:i/>
          <w:iCs/>
          <w:color w:val="auto"/>
          <w:sz w:val="24"/>
          <w:szCs w:val="24"/>
          <w:lang w:val="lt-LT"/>
        </w:rPr>
        <w:t xml:space="preserve">įrašoma </w:t>
      </w:r>
      <w:r w:rsidR="00475434">
        <w:rPr>
          <w:rFonts w:cs="Times New Roman"/>
          <w:i/>
          <w:iCs/>
          <w:color w:val="auto"/>
          <w:sz w:val="24"/>
          <w:szCs w:val="24"/>
          <w:lang w:val="lt-LT"/>
        </w:rPr>
        <w:t>Rangovo</w:t>
      </w:r>
      <w:r w:rsidR="00475434" w:rsidRPr="00B655BD">
        <w:rPr>
          <w:rFonts w:cs="Times New Roman"/>
          <w:i/>
          <w:iCs/>
          <w:color w:val="auto"/>
          <w:sz w:val="24"/>
          <w:szCs w:val="24"/>
          <w:lang w:val="lt-LT"/>
        </w:rPr>
        <w:t xml:space="preserve"> pasiūlyme nurodyta bendra pasiūlymo kaina</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 xml:space="preserve">Pradinė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 xml:space="preserve">suma </w:t>
      </w:r>
      <w:r w:rsidR="00475434" w:rsidRPr="00DA4A9D">
        <w:rPr>
          <w:rFonts w:cs="Times New Roman"/>
          <w:i/>
          <w:iCs/>
          <w:color w:val="auto"/>
          <w:sz w:val="24"/>
          <w:szCs w:val="24"/>
          <w:lang w:val="lt-LT"/>
        </w:rPr>
        <w:t>žodžiais</w:t>
      </w:r>
      <w:r w:rsidR="00475434" w:rsidRPr="00DA4A9D">
        <w:rPr>
          <w:rFonts w:cs="Times New Roman"/>
          <w:color w:val="auto"/>
          <w:sz w:val="24"/>
          <w:szCs w:val="24"/>
          <w:lang w:val="lt-LT"/>
        </w:rPr>
        <w:t xml:space="preserve">). </w:t>
      </w:r>
    </w:p>
    <w:p w14:paraId="0A8C1A10" w14:textId="77777777" w:rsidR="0047360A" w:rsidRPr="0047360A" w:rsidRDefault="008F1D44" w:rsidP="0047360A">
      <w:pPr>
        <w:pStyle w:val="Body2"/>
        <w:ind w:firstLine="709"/>
        <w:rPr>
          <w:color w:val="000000" w:themeColor="text1"/>
          <w:sz w:val="24"/>
          <w:szCs w:val="24"/>
          <w:lang w:val="lt-LT"/>
        </w:rPr>
      </w:pPr>
      <w:r w:rsidRPr="00DA4A9D">
        <w:rPr>
          <w:sz w:val="24"/>
          <w:szCs w:val="24"/>
          <w:lang w:val="lt-LT"/>
        </w:rPr>
        <w:t>3.2.</w:t>
      </w:r>
      <w:r w:rsidRPr="00DA4A9D">
        <w:rPr>
          <w:i/>
          <w:iCs/>
          <w:sz w:val="24"/>
          <w:szCs w:val="24"/>
          <w:lang w:val="lt-LT"/>
        </w:rPr>
        <w:t xml:space="preserve"> </w:t>
      </w:r>
      <w:r w:rsidR="00297FF4" w:rsidRPr="00DA4A9D">
        <w:rPr>
          <w:color w:val="000000" w:themeColor="text1"/>
          <w:sz w:val="24"/>
          <w:szCs w:val="24"/>
          <w:lang w:val="lt-LT"/>
        </w:rPr>
        <w:t xml:space="preserve">Preliminariosios sutarties </w:t>
      </w:r>
      <w:r w:rsidR="00B2525A" w:rsidRPr="00DA4A9D">
        <w:rPr>
          <w:color w:val="000000" w:themeColor="text1"/>
          <w:sz w:val="24"/>
          <w:szCs w:val="24"/>
          <w:lang w:val="lt-LT"/>
        </w:rPr>
        <w:t xml:space="preserve">2 </w:t>
      </w:r>
      <w:r w:rsidR="00297FF4" w:rsidRPr="00DA4A9D">
        <w:rPr>
          <w:color w:val="000000" w:themeColor="text1"/>
          <w:sz w:val="24"/>
          <w:szCs w:val="24"/>
          <w:lang w:val="lt-LT"/>
        </w:rPr>
        <w:t xml:space="preserve">priede </w:t>
      </w:r>
      <w:r w:rsidR="00FB15A4" w:rsidRPr="00DA4A9D">
        <w:rPr>
          <w:color w:val="000000" w:themeColor="text1"/>
          <w:sz w:val="24"/>
          <w:szCs w:val="24"/>
          <w:lang w:val="lt-LT"/>
        </w:rPr>
        <w:t>„</w:t>
      </w:r>
      <w:r w:rsidR="00297FF4" w:rsidRPr="00DA4A9D">
        <w:rPr>
          <w:color w:val="000000" w:themeColor="text1"/>
          <w:sz w:val="24"/>
          <w:szCs w:val="24"/>
          <w:lang w:val="lt-LT"/>
        </w:rPr>
        <w:t>Rangovo pasiūlym</w:t>
      </w:r>
      <w:r w:rsidR="00FB15A4" w:rsidRPr="00DA4A9D">
        <w:rPr>
          <w:color w:val="000000" w:themeColor="text1"/>
          <w:sz w:val="24"/>
          <w:szCs w:val="24"/>
          <w:lang w:val="lt-LT"/>
        </w:rPr>
        <w:t>as“</w:t>
      </w:r>
      <w:r w:rsidR="00297FF4" w:rsidRPr="00DA4A9D">
        <w:rPr>
          <w:color w:val="000000" w:themeColor="text1"/>
          <w:sz w:val="24"/>
          <w:szCs w:val="24"/>
          <w:lang w:val="lt-LT"/>
        </w:rPr>
        <w:t xml:space="preserve"> nurodyt</w:t>
      </w:r>
      <w:r w:rsidR="00FB15A4" w:rsidRPr="00DA4A9D">
        <w:rPr>
          <w:color w:val="000000" w:themeColor="text1"/>
          <w:sz w:val="24"/>
          <w:szCs w:val="24"/>
          <w:lang w:val="lt-LT"/>
        </w:rPr>
        <w:t>i</w:t>
      </w:r>
      <w:r w:rsidR="00297FF4" w:rsidRPr="00DA4A9D">
        <w:rPr>
          <w:color w:val="000000" w:themeColor="text1"/>
          <w:sz w:val="24"/>
          <w:szCs w:val="24"/>
          <w:lang w:val="lt-LT"/>
        </w:rPr>
        <w:t xml:space="preserve"> Darbų</w:t>
      </w:r>
      <w:r w:rsidR="00FB15A4" w:rsidRPr="00DA4A9D">
        <w:rPr>
          <w:color w:val="000000" w:themeColor="text1"/>
          <w:sz w:val="24"/>
          <w:szCs w:val="24"/>
          <w:lang w:val="lt-LT"/>
        </w:rPr>
        <w:t xml:space="preserve"> ir su Darbais susijusių paslaugų</w:t>
      </w:r>
      <w:r w:rsidR="00297FF4" w:rsidRPr="00DA4A9D">
        <w:rPr>
          <w:color w:val="000000" w:themeColor="text1"/>
          <w:sz w:val="24"/>
          <w:szCs w:val="24"/>
          <w:lang w:val="lt-LT"/>
        </w:rPr>
        <w:t xml:space="preserve"> </w:t>
      </w:r>
      <w:r w:rsidR="00FB15A4" w:rsidRPr="00DA4A9D">
        <w:rPr>
          <w:color w:val="000000" w:themeColor="text1"/>
          <w:sz w:val="24"/>
          <w:szCs w:val="24"/>
          <w:lang w:val="lt-LT"/>
        </w:rPr>
        <w:t>į</w:t>
      </w:r>
      <w:r w:rsidR="00297FF4" w:rsidRPr="00DA4A9D">
        <w:rPr>
          <w:color w:val="000000" w:themeColor="text1"/>
          <w:sz w:val="24"/>
          <w:szCs w:val="24"/>
          <w:lang w:val="lt-LT"/>
        </w:rPr>
        <w:t>kain</w:t>
      </w:r>
      <w:r w:rsidR="00FB15A4" w:rsidRPr="00DA4A9D">
        <w:rPr>
          <w:color w:val="000000" w:themeColor="text1"/>
          <w:sz w:val="24"/>
          <w:szCs w:val="24"/>
          <w:lang w:val="lt-LT"/>
        </w:rPr>
        <w:t>iai ir kainos</w:t>
      </w:r>
      <w:r w:rsidR="00B2525A" w:rsidRPr="00DA4A9D">
        <w:rPr>
          <w:color w:val="000000" w:themeColor="text1"/>
          <w:sz w:val="24"/>
          <w:szCs w:val="24"/>
          <w:lang w:val="lt-LT"/>
        </w:rPr>
        <w:t xml:space="preserve"> </w:t>
      </w:r>
      <w:r w:rsidR="00297FF4" w:rsidRPr="00DA4A9D">
        <w:rPr>
          <w:color w:val="000000" w:themeColor="text1"/>
          <w:sz w:val="24"/>
          <w:szCs w:val="24"/>
          <w:lang w:val="lt-LT"/>
        </w:rPr>
        <w:t xml:space="preserve">apima visus Rangovui privalomus mokėti mokesčius ir visas su Darbų </w:t>
      </w:r>
      <w:r w:rsidR="00EB20C8" w:rsidRPr="00DA4A9D">
        <w:rPr>
          <w:color w:val="000000" w:themeColor="text1"/>
          <w:sz w:val="24"/>
          <w:szCs w:val="24"/>
          <w:lang w:val="lt-LT"/>
        </w:rPr>
        <w:t>ir su Darbais susijusių</w:t>
      </w:r>
      <w:r w:rsidR="00EB20C8" w:rsidRPr="0047360A">
        <w:rPr>
          <w:color w:val="000000" w:themeColor="text1"/>
          <w:sz w:val="24"/>
          <w:szCs w:val="24"/>
          <w:lang w:val="lt-LT"/>
        </w:rPr>
        <w:t xml:space="preserve"> paslaugų </w:t>
      </w:r>
      <w:r w:rsidR="00297FF4" w:rsidRPr="0047360A">
        <w:rPr>
          <w:color w:val="000000" w:themeColor="text1"/>
          <w:sz w:val="24"/>
          <w:szCs w:val="24"/>
          <w:lang w:val="lt-LT"/>
        </w:rPr>
        <w:t>atlikimu susijusias išlaidas.</w:t>
      </w:r>
    </w:p>
    <w:p w14:paraId="3ADA5235" w14:textId="51714284" w:rsidR="0047360A" w:rsidRPr="0047360A" w:rsidRDefault="0047360A" w:rsidP="0047360A">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 xml:space="preserve">pasiūlyme nurodyti </w:t>
      </w:r>
      <w:r w:rsidRPr="00013F1E">
        <w:rPr>
          <w:color w:val="000000" w:themeColor="text1"/>
          <w:sz w:val="24"/>
          <w:szCs w:val="24"/>
          <w:lang w:val="lt-LT"/>
        </w:rPr>
        <w:t xml:space="preserve">Darbų ir su Darbais susijusių paslaugų </w:t>
      </w:r>
      <w:r w:rsidRPr="0047360A">
        <w:rPr>
          <w:color w:val="000000" w:themeColor="text1"/>
          <w:sz w:val="24"/>
          <w:szCs w:val="24"/>
          <w:lang w:val="lt-LT"/>
        </w:rPr>
        <w:t>įkainiai ir kainos</w:t>
      </w:r>
      <w:r>
        <w:rPr>
          <w:color w:val="000000" w:themeColor="text1"/>
          <w:sz w:val="24"/>
          <w:szCs w:val="24"/>
          <w:lang w:val="lt-LT"/>
        </w:rPr>
        <w:t xml:space="preserve"> </w:t>
      </w:r>
      <w:r w:rsidRPr="0047360A">
        <w:rPr>
          <w:sz w:val="24"/>
          <w:szCs w:val="24"/>
          <w:lang w:val="lt-LT"/>
        </w:rPr>
        <w:t>gali būti perskaičiuojamos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47360A">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B3534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426940">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426940">
      <w:pPr>
        <w:pStyle w:val="Body2"/>
        <w:rPr>
          <w:lang w:val="lt-LT"/>
        </w:rPr>
      </w:pPr>
    </w:p>
    <w:p w14:paraId="302126F5" w14:textId="5F2734D0" w:rsidR="00BC4279" w:rsidRPr="00D7364F" w:rsidRDefault="00A5757B" w:rsidP="0021177D">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1177D">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(-ys)</w:t>
      </w:r>
      <w:r w:rsidR="00EF0F04" w:rsidRPr="00D7364F">
        <w:rPr>
          <w:rFonts w:eastAsia="Calibri"/>
          <w:szCs w:val="22"/>
          <w:bdr w:val="none" w:sz="0" w:space="0" w:color="auto"/>
          <w:lang w:val="lt-LT"/>
        </w:rPr>
        <w:t>.</w:t>
      </w:r>
    </w:p>
    <w:p w14:paraId="72C33693" w14:textId="64CBB625" w:rsidR="006640F3" w:rsidRPr="00683A96" w:rsidRDefault="00A5757B" w:rsidP="0021177D">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1177D">
      <w:pPr>
        <w:pStyle w:val="Body2"/>
        <w:rPr>
          <w:rFonts w:cs="Times New Roman"/>
          <w:color w:val="auto"/>
          <w:sz w:val="24"/>
          <w:szCs w:val="24"/>
          <w:lang w:val="lt-LT"/>
        </w:rPr>
      </w:pPr>
    </w:p>
    <w:p w14:paraId="655965F2" w14:textId="5AAC3C0E" w:rsidR="00426940"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426940">
      <w:pPr>
        <w:pStyle w:val="Body2"/>
        <w:rPr>
          <w:lang w:val="lt-LT"/>
        </w:rPr>
      </w:pPr>
    </w:p>
    <w:p w14:paraId="796DA702" w14:textId="3D2EB5D9" w:rsidR="0082071F" w:rsidRDefault="00A5757B" w:rsidP="0021177D">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 xml:space="preserve">.1. Preliminariosios sutarties sąlygos gali būti keičiamos tik vadovaujantis </w:t>
      </w:r>
      <w:r w:rsidR="005B69F3">
        <w:rPr>
          <w:rFonts w:cs="Times New Roman"/>
          <w:sz w:val="24"/>
          <w:szCs w:val="24"/>
          <w:lang w:val="lt-LT"/>
        </w:rPr>
        <w:t>PĮ</w:t>
      </w:r>
      <w:r w:rsidRPr="00683A96">
        <w:rPr>
          <w:rFonts w:cs="Times New Roman"/>
          <w:sz w:val="24"/>
          <w:szCs w:val="24"/>
          <w:lang w:val="lt-LT"/>
        </w:rPr>
        <w:t xml:space="preserve"> </w:t>
      </w:r>
      <w:r w:rsidR="005B69F3">
        <w:rPr>
          <w:rFonts w:cs="Times New Roman"/>
          <w:sz w:val="24"/>
          <w:szCs w:val="24"/>
          <w:lang w:val="lt-LT"/>
        </w:rPr>
        <w:t>9</w:t>
      </w:r>
      <w:r w:rsidR="005B69F3" w:rsidRPr="00A92A22">
        <w:rPr>
          <w:rFonts w:cs="Times New Roman"/>
          <w:sz w:val="24"/>
          <w:szCs w:val="24"/>
          <w:lang w:val="lt-LT"/>
        </w:rPr>
        <w:t>7</w:t>
      </w:r>
      <w:r w:rsidRPr="00683A96">
        <w:rPr>
          <w:rFonts w:cs="Times New Roman"/>
          <w:sz w:val="24"/>
          <w:szCs w:val="24"/>
          <w:lang w:val="lt-LT"/>
        </w:rPr>
        <w:t xml:space="preserve"> straipsnio nuostatomis.</w:t>
      </w:r>
    </w:p>
    <w:p w14:paraId="3A1A2959" w14:textId="77777777" w:rsidR="00426940" w:rsidRPr="00683A96" w:rsidRDefault="00426940" w:rsidP="0021177D">
      <w:pPr>
        <w:pStyle w:val="Body2"/>
        <w:spacing w:after="0"/>
        <w:rPr>
          <w:rFonts w:cs="Times New Roman"/>
          <w:sz w:val="24"/>
          <w:szCs w:val="24"/>
          <w:lang w:val="lt-LT"/>
        </w:rPr>
      </w:pPr>
    </w:p>
    <w:p w14:paraId="3ADB3A8A" w14:textId="51FFD9F5" w:rsidR="006640F3"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426940">
      <w:pPr>
        <w:pStyle w:val="Body2"/>
        <w:ind w:left="720"/>
        <w:rPr>
          <w:lang w:val="lt-LT"/>
        </w:rPr>
      </w:pPr>
    </w:p>
    <w:p w14:paraId="7800591C" w14:textId="48E8C517" w:rsidR="00FF7896" w:rsidRPr="00EA4BF2" w:rsidRDefault="0029792D" w:rsidP="00EA4BF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14F8D119" w:rsidR="0021777E" w:rsidRPr="00EA4BF2" w:rsidRDefault="0021777E" w:rsidP="0021177D">
      <w:pPr>
        <w:pStyle w:val="Body2"/>
        <w:spacing w:after="0"/>
        <w:rPr>
          <w:color w:val="auto"/>
          <w:sz w:val="24"/>
          <w:szCs w:val="24"/>
          <w:lang w:val="lt-LT"/>
        </w:rPr>
      </w:pPr>
      <w:r w:rsidRPr="00EA4BF2">
        <w:rPr>
          <w:color w:val="auto"/>
          <w:sz w:val="24"/>
          <w:szCs w:val="24"/>
          <w:lang w:val="lt-LT"/>
        </w:rPr>
        <w:lastRenderedPageBreak/>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214AD" w:rsidRPr="00EA4BF2">
        <w:rPr>
          <w:color w:val="auto"/>
          <w:sz w:val="24"/>
          <w:szCs w:val="24"/>
          <w:lang w:val="lt-LT"/>
        </w:rPr>
        <w:t>3</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1177D">
      <w:pPr>
        <w:pStyle w:val="Body2"/>
        <w:spacing w:after="0"/>
        <w:rPr>
          <w:color w:val="auto"/>
          <w:sz w:val="24"/>
          <w:szCs w:val="24"/>
          <w:lang w:val="lt-LT"/>
        </w:rPr>
      </w:pPr>
    </w:p>
    <w:p w14:paraId="2EFC1890" w14:textId="2AAD51B7" w:rsidR="001A365F" w:rsidRDefault="001A365F" w:rsidP="00426940">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426940">
      <w:pPr>
        <w:pStyle w:val="Body2"/>
        <w:ind w:left="720"/>
        <w:rPr>
          <w:lang w:val="lt-LT"/>
        </w:rPr>
      </w:pPr>
    </w:p>
    <w:p w14:paraId="18471645" w14:textId="167F6A5A" w:rsidR="001A365F" w:rsidRPr="001A365F" w:rsidRDefault="001A365F" w:rsidP="00C15F54">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C15F54">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C15F54">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C15F54">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C15F54">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C15F54">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C15F54">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50660304" w14:textId="77777777" w:rsidR="004517D7" w:rsidRPr="00690F80" w:rsidRDefault="004517D7" w:rsidP="00C15F54">
      <w:pPr>
        <w:pStyle w:val="Body2"/>
        <w:spacing w:after="0"/>
        <w:rPr>
          <w:sz w:val="24"/>
          <w:szCs w:val="24"/>
          <w:lang w:val="lt-LT"/>
        </w:rPr>
      </w:pPr>
    </w:p>
    <w:p w14:paraId="5537908A" w14:textId="52EF29B3" w:rsidR="00426940" w:rsidRPr="00C15F54" w:rsidRDefault="005F6029" w:rsidP="00C15F5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C15F5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3FAA744" w14:textId="77777777" w:rsidR="00426940" w:rsidRPr="00A84FC6" w:rsidRDefault="00426940" w:rsidP="00A84FC6">
      <w:pPr>
        <w:tabs>
          <w:tab w:val="left" w:pos="1134"/>
        </w:tabs>
        <w:jc w:val="both"/>
        <w:rPr>
          <w:rFonts w:eastAsia="Times New Roman"/>
          <w:bdr w:val="none" w:sz="0" w:space="0" w:color="auto"/>
          <w:lang w:val="lt-LT"/>
        </w:rPr>
      </w:pPr>
    </w:p>
    <w:p w14:paraId="40E53F78" w14:textId="20E3AD36" w:rsidR="002212FD" w:rsidRDefault="00E94AAE" w:rsidP="00426940">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1D354D50" w14:textId="77777777" w:rsidR="00426940" w:rsidRPr="00D56386" w:rsidRDefault="00426940" w:rsidP="00A84FC6">
      <w:pPr>
        <w:pStyle w:val="Body2"/>
        <w:spacing w:after="120"/>
        <w:rPr>
          <w:rFonts w:cs="Times New Roman"/>
          <w:b/>
          <w:bCs/>
          <w:sz w:val="24"/>
          <w:szCs w:val="24"/>
          <w:lang w:val="lt-LT"/>
        </w:rPr>
      </w:pPr>
    </w:p>
    <w:p w14:paraId="23F88C40" w14:textId="77777777" w:rsidR="004E124F"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4E124F">
      <w:pPr>
        <w:pStyle w:val="Body2"/>
        <w:ind w:firstLine="720"/>
        <w:rPr>
          <w:rFonts w:cs="Times New Roman"/>
          <w:sz w:val="24"/>
          <w:szCs w:val="24"/>
          <w:lang w:val="lt-LT"/>
        </w:rPr>
      </w:pPr>
      <w:r>
        <w:rPr>
          <w:rFonts w:cs="Times New Roman"/>
          <w:color w:val="auto"/>
          <w:sz w:val="24"/>
          <w:szCs w:val="24"/>
          <w:lang w:val="lt-LT"/>
        </w:rPr>
        <w:lastRenderedPageBreak/>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4E124F">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6F845266" w:rsidR="006A1021"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xml:space="preserve">, jei tai atitinka </w:t>
      </w:r>
      <w:r w:rsidR="005B69F3">
        <w:rPr>
          <w:rFonts w:cs="Times New Roman"/>
          <w:color w:val="auto"/>
          <w:sz w:val="24"/>
          <w:szCs w:val="24"/>
          <w:lang w:val="lt-LT"/>
        </w:rPr>
        <w:t>PĮ</w:t>
      </w:r>
      <w:r w:rsidR="00620645" w:rsidRPr="00683A96">
        <w:rPr>
          <w:rFonts w:cs="Times New Roman"/>
          <w:color w:val="auto"/>
          <w:sz w:val="24"/>
          <w:szCs w:val="24"/>
          <w:lang w:val="lt-LT"/>
        </w:rPr>
        <w:t xml:space="preserve"> nustatytus reikalavimus</w:t>
      </w:r>
      <w:r w:rsidR="006A1021">
        <w:rPr>
          <w:rFonts w:cs="Times New Roman"/>
          <w:color w:val="auto"/>
          <w:sz w:val="24"/>
          <w:szCs w:val="24"/>
          <w:lang w:val="lt-LT"/>
        </w:rPr>
        <w:t>.</w:t>
      </w:r>
    </w:p>
    <w:p w14:paraId="18E7A0A9" w14:textId="4C095B30" w:rsidR="006A1021" w:rsidRPr="00AC1520" w:rsidRDefault="002D648C" w:rsidP="0021177D">
      <w:pPr>
        <w:pStyle w:val="Body2"/>
        <w:spacing w:after="0"/>
        <w:ind w:firstLine="709"/>
        <w:rPr>
          <w:rFonts w:eastAsia="Times New Roman"/>
          <w:sz w:val="24"/>
          <w:szCs w:val="24"/>
          <w:bdr w:val="none" w:sz="0" w:space="0" w:color="auto"/>
          <w:lang w:val="sv-SE"/>
        </w:rPr>
      </w:pPr>
      <w:r>
        <w:rPr>
          <w:rFonts w:cs="Times New Roman"/>
          <w:color w:val="auto"/>
          <w:sz w:val="24"/>
          <w:szCs w:val="24"/>
          <w:lang w:val="lt-LT"/>
        </w:rPr>
        <w:t>9</w:t>
      </w:r>
      <w:r w:rsidR="006A1021" w:rsidRPr="006A1021">
        <w:rPr>
          <w:rFonts w:cs="Times New Roman"/>
          <w:color w:val="auto"/>
          <w:sz w:val="24"/>
          <w:szCs w:val="24"/>
          <w:lang w:val="lt-LT"/>
        </w:rPr>
        <w:t>.</w:t>
      </w:r>
      <w:r w:rsidR="003E71CE">
        <w:rPr>
          <w:rFonts w:cs="Times New Roman"/>
          <w:color w:val="auto"/>
          <w:sz w:val="24"/>
          <w:szCs w:val="24"/>
          <w:lang w:val="lt-LT"/>
        </w:rPr>
        <w:t>5</w:t>
      </w:r>
      <w:r w:rsidR="006A1021" w:rsidRPr="006A1021">
        <w:rPr>
          <w:rFonts w:cs="Times New Roman"/>
          <w:color w:val="auto"/>
          <w:sz w:val="24"/>
          <w:szCs w:val="24"/>
          <w:lang w:val="lt-LT"/>
        </w:rPr>
        <w:t xml:space="preserve">. </w:t>
      </w:r>
      <w:r w:rsidR="005B69F3">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Times New Roman"/>
          <w:sz w:val="24"/>
          <w:szCs w:val="24"/>
          <w:bdr w:val="none" w:sz="0" w:space="0" w:color="auto"/>
          <w:lang w:val="sv-SE"/>
        </w:rPr>
        <w:t>___</w:t>
      </w:r>
      <w:r w:rsidR="00B71FC0">
        <w:rPr>
          <w:rFonts w:eastAsia="Times New Roman"/>
          <w:sz w:val="24"/>
          <w:szCs w:val="24"/>
          <w:bdr w:val="none" w:sz="0" w:space="0" w:color="auto"/>
          <w:lang w:val="sv-SE"/>
        </w:rPr>
        <w:t>____</w:t>
      </w:r>
      <w:r w:rsidR="007B2C4F">
        <w:rPr>
          <w:rFonts w:eastAsia="Times New Roman"/>
          <w:sz w:val="24"/>
          <w:szCs w:val="24"/>
          <w:bdr w:val="none" w:sz="0" w:space="0" w:color="auto"/>
          <w:lang w:val="sv-SE"/>
        </w:rPr>
        <w:t>______ .</w:t>
      </w:r>
    </w:p>
    <w:p w14:paraId="090B2C0B" w14:textId="7EADC414" w:rsidR="006A1021" w:rsidRDefault="002D648C" w:rsidP="0021177D">
      <w:pPr>
        <w:pStyle w:val="Body2"/>
        <w:spacing w:after="0"/>
        <w:ind w:firstLine="709"/>
        <w:rPr>
          <w:rFonts w:eastAsia="Calibri"/>
          <w:sz w:val="24"/>
          <w:szCs w:val="24"/>
          <w:bdr w:val="none" w:sz="0" w:space="0" w:color="auto"/>
          <w:shd w:val="clear" w:color="auto" w:fill="FFFFFF"/>
          <w:lang w:val="lt-LT"/>
        </w:rPr>
      </w:pPr>
      <w:r w:rsidRPr="00AC1520">
        <w:rPr>
          <w:rFonts w:eastAsia="Times New Roman"/>
          <w:sz w:val="24"/>
          <w:szCs w:val="24"/>
          <w:bdr w:val="none" w:sz="0" w:space="0" w:color="auto"/>
          <w:lang w:val="sv-SE"/>
        </w:rPr>
        <w:t>9</w:t>
      </w:r>
      <w:r w:rsidR="006A1021" w:rsidRPr="00AC1520">
        <w:rPr>
          <w:rFonts w:eastAsia="Times New Roman"/>
          <w:sz w:val="24"/>
          <w:szCs w:val="24"/>
          <w:bdr w:val="none" w:sz="0" w:space="0" w:color="auto"/>
          <w:lang w:val="sv-SE"/>
        </w:rPr>
        <w:t>.</w:t>
      </w:r>
      <w:r w:rsidR="003E71CE">
        <w:rPr>
          <w:rFonts w:eastAsia="Times New Roman"/>
          <w:sz w:val="24"/>
          <w:szCs w:val="24"/>
          <w:bdr w:val="none" w:sz="0" w:space="0" w:color="auto"/>
          <w:lang w:val="sv-SE"/>
        </w:rPr>
        <w:t>6</w:t>
      </w:r>
      <w:r w:rsidR="006A1021" w:rsidRPr="00AC1520">
        <w:rPr>
          <w:rFonts w:eastAsia="Times New Roman"/>
          <w:sz w:val="24"/>
          <w:szCs w:val="24"/>
          <w:bdr w:val="none" w:sz="0" w:space="0" w:color="auto"/>
          <w:lang w:val="sv-SE"/>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Calibri"/>
          <w:sz w:val="24"/>
          <w:szCs w:val="24"/>
          <w:bdr w:val="none" w:sz="0" w:space="0" w:color="auto"/>
          <w:shd w:val="clear" w:color="auto" w:fill="FFFFFF"/>
          <w:lang w:val="lt-LT"/>
        </w:rPr>
        <w:t>________</w:t>
      </w:r>
      <w:r w:rsidR="00B71FC0">
        <w:rPr>
          <w:rFonts w:eastAsia="Calibri"/>
          <w:sz w:val="24"/>
          <w:szCs w:val="24"/>
          <w:bdr w:val="none" w:sz="0" w:space="0" w:color="auto"/>
          <w:shd w:val="clear" w:color="auto" w:fill="FFFFFF"/>
          <w:lang w:val="lt-LT"/>
        </w:rPr>
        <w:t>_</w:t>
      </w:r>
      <w:r w:rsidR="007B2C4F">
        <w:rPr>
          <w:rFonts w:eastAsia="Calibri"/>
          <w:sz w:val="24"/>
          <w:szCs w:val="24"/>
          <w:bdr w:val="none" w:sz="0" w:space="0" w:color="auto"/>
          <w:shd w:val="clear" w:color="auto" w:fill="FFFFFF"/>
          <w:lang w:val="lt-LT"/>
        </w:rPr>
        <w:t>_______ .</w:t>
      </w:r>
    </w:p>
    <w:p w14:paraId="495BBF34" w14:textId="2961579D" w:rsidR="00F54C2D" w:rsidRPr="00A92A22" w:rsidRDefault="00F54C2D" w:rsidP="0021177D">
      <w:pPr>
        <w:pStyle w:val="Body2"/>
        <w:spacing w:after="0"/>
        <w:ind w:firstLine="709"/>
        <w:rPr>
          <w:rFonts w:eastAsia="Times New Roman"/>
          <w:sz w:val="24"/>
          <w:szCs w:val="24"/>
          <w:bdr w:val="none" w:sz="0" w:space="0" w:color="auto"/>
          <w:lang w:val="lt-LT"/>
        </w:rPr>
      </w:pPr>
      <w:r>
        <w:rPr>
          <w:rFonts w:eastAsia="Calibri"/>
          <w:sz w:val="24"/>
          <w:szCs w:val="24"/>
          <w:bdr w:val="none" w:sz="0" w:space="0" w:color="auto"/>
          <w:shd w:val="clear" w:color="auto" w:fill="FFFFFF"/>
          <w:lang w:val="lt-LT"/>
        </w:rPr>
        <w:t>9.</w:t>
      </w:r>
      <w:r w:rsidRPr="00A92A22">
        <w:rPr>
          <w:rFonts w:eastAsia="Calibri"/>
          <w:sz w:val="24"/>
          <w:szCs w:val="24"/>
          <w:bdr w:val="none" w:sz="0" w:space="0" w:color="auto"/>
          <w:shd w:val="clear" w:color="auto" w:fill="FFFFFF"/>
          <w:lang w:val="lt-LT"/>
        </w:rPr>
        <w:t>7.  Užsakovo skiriamas atsakingas asmuo už Preliminariosios sutarties ir pakeitimų paskelbimą pagal PĮ įstatymo 94 straipsnio 9 dalies nuostatas –</w:t>
      </w:r>
    </w:p>
    <w:p w14:paraId="0DDB7682" w14:textId="6CBD4362" w:rsid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F54C2D" w:rsidRPr="00A92A22">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28C08FE0" w:rsidR="008E6295" w:rsidRP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F54C2D">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E47B49">
        <w:rPr>
          <w:rFonts w:eastAsia="Times New Roman" w:cs="Times New Roman"/>
          <w:iCs/>
          <w:color w:val="auto"/>
          <w:sz w:val="24"/>
          <w:szCs w:val="24"/>
          <w:bdr w:val="none" w:sz="0" w:space="0" w:color="auto"/>
          <w:lang w:val="lt-LT"/>
        </w:rPr>
        <w:t>3</w:t>
      </w:r>
      <w:r w:rsidR="003E71CE">
        <w:rPr>
          <w:rFonts w:eastAsia="Times New Roman" w:cs="Times New Roman"/>
          <w:iCs/>
          <w:color w:val="auto"/>
          <w:sz w:val="24"/>
          <w:szCs w:val="24"/>
          <w:bdr w:val="none" w:sz="0" w:space="0" w:color="auto"/>
          <w:lang w:val="lt-LT"/>
        </w:rPr>
        <w:t xml:space="preserve"> (</w:t>
      </w:r>
      <w:r w:rsidR="00E47B49">
        <w:rPr>
          <w:rFonts w:eastAsia="Times New Roman" w:cs="Times New Roman"/>
          <w:iCs/>
          <w:color w:val="auto"/>
          <w:sz w:val="24"/>
          <w:szCs w:val="24"/>
          <w:bdr w:val="none" w:sz="0" w:space="0" w:color="auto"/>
          <w:lang w:val="lt-LT"/>
        </w:rPr>
        <w:t>tris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384F58E3" w:rsidR="006640F3" w:rsidRPr="0093498F" w:rsidRDefault="002D648C" w:rsidP="0021177D">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607A1579" w:rsidR="00177F02" w:rsidRPr="00680050" w:rsidRDefault="002D648C" w:rsidP="0021177D">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3F97147B" w:rsidR="00680050" w:rsidRPr="00D476EF" w:rsidRDefault="00E47B49" w:rsidP="00680050">
      <w:pPr>
        <w:pStyle w:val="Body2"/>
        <w:ind w:firstLine="720"/>
        <w:rPr>
          <w:rFonts w:cs="Times New Roman"/>
          <w:color w:val="auto"/>
          <w:sz w:val="24"/>
          <w:szCs w:val="24"/>
          <w:lang w:val="lt-LT"/>
        </w:rPr>
      </w:pPr>
      <w:r w:rsidRPr="00680050">
        <w:rPr>
          <w:rFonts w:cs="Times New Roman"/>
          <w:color w:val="000000" w:themeColor="text1"/>
          <w:sz w:val="24"/>
          <w:szCs w:val="24"/>
          <w:lang w:val="lt-LT"/>
        </w:rPr>
        <w:t>9.</w:t>
      </w:r>
      <w:r w:rsidR="00F54C2D">
        <w:rPr>
          <w:rFonts w:cs="Times New Roman"/>
          <w:color w:val="000000" w:themeColor="text1"/>
          <w:sz w:val="24"/>
          <w:szCs w:val="24"/>
          <w:lang w:val="lt-LT"/>
        </w:rPr>
        <w:t>9</w:t>
      </w:r>
      <w:r w:rsidRPr="00680050">
        <w:rPr>
          <w:rFonts w:cs="Times New Roman"/>
          <w:color w:val="000000" w:themeColor="text1"/>
          <w:sz w:val="24"/>
          <w:szCs w:val="24"/>
          <w:lang w:val="lt-LT"/>
        </w:rPr>
        <w:t xml:space="preserve">.3. 3 priedas – </w:t>
      </w:r>
      <w:r w:rsidR="00DA4A9D">
        <w:rPr>
          <w:rFonts w:cs="Times New Roman"/>
          <w:color w:val="000000" w:themeColor="text1"/>
          <w:sz w:val="24"/>
          <w:szCs w:val="24"/>
          <w:lang w:val="lt-LT"/>
        </w:rPr>
        <w:t>Projektavimo</w:t>
      </w:r>
      <w:r w:rsidR="00FC26EA">
        <w:rPr>
          <w:rFonts w:cs="Times New Roman"/>
          <w:color w:val="000000" w:themeColor="text1"/>
          <w:sz w:val="24"/>
          <w:szCs w:val="24"/>
          <w:lang w:val="lt-LT"/>
        </w:rPr>
        <w:t>/statybos</w:t>
      </w:r>
      <w:r w:rsidR="00DA4A9D">
        <w:rPr>
          <w:rFonts w:cs="Times New Roman"/>
          <w:color w:val="000000" w:themeColor="text1"/>
          <w:sz w:val="24"/>
          <w:szCs w:val="24"/>
          <w:lang w:val="lt-LT"/>
        </w:rPr>
        <w:t xml:space="preserve"> užduotis ir darbų kiekių žiniaraščiai</w:t>
      </w:r>
      <w:r w:rsidR="00680050" w:rsidRPr="00D476EF">
        <w:rPr>
          <w:color w:val="auto"/>
          <w:sz w:val="24"/>
          <w:szCs w:val="24"/>
          <w:lang w:val="lt-LT"/>
        </w:rPr>
        <w:t>;</w:t>
      </w:r>
    </w:p>
    <w:p w14:paraId="7340F0BC" w14:textId="77777777" w:rsidR="00426940" w:rsidRPr="000A5F2E" w:rsidRDefault="00426940" w:rsidP="0021177D">
      <w:pPr>
        <w:pStyle w:val="Body2"/>
        <w:spacing w:after="0"/>
        <w:ind w:firstLine="72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9714"/>
        <w:gridCol w:w="222"/>
        <w:gridCol w:w="222"/>
      </w:tblGrid>
      <w:tr w:rsidR="00493558" w:rsidRPr="00493558" w14:paraId="207BBFA0" w14:textId="77777777" w:rsidTr="002F4F3E">
        <w:trPr>
          <w:trHeight w:val="131"/>
        </w:trPr>
        <w:tc>
          <w:tcPr>
            <w:tcW w:w="10019" w:type="dxa"/>
            <w:gridSpan w:val="3"/>
            <w:vAlign w:val="center"/>
          </w:tcPr>
          <w:p w14:paraId="5F42CB3D" w14:textId="7BA2E4BE" w:rsidR="00493558" w:rsidRPr="00426940" w:rsidRDefault="00493558" w:rsidP="0042694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tc>
      </w:tr>
      <w:tr w:rsidR="00493558" w:rsidRPr="00493558" w14:paraId="76620D9C" w14:textId="77777777" w:rsidTr="002F4F3E">
        <w:trPr>
          <w:trHeight w:val="131"/>
        </w:trPr>
        <w:tc>
          <w:tcPr>
            <w:tcW w:w="4253" w:type="dxa"/>
            <w:vAlign w:val="center"/>
          </w:tcPr>
          <w:tbl>
            <w:tblPr>
              <w:tblpPr w:leftFromText="180" w:rightFromText="180" w:vertAnchor="text" w:horzAnchor="margin" w:tblpY="38"/>
              <w:tblOverlap w:val="never"/>
              <w:tblW w:w="9498" w:type="dxa"/>
              <w:tblLayout w:type="fixed"/>
              <w:tblLook w:val="01E0" w:firstRow="1" w:lastRow="1" w:firstColumn="1" w:lastColumn="1" w:noHBand="0" w:noVBand="0"/>
            </w:tblPr>
            <w:tblGrid>
              <w:gridCol w:w="4573"/>
              <w:gridCol w:w="731"/>
              <w:gridCol w:w="4194"/>
            </w:tblGrid>
            <w:tr w:rsidR="00426940" w:rsidRPr="00C50E47" w14:paraId="58A0CA68" w14:textId="77777777" w:rsidTr="007B2C4F">
              <w:trPr>
                <w:trHeight w:val="125"/>
              </w:trPr>
              <w:tc>
                <w:tcPr>
                  <w:tcW w:w="4573" w:type="dxa"/>
                </w:tcPr>
                <w:p w14:paraId="2C73740B"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UŽSAKOVAS</w:t>
                  </w:r>
                </w:p>
                <w:p w14:paraId="3C9C34AD" w14:textId="77777777" w:rsidR="00B71FC0" w:rsidRPr="00B71FC0" w:rsidRDefault="00B71FC0" w:rsidP="00B71FC0">
                  <w:pPr>
                    <w:ind w:right="-98"/>
                    <w:rPr>
                      <w:rFonts w:eastAsia="Calibri"/>
                      <w:b/>
                      <w:bCs/>
                      <w:spacing w:val="-7"/>
                      <w:lang w:val="lt-LT"/>
                    </w:rPr>
                  </w:pPr>
                  <w:r w:rsidRPr="00B71FC0">
                    <w:rPr>
                      <w:rFonts w:eastAsia="Calibri"/>
                      <w:b/>
                      <w:bCs/>
                      <w:spacing w:val="-7"/>
                      <w:lang w:val="lt-LT"/>
                    </w:rPr>
                    <w:t>UAB ,,Giraitės vandenys“</w:t>
                  </w:r>
                </w:p>
                <w:p w14:paraId="4F9D999A" w14:textId="77777777" w:rsidR="00B71FC0" w:rsidRPr="00B71FC0" w:rsidRDefault="00B71FC0" w:rsidP="00B71FC0">
                  <w:pPr>
                    <w:ind w:right="-98"/>
                    <w:rPr>
                      <w:rFonts w:eastAsia="Calibri"/>
                      <w:spacing w:val="-7"/>
                      <w:lang w:val="lt-LT"/>
                    </w:rPr>
                  </w:pPr>
                  <w:r w:rsidRPr="00B71FC0">
                    <w:rPr>
                      <w:rFonts w:eastAsia="Calibri"/>
                      <w:spacing w:val="-7"/>
                      <w:lang w:val="lt-LT"/>
                    </w:rPr>
                    <w:t>Topolių g. 5, Giraitės k., Kauno r. sav.</w:t>
                  </w:r>
                </w:p>
                <w:p w14:paraId="6C1A9118" w14:textId="77777777" w:rsidR="00B71FC0" w:rsidRPr="00B71FC0" w:rsidRDefault="00B71FC0" w:rsidP="00B71FC0">
                  <w:pPr>
                    <w:ind w:right="-98"/>
                    <w:rPr>
                      <w:rFonts w:eastAsia="Calibri"/>
                      <w:spacing w:val="-7"/>
                      <w:lang w:val="lt-LT"/>
                    </w:rPr>
                  </w:pPr>
                  <w:r w:rsidRPr="00B71FC0">
                    <w:rPr>
                      <w:rFonts w:eastAsia="Calibri"/>
                      <w:spacing w:val="-7"/>
                      <w:lang w:val="lt-LT"/>
                    </w:rPr>
                    <w:t>Įmonės kodas 159702357</w:t>
                  </w:r>
                </w:p>
                <w:p w14:paraId="523D31FD" w14:textId="77777777" w:rsidR="00B71FC0" w:rsidRPr="00B71FC0" w:rsidRDefault="00B71FC0" w:rsidP="00B71FC0">
                  <w:pPr>
                    <w:ind w:right="-98"/>
                    <w:rPr>
                      <w:rFonts w:eastAsia="Calibri"/>
                      <w:spacing w:val="-7"/>
                      <w:lang w:val="lt-LT"/>
                    </w:rPr>
                  </w:pPr>
                  <w:r w:rsidRPr="00B71FC0">
                    <w:rPr>
                      <w:rFonts w:eastAsia="Calibri"/>
                      <w:spacing w:val="-7"/>
                      <w:lang w:val="lt-LT"/>
                    </w:rPr>
                    <w:t>PVM mokėtojo kodas LT597023515</w:t>
                  </w:r>
                </w:p>
                <w:p w14:paraId="10B3A2E3" w14:textId="77777777" w:rsidR="00B71FC0" w:rsidRPr="00B71FC0" w:rsidRDefault="00B71FC0" w:rsidP="00B71FC0">
                  <w:pPr>
                    <w:ind w:right="-98"/>
                    <w:rPr>
                      <w:rFonts w:eastAsia="Calibri"/>
                      <w:spacing w:val="-7"/>
                      <w:lang w:val="lt-LT"/>
                    </w:rPr>
                  </w:pPr>
                  <w:r w:rsidRPr="00B71FC0">
                    <w:rPr>
                      <w:rFonts w:eastAsia="Calibri"/>
                      <w:spacing w:val="-7"/>
                      <w:lang w:val="lt-LT"/>
                    </w:rPr>
                    <w:t>a. s. Nr. LT417044060007163198</w:t>
                  </w:r>
                </w:p>
                <w:p w14:paraId="567C8820" w14:textId="77777777" w:rsidR="00B71FC0" w:rsidRPr="00B71FC0" w:rsidRDefault="00B71FC0" w:rsidP="00B71FC0">
                  <w:pPr>
                    <w:ind w:right="-98"/>
                    <w:rPr>
                      <w:rFonts w:eastAsia="Calibri"/>
                      <w:spacing w:val="-7"/>
                      <w:lang w:val="lt-LT"/>
                    </w:rPr>
                  </w:pPr>
                  <w:r w:rsidRPr="00B71FC0">
                    <w:rPr>
                      <w:rFonts w:eastAsia="Calibri"/>
                      <w:spacing w:val="-7"/>
                      <w:lang w:val="lt-LT"/>
                    </w:rPr>
                    <w:t>AB SEB bankas</w:t>
                  </w:r>
                </w:p>
                <w:p w14:paraId="027F0D2B" w14:textId="77777777" w:rsidR="00B71FC0" w:rsidRPr="00B71FC0" w:rsidRDefault="00B71FC0" w:rsidP="00B71FC0">
                  <w:pPr>
                    <w:ind w:right="-98"/>
                    <w:rPr>
                      <w:rFonts w:eastAsia="Calibri"/>
                      <w:b/>
                      <w:bCs/>
                      <w:spacing w:val="-7"/>
                      <w:lang w:val="lt-LT"/>
                    </w:rPr>
                  </w:pPr>
                  <w:r w:rsidRPr="00B71FC0">
                    <w:rPr>
                      <w:rFonts w:eastAsia="Calibri"/>
                      <w:spacing w:val="-7"/>
                      <w:lang w:val="lt-LT"/>
                    </w:rPr>
                    <w:t>Tel.: 8 37 338347</w:t>
                  </w:r>
                </w:p>
                <w:p w14:paraId="5F28E06B" w14:textId="77777777" w:rsidR="00B71FC0" w:rsidRPr="00B71FC0" w:rsidRDefault="00B71FC0" w:rsidP="00B71FC0">
                  <w:pPr>
                    <w:ind w:right="-98"/>
                    <w:rPr>
                      <w:rFonts w:eastAsia="Calibri"/>
                      <w:b/>
                      <w:bCs/>
                      <w:spacing w:val="-7"/>
                      <w:lang w:val="lt-LT"/>
                    </w:rPr>
                  </w:pPr>
                </w:p>
                <w:p w14:paraId="3E3652BF" w14:textId="77777777" w:rsidR="00B71FC0" w:rsidRPr="00B71FC0" w:rsidRDefault="00B71FC0" w:rsidP="00B71FC0">
                  <w:pPr>
                    <w:ind w:right="-98"/>
                    <w:rPr>
                      <w:rFonts w:eastAsia="Calibri"/>
                      <w:spacing w:val="-7"/>
                      <w:lang w:val="lt-LT"/>
                    </w:rPr>
                  </w:pPr>
                  <w:r w:rsidRPr="00B71FC0">
                    <w:rPr>
                      <w:rFonts w:eastAsia="Calibri"/>
                      <w:spacing w:val="-7"/>
                      <w:lang w:val="lt-LT"/>
                    </w:rPr>
                    <w:t>Direktorius</w:t>
                  </w:r>
                </w:p>
                <w:p w14:paraId="5CC20EBE" w14:textId="5D3A5268" w:rsidR="00426940" w:rsidRPr="00B71FC0" w:rsidRDefault="00B71FC0" w:rsidP="00B71FC0">
                  <w:pPr>
                    <w:ind w:right="-98"/>
                    <w:rPr>
                      <w:rFonts w:eastAsia="Calibri"/>
                      <w:spacing w:val="-7"/>
                      <w:lang w:val="lt-LT"/>
                    </w:rPr>
                  </w:pPr>
                  <w:r w:rsidRPr="00B71FC0">
                    <w:rPr>
                      <w:rFonts w:eastAsia="Calibri"/>
                      <w:spacing w:val="-7"/>
                      <w:lang w:val="lt-LT"/>
                    </w:rPr>
                    <w:t>Andrius Dzevyžis</w:t>
                  </w:r>
                  <w:r w:rsidR="00426940" w:rsidRPr="009A1B42">
                    <w:rPr>
                      <w:rFonts w:eastAsia="Calibri"/>
                      <w:lang w:val="lt-LT"/>
                    </w:rPr>
                    <w:t xml:space="preserve"> </w:t>
                  </w:r>
                </w:p>
              </w:tc>
              <w:tc>
                <w:tcPr>
                  <w:tcW w:w="731" w:type="dxa"/>
                </w:tcPr>
                <w:p w14:paraId="1BBC7155" w14:textId="77777777" w:rsidR="00426940" w:rsidRPr="009A1B42" w:rsidRDefault="00426940" w:rsidP="00426940">
                  <w:pPr>
                    <w:widowControl w:val="0"/>
                    <w:tabs>
                      <w:tab w:val="left" w:pos="648"/>
                    </w:tabs>
                    <w:autoSpaceDE w:val="0"/>
                    <w:autoSpaceDN w:val="0"/>
                    <w:adjustRightInd w:val="0"/>
                    <w:rPr>
                      <w:rFonts w:eastAsia="Times New Roman"/>
                      <w:lang w:val="lt-LT"/>
                    </w:rPr>
                  </w:pPr>
                </w:p>
              </w:tc>
              <w:tc>
                <w:tcPr>
                  <w:tcW w:w="4194" w:type="dxa"/>
                </w:tcPr>
                <w:p w14:paraId="27548958" w14:textId="77777777" w:rsidR="00426940" w:rsidRPr="009A1B42" w:rsidRDefault="00426940" w:rsidP="00426940">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77777777" w:rsidR="00426940" w:rsidRPr="009A1B42" w:rsidRDefault="00426940" w:rsidP="00426940">
                  <w:pPr>
                    <w:jc w:val="both"/>
                    <w:rPr>
                      <w:b/>
                      <w:bCs/>
                      <w:lang w:val="lt-LT"/>
                    </w:rPr>
                  </w:pPr>
                  <w:r w:rsidRPr="009A1B42">
                    <w:rPr>
                      <w:b/>
                      <w:bCs/>
                      <w:lang w:val="lt-LT"/>
                    </w:rPr>
                    <w:t>[...]</w:t>
                  </w:r>
                </w:p>
                <w:p w14:paraId="519E56D4" w14:textId="77777777" w:rsidR="00426940" w:rsidRPr="009A1B42" w:rsidRDefault="00426940" w:rsidP="00426940">
                  <w:pPr>
                    <w:jc w:val="both"/>
                    <w:rPr>
                      <w:lang w:val="lt-LT"/>
                    </w:rPr>
                  </w:pPr>
                  <w:r w:rsidRPr="009A1B42">
                    <w:rPr>
                      <w:lang w:val="lt-LT"/>
                    </w:rPr>
                    <w:t>Adresas [...]</w:t>
                  </w:r>
                </w:p>
                <w:p w14:paraId="4275E6E5" w14:textId="77777777" w:rsidR="00426940" w:rsidRPr="009A1B42" w:rsidRDefault="00426940" w:rsidP="00426940">
                  <w:pPr>
                    <w:jc w:val="both"/>
                    <w:rPr>
                      <w:lang w:val="lt-LT"/>
                    </w:rPr>
                  </w:pPr>
                  <w:r w:rsidRPr="009A1B42">
                    <w:rPr>
                      <w:lang w:val="lt-LT"/>
                    </w:rPr>
                    <w:t>Juridinio asmens kodas [...]</w:t>
                  </w:r>
                </w:p>
                <w:p w14:paraId="4027BDE7" w14:textId="77777777" w:rsidR="00426940" w:rsidRPr="009A1B42" w:rsidRDefault="00426940" w:rsidP="00426940">
                  <w:pPr>
                    <w:jc w:val="both"/>
                    <w:rPr>
                      <w:lang w:val="lt-LT"/>
                    </w:rPr>
                  </w:pPr>
                  <w:r w:rsidRPr="009A1B42">
                    <w:rPr>
                      <w:bCs/>
                      <w:lang w:val="lt-LT"/>
                    </w:rPr>
                    <w:t>PVM mok. kodas</w:t>
                  </w:r>
                  <w:r w:rsidRPr="009A1B42">
                    <w:rPr>
                      <w:lang w:val="lt-LT"/>
                    </w:rPr>
                    <w:t xml:space="preserve"> [...]</w:t>
                  </w:r>
                </w:p>
                <w:p w14:paraId="4FAD112C" w14:textId="77777777" w:rsidR="00426940" w:rsidRPr="009A1B42" w:rsidRDefault="00426940" w:rsidP="00426940">
                  <w:pPr>
                    <w:jc w:val="both"/>
                    <w:rPr>
                      <w:lang w:val="lt-LT"/>
                    </w:rPr>
                  </w:pPr>
                  <w:r w:rsidRPr="009A1B42">
                    <w:rPr>
                      <w:bCs/>
                      <w:lang w:val="lt-LT"/>
                    </w:rPr>
                    <w:t xml:space="preserve">A. s. Nr. </w:t>
                  </w:r>
                  <w:r w:rsidRPr="009A1B42">
                    <w:rPr>
                      <w:lang w:val="lt-LT"/>
                    </w:rPr>
                    <w:t>[...]</w:t>
                  </w:r>
                </w:p>
                <w:p w14:paraId="3D789F0C" w14:textId="77777777" w:rsidR="00426940" w:rsidRPr="009A1B42" w:rsidRDefault="00426940" w:rsidP="00426940">
                  <w:pPr>
                    <w:jc w:val="both"/>
                    <w:rPr>
                      <w:lang w:val="lt-LT"/>
                    </w:rPr>
                  </w:pPr>
                  <w:r w:rsidRPr="009A1B42">
                    <w:rPr>
                      <w:bCs/>
                      <w:lang w:val="lt-LT"/>
                    </w:rPr>
                    <w:t>Bankas</w:t>
                  </w:r>
                  <w:r w:rsidRPr="009A1B42">
                    <w:rPr>
                      <w:lang w:val="lt-LT"/>
                    </w:rPr>
                    <w:t xml:space="preserve"> [...], </w:t>
                  </w:r>
                </w:p>
                <w:p w14:paraId="577A75EF" w14:textId="77777777" w:rsidR="00426940" w:rsidRPr="009A1B42" w:rsidRDefault="00426940" w:rsidP="00426940">
                  <w:pPr>
                    <w:jc w:val="both"/>
                    <w:rPr>
                      <w:lang w:val="lt-LT"/>
                    </w:rPr>
                  </w:pPr>
                  <w:r w:rsidRPr="009A1B42">
                    <w:rPr>
                      <w:lang w:val="lt-LT"/>
                    </w:rPr>
                    <w:t>Banko kodas [...]</w:t>
                  </w:r>
                </w:p>
                <w:p w14:paraId="100B4538" w14:textId="77777777" w:rsidR="00426940" w:rsidRPr="009A1B42" w:rsidRDefault="00426940" w:rsidP="00426940">
                  <w:pPr>
                    <w:jc w:val="both"/>
                    <w:rPr>
                      <w:lang w:val="lt-LT"/>
                    </w:rPr>
                  </w:pPr>
                  <w:r w:rsidRPr="009A1B42">
                    <w:rPr>
                      <w:bCs/>
                      <w:lang w:val="lt-LT"/>
                    </w:rPr>
                    <w:t xml:space="preserve">Tel. </w:t>
                  </w:r>
                  <w:r w:rsidRPr="009A1B42">
                    <w:rPr>
                      <w:lang w:val="lt-LT"/>
                    </w:rPr>
                    <w:t>[...]</w:t>
                  </w:r>
                </w:p>
                <w:p w14:paraId="1B6B1E55" w14:textId="77777777" w:rsidR="00426940" w:rsidRPr="009A1B42" w:rsidRDefault="00426940" w:rsidP="00426940">
                  <w:pPr>
                    <w:jc w:val="both"/>
                    <w:rPr>
                      <w:lang w:val="lt-LT"/>
                    </w:rPr>
                  </w:pPr>
                  <w:r w:rsidRPr="009A1B42">
                    <w:rPr>
                      <w:bCs/>
                      <w:lang w:val="lt-LT"/>
                    </w:rPr>
                    <w:t>El. paštas</w:t>
                  </w:r>
                  <w:r w:rsidRPr="009A1B42">
                    <w:rPr>
                      <w:lang w:val="lt-LT"/>
                    </w:rPr>
                    <w:t xml:space="preserve"> [...]</w:t>
                  </w:r>
                </w:p>
                <w:p w14:paraId="77776410" w14:textId="77777777" w:rsidR="00426940" w:rsidRPr="009A1B42" w:rsidRDefault="00426940" w:rsidP="00426940">
                  <w:pPr>
                    <w:jc w:val="both"/>
                    <w:rPr>
                      <w:bCs/>
                      <w:lang w:val="lt-LT"/>
                    </w:rPr>
                  </w:pPr>
                </w:p>
                <w:p w14:paraId="3A46BB11" w14:textId="77777777" w:rsidR="00426940" w:rsidRPr="009A1B42" w:rsidRDefault="00426940" w:rsidP="00426940">
                  <w:pPr>
                    <w:jc w:val="both"/>
                    <w:rPr>
                      <w:bCs/>
                      <w:lang w:val="lt-LT"/>
                    </w:rPr>
                  </w:pPr>
                  <w:r w:rsidRPr="009A1B42">
                    <w:rPr>
                      <w:bCs/>
                      <w:lang w:val="lt-LT"/>
                    </w:rPr>
                    <w:t>[Direktorius]</w:t>
                  </w:r>
                </w:p>
                <w:p w14:paraId="46833B64" w14:textId="77777777" w:rsidR="00426940" w:rsidRPr="009A1B42" w:rsidRDefault="00426940" w:rsidP="00426940">
                  <w:pPr>
                    <w:jc w:val="both"/>
                    <w:rPr>
                      <w:bCs/>
                      <w:lang w:val="lt-LT"/>
                    </w:rPr>
                  </w:pPr>
                  <w:r w:rsidRPr="009A1B42">
                    <w:rPr>
                      <w:bCs/>
                      <w:lang w:val="lt-LT"/>
                    </w:rPr>
                    <w:t>[......]</w:t>
                  </w:r>
                </w:p>
                <w:p w14:paraId="338A385B" w14:textId="77777777" w:rsidR="00426940" w:rsidRPr="009A1B42" w:rsidRDefault="00426940" w:rsidP="00426940">
                  <w:pPr>
                    <w:suppressAutoHyphens/>
                    <w:autoSpaceDN w:val="0"/>
                    <w:textAlignment w:val="baseline"/>
                    <w:rPr>
                      <w:rFonts w:eastAsia="Times New Roman"/>
                      <w:b/>
                      <w:bCs/>
                      <w:lang w:val="lt-LT"/>
                    </w:rPr>
                  </w:pPr>
                </w:p>
              </w:tc>
            </w:tr>
          </w:tbl>
          <w:p w14:paraId="46731625" w14:textId="6186C601"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1177D">
      <w:pPr>
        <w:pStyle w:val="Body2"/>
        <w:rPr>
          <w:lang w:val="lt-LT"/>
        </w:rPr>
      </w:pPr>
    </w:p>
    <w:sectPr w:rsidR="006640F3" w:rsidRPr="000E4344" w:rsidSect="00C96A92">
      <w:footerReference w:type="default" r:id="rId8"/>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2BCA" w14:textId="77777777" w:rsidR="00D72F0D" w:rsidRDefault="00D72F0D">
      <w:r>
        <w:separator/>
      </w:r>
    </w:p>
  </w:endnote>
  <w:endnote w:type="continuationSeparator" w:id="0">
    <w:p w14:paraId="616E6EAE" w14:textId="77777777" w:rsidR="00D72F0D" w:rsidRDefault="00D7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EB37" w14:textId="77777777" w:rsidR="00D72F0D" w:rsidRDefault="00D72F0D">
      <w:r>
        <w:separator/>
      </w:r>
    </w:p>
  </w:footnote>
  <w:footnote w:type="continuationSeparator" w:id="0">
    <w:p w14:paraId="2C4C74B1" w14:textId="77777777" w:rsidR="00D72F0D" w:rsidRDefault="00D7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819A2"/>
    <w:multiLevelType w:val="hybridMultilevel"/>
    <w:tmpl w:val="96524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2"/>
  </w:num>
  <w:num w:numId="9" w16cid:durableId="1373992266">
    <w:abstractNumId w:val="8"/>
  </w:num>
  <w:num w:numId="10" w16cid:durableId="1990593418">
    <w:abstractNumId w:val="5"/>
  </w:num>
  <w:num w:numId="11" w16cid:durableId="295648260">
    <w:abstractNumId w:val="9"/>
  </w:num>
  <w:num w:numId="12" w16cid:durableId="751976517">
    <w:abstractNumId w:val="0"/>
  </w:num>
  <w:num w:numId="13" w16cid:durableId="1707219578">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1"/>
  </w:num>
  <w:num w:numId="15" w16cid:durableId="801458442">
    <w:abstractNumId w:val="6"/>
  </w:num>
  <w:num w:numId="16" w16cid:durableId="67240723">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4D43"/>
    <w:rsid w:val="00035A93"/>
    <w:rsid w:val="00035E0B"/>
    <w:rsid w:val="000374DA"/>
    <w:rsid w:val="00043A72"/>
    <w:rsid w:val="00046C59"/>
    <w:rsid w:val="000508F7"/>
    <w:rsid w:val="00050D21"/>
    <w:rsid w:val="00055032"/>
    <w:rsid w:val="000552BF"/>
    <w:rsid w:val="000565D6"/>
    <w:rsid w:val="00056A49"/>
    <w:rsid w:val="0006257A"/>
    <w:rsid w:val="00070DDE"/>
    <w:rsid w:val="00080A91"/>
    <w:rsid w:val="00084FA1"/>
    <w:rsid w:val="00085C0A"/>
    <w:rsid w:val="00090873"/>
    <w:rsid w:val="00096AA4"/>
    <w:rsid w:val="000A155E"/>
    <w:rsid w:val="000A5F2E"/>
    <w:rsid w:val="000A5FB6"/>
    <w:rsid w:val="000A7ABF"/>
    <w:rsid w:val="000B139E"/>
    <w:rsid w:val="000B7893"/>
    <w:rsid w:val="000C0FD6"/>
    <w:rsid w:val="000C45BD"/>
    <w:rsid w:val="000C5A66"/>
    <w:rsid w:val="000C608B"/>
    <w:rsid w:val="000D773B"/>
    <w:rsid w:val="000E4344"/>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384E"/>
    <w:rsid w:val="00135CC8"/>
    <w:rsid w:val="001365E1"/>
    <w:rsid w:val="00136C8A"/>
    <w:rsid w:val="00142375"/>
    <w:rsid w:val="00142AB8"/>
    <w:rsid w:val="0014451B"/>
    <w:rsid w:val="00145588"/>
    <w:rsid w:val="001474F9"/>
    <w:rsid w:val="001533CB"/>
    <w:rsid w:val="00162A59"/>
    <w:rsid w:val="00162ED2"/>
    <w:rsid w:val="00170818"/>
    <w:rsid w:val="00172D22"/>
    <w:rsid w:val="00177F02"/>
    <w:rsid w:val="001833FD"/>
    <w:rsid w:val="00184A1B"/>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12FD"/>
    <w:rsid w:val="00227F3F"/>
    <w:rsid w:val="00235EEA"/>
    <w:rsid w:val="00241A48"/>
    <w:rsid w:val="00245BF8"/>
    <w:rsid w:val="00253145"/>
    <w:rsid w:val="00257881"/>
    <w:rsid w:val="0027120A"/>
    <w:rsid w:val="00276FC2"/>
    <w:rsid w:val="0027773D"/>
    <w:rsid w:val="00282FF6"/>
    <w:rsid w:val="00283F28"/>
    <w:rsid w:val="00290E37"/>
    <w:rsid w:val="00291E5B"/>
    <w:rsid w:val="00292C08"/>
    <w:rsid w:val="00294784"/>
    <w:rsid w:val="0029792D"/>
    <w:rsid w:val="00297FF4"/>
    <w:rsid w:val="002A44F6"/>
    <w:rsid w:val="002B061F"/>
    <w:rsid w:val="002B0EE4"/>
    <w:rsid w:val="002B21FB"/>
    <w:rsid w:val="002B4B45"/>
    <w:rsid w:val="002B5A89"/>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62BBE"/>
    <w:rsid w:val="003651C3"/>
    <w:rsid w:val="003727E0"/>
    <w:rsid w:val="00382014"/>
    <w:rsid w:val="003831FF"/>
    <w:rsid w:val="00384FDE"/>
    <w:rsid w:val="00386124"/>
    <w:rsid w:val="00390768"/>
    <w:rsid w:val="00393601"/>
    <w:rsid w:val="003959B0"/>
    <w:rsid w:val="003977F1"/>
    <w:rsid w:val="003A1085"/>
    <w:rsid w:val="003A29BF"/>
    <w:rsid w:val="003A4564"/>
    <w:rsid w:val="003B5099"/>
    <w:rsid w:val="003B7725"/>
    <w:rsid w:val="003C101E"/>
    <w:rsid w:val="003C2B5F"/>
    <w:rsid w:val="003D25CF"/>
    <w:rsid w:val="003D7EFF"/>
    <w:rsid w:val="003E1507"/>
    <w:rsid w:val="003E505C"/>
    <w:rsid w:val="003E71CE"/>
    <w:rsid w:val="003F6F2F"/>
    <w:rsid w:val="004000DA"/>
    <w:rsid w:val="004020D4"/>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32C0"/>
    <w:rsid w:val="0047360A"/>
    <w:rsid w:val="004748DB"/>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1F6"/>
    <w:rsid w:val="004B47F0"/>
    <w:rsid w:val="004C292A"/>
    <w:rsid w:val="004C42EE"/>
    <w:rsid w:val="004C52C7"/>
    <w:rsid w:val="004D26DF"/>
    <w:rsid w:val="004D4A28"/>
    <w:rsid w:val="004D63D8"/>
    <w:rsid w:val="004E124F"/>
    <w:rsid w:val="004E25C2"/>
    <w:rsid w:val="004E3098"/>
    <w:rsid w:val="004E3826"/>
    <w:rsid w:val="004F2261"/>
    <w:rsid w:val="004F2622"/>
    <w:rsid w:val="004F666F"/>
    <w:rsid w:val="004F771B"/>
    <w:rsid w:val="00505D28"/>
    <w:rsid w:val="00506AF1"/>
    <w:rsid w:val="0050705B"/>
    <w:rsid w:val="0051098D"/>
    <w:rsid w:val="00515363"/>
    <w:rsid w:val="00516853"/>
    <w:rsid w:val="005206D0"/>
    <w:rsid w:val="00522DFC"/>
    <w:rsid w:val="00533745"/>
    <w:rsid w:val="00534264"/>
    <w:rsid w:val="00536DDB"/>
    <w:rsid w:val="005526CF"/>
    <w:rsid w:val="005558B0"/>
    <w:rsid w:val="00555DB6"/>
    <w:rsid w:val="00566293"/>
    <w:rsid w:val="00567CD4"/>
    <w:rsid w:val="005774CC"/>
    <w:rsid w:val="00577E1C"/>
    <w:rsid w:val="005854C3"/>
    <w:rsid w:val="005977DC"/>
    <w:rsid w:val="005A2704"/>
    <w:rsid w:val="005A287D"/>
    <w:rsid w:val="005A4027"/>
    <w:rsid w:val="005B2E35"/>
    <w:rsid w:val="005B69F3"/>
    <w:rsid w:val="005B6CFF"/>
    <w:rsid w:val="005C0464"/>
    <w:rsid w:val="005C09D3"/>
    <w:rsid w:val="005C359B"/>
    <w:rsid w:val="005D0F67"/>
    <w:rsid w:val="005D4BE9"/>
    <w:rsid w:val="005D6871"/>
    <w:rsid w:val="005E0A00"/>
    <w:rsid w:val="005E3A08"/>
    <w:rsid w:val="005E4101"/>
    <w:rsid w:val="005F00FE"/>
    <w:rsid w:val="005F06D4"/>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19D4"/>
    <w:rsid w:val="00657926"/>
    <w:rsid w:val="00657DC5"/>
    <w:rsid w:val="00663F36"/>
    <w:rsid w:val="006640F3"/>
    <w:rsid w:val="0067089A"/>
    <w:rsid w:val="0067166A"/>
    <w:rsid w:val="006730AE"/>
    <w:rsid w:val="00680050"/>
    <w:rsid w:val="00681D31"/>
    <w:rsid w:val="00683A96"/>
    <w:rsid w:val="0068789E"/>
    <w:rsid w:val="00690F80"/>
    <w:rsid w:val="006A1021"/>
    <w:rsid w:val="006A33D3"/>
    <w:rsid w:val="006C0858"/>
    <w:rsid w:val="006C502D"/>
    <w:rsid w:val="006C6DDB"/>
    <w:rsid w:val="006D28AD"/>
    <w:rsid w:val="006D6F3C"/>
    <w:rsid w:val="006E16FC"/>
    <w:rsid w:val="006E3877"/>
    <w:rsid w:val="006E7E3C"/>
    <w:rsid w:val="006F15F4"/>
    <w:rsid w:val="006F26A0"/>
    <w:rsid w:val="006F2B24"/>
    <w:rsid w:val="006F6D56"/>
    <w:rsid w:val="006F7C2E"/>
    <w:rsid w:val="00703D74"/>
    <w:rsid w:val="00704009"/>
    <w:rsid w:val="00705542"/>
    <w:rsid w:val="0071015A"/>
    <w:rsid w:val="00714CC1"/>
    <w:rsid w:val="007214AD"/>
    <w:rsid w:val="00723361"/>
    <w:rsid w:val="00730A0B"/>
    <w:rsid w:val="00730B19"/>
    <w:rsid w:val="0073101F"/>
    <w:rsid w:val="00742501"/>
    <w:rsid w:val="007433C7"/>
    <w:rsid w:val="00743F44"/>
    <w:rsid w:val="00746D6E"/>
    <w:rsid w:val="00761168"/>
    <w:rsid w:val="00763E63"/>
    <w:rsid w:val="007659E7"/>
    <w:rsid w:val="00766F68"/>
    <w:rsid w:val="007731E6"/>
    <w:rsid w:val="0077488D"/>
    <w:rsid w:val="00774D3B"/>
    <w:rsid w:val="00776973"/>
    <w:rsid w:val="00777BE4"/>
    <w:rsid w:val="00777E16"/>
    <w:rsid w:val="00785097"/>
    <w:rsid w:val="00787247"/>
    <w:rsid w:val="007908A5"/>
    <w:rsid w:val="007931B3"/>
    <w:rsid w:val="007A3926"/>
    <w:rsid w:val="007A7765"/>
    <w:rsid w:val="007B2C4F"/>
    <w:rsid w:val="007C114E"/>
    <w:rsid w:val="007C2437"/>
    <w:rsid w:val="007D2ABA"/>
    <w:rsid w:val="007D567F"/>
    <w:rsid w:val="007D62D2"/>
    <w:rsid w:val="007E1B22"/>
    <w:rsid w:val="007E4AA6"/>
    <w:rsid w:val="00802911"/>
    <w:rsid w:val="00805E79"/>
    <w:rsid w:val="0081647B"/>
    <w:rsid w:val="00820683"/>
    <w:rsid w:val="0082071F"/>
    <w:rsid w:val="008306CC"/>
    <w:rsid w:val="00831D03"/>
    <w:rsid w:val="00837111"/>
    <w:rsid w:val="0083724D"/>
    <w:rsid w:val="00842804"/>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1B45"/>
    <w:rsid w:val="0089238C"/>
    <w:rsid w:val="008A296D"/>
    <w:rsid w:val="008A2A63"/>
    <w:rsid w:val="008A5E35"/>
    <w:rsid w:val="008B001B"/>
    <w:rsid w:val="008B2686"/>
    <w:rsid w:val="008B2D04"/>
    <w:rsid w:val="008B3A84"/>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C9B"/>
    <w:rsid w:val="00900EFC"/>
    <w:rsid w:val="00903346"/>
    <w:rsid w:val="0091151B"/>
    <w:rsid w:val="009154AB"/>
    <w:rsid w:val="00915583"/>
    <w:rsid w:val="00916F89"/>
    <w:rsid w:val="00921054"/>
    <w:rsid w:val="0092582C"/>
    <w:rsid w:val="00926DE1"/>
    <w:rsid w:val="00930EBE"/>
    <w:rsid w:val="0093498F"/>
    <w:rsid w:val="00945FEF"/>
    <w:rsid w:val="00947D74"/>
    <w:rsid w:val="00961A22"/>
    <w:rsid w:val="00962CD8"/>
    <w:rsid w:val="00964E8A"/>
    <w:rsid w:val="00975AE5"/>
    <w:rsid w:val="0098432E"/>
    <w:rsid w:val="009929FD"/>
    <w:rsid w:val="00992B87"/>
    <w:rsid w:val="009952DF"/>
    <w:rsid w:val="00996008"/>
    <w:rsid w:val="009A068B"/>
    <w:rsid w:val="009A2602"/>
    <w:rsid w:val="009A45AC"/>
    <w:rsid w:val="009B168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1664"/>
    <w:rsid w:val="00A31F0F"/>
    <w:rsid w:val="00A37036"/>
    <w:rsid w:val="00A379EA"/>
    <w:rsid w:val="00A37C82"/>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92A22"/>
    <w:rsid w:val="00A954FA"/>
    <w:rsid w:val="00AA19F1"/>
    <w:rsid w:val="00AA3B11"/>
    <w:rsid w:val="00AB38E5"/>
    <w:rsid w:val="00AB3B2C"/>
    <w:rsid w:val="00AB7077"/>
    <w:rsid w:val="00AC10CE"/>
    <w:rsid w:val="00AC1520"/>
    <w:rsid w:val="00AC495C"/>
    <w:rsid w:val="00AC6927"/>
    <w:rsid w:val="00AC715E"/>
    <w:rsid w:val="00AD55E4"/>
    <w:rsid w:val="00AE3344"/>
    <w:rsid w:val="00AE372E"/>
    <w:rsid w:val="00AE3C7F"/>
    <w:rsid w:val="00AE5184"/>
    <w:rsid w:val="00AE55DD"/>
    <w:rsid w:val="00AF5CB1"/>
    <w:rsid w:val="00B00ACE"/>
    <w:rsid w:val="00B03056"/>
    <w:rsid w:val="00B03A1A"/>
    <w:rsid w:val="00B04239"/>
    <w:rsid w:val="00B04F88"/>
    <w:rsid w:val="00B056A2"/>
    <w:rsid w:val="00B103B6"/>
    <w:rsid w:val="00B12401"/>
    <w:rsid w:val="00B2120A"/>
    <w:rsid w:val="00B21889"/>
    <w:rsid w:val="00B220D6"/>
    <w:rsid w:val="00B2525A"/>
    <w:rsid w:val="00B3294F"/>
    <w:rsid w:val="00B33768"/>
    <w:rsid w:val="00B3534C"/>
    <w:rsid w:val="00B37349"/>
    <w:rsid w:val="00B41A15"/>
    <w:rsid w:val="00B41BE0"/>
    <w:rsid w:val="00B43104"/>
    <w:rsid w:val="00B43B24"/>
    <w:rsid w:val="00B521F9"/>
    <w:rsid w:val="00B6669A"/>
    <w:rsid w:val="00B672D4"/>
    <w:rsid w:val="00B71FC0"/>
    <w:rsid w:val="00B777C9"/>
    <w:rsid w:val="00B818F4"/>
    <w:rsid w:val="00B82F4B"/>
    <w:rsid w:val="00B84F45"/>
    <w:rsid w:val="00B957E6"/>
    <w:rsid w:val="00BA44C1"/>
    <w:rsid w:val="00BA7A23"/>
    <w:rsid w:val="00BB4ED6"/>
    <w:rsid w:val="00BB6213"/>
    <w:rsid w:val="00BC4279"/>
    <w:rsid w:val="00BC481D"/>
    <w:rsid w:val="00BD0538"/>
    <w:rsid w:val="00BD14F4"/>
    <w:rsid w:val="00BD2DCA"/>
    <w:rsid w:val="00BD526E"/>
    <w:rsid w:val="00BE3332"/>
    <w:rsid w:val="00BF0295"/>
    <w:rsid w:val="00BF1BBF"/>
    <w:rsid w:val="00BF1F16"/>
    <w:rsid w:val="00BF4D28"/>
    <w:rsid w:val="00BF58DC"/>
    <w:rsid w:val="00BF5B51"/>
    <w:rsid w:val="00BF6B83"/>
    <w:rsid w:val="00C02A3C"/>
    <w:rsid w:val="00C05953"/>
    <w:rsid w:val="00C06D65"/>
    <w:rsid w:val="00C106D1"/>
    <w:rsid w:val="00C12566"/>
    <w:rsid w:val="00C149DF"/>
    <w:rsid w:val="00C15F54"/>
    <w:rsid w:val="00C16E0B"/>
    <w:rsid w:val="00C27769"/>
    <w:rsid w:val="00C30FE7"/>
    <w:rsid w:val="00C34676"/>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1C7F"/>
    <w:rsid w:val="00C85D90"/>
    <w:rsid w:val="00C923D0"/>
    <w:rsid w:val="00C94A1F"/>
    <w:rsid w:val="00C96A92"/>
    <w:rsid w:val="00CA0143"/>
    <w:rsid w:val="00CA6BEA"/>
    <w:rsid w:val="00CA7122"/>
    <w:rsid w:val="00CB0C31"/>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4C14"/>
    <w:rsid w:val="00D43F24"/>
    <w:rsid w:val="00D466D0"/>
    <w:rsid w:val="00D476EF"/>
    <w:rsid w:val="00D516B4"/>
    <w:rsid w:val="00D56386"/>
    <w:rsid w:val="00D61C27"/>
    <w:rsid w:val="00D64C25"/>
    <w:rsid w:val="00D65316"/>
    <w:rsid w:val="00D65BB1"/>
    <w:rsid w:val="00D66B43"/>
    <w:rsid w:val="00D715FE"/>
    <w:rsid w:val="00D72F0D"/>
    <w:rsid w:val="00D7364F"/>
    <w:rsid w:val="00D80308"/>
    <w:rsid w:val="00D80F47"/>
    <w:rsid w:val="00D8121A"/>
    <w:rsid w:val="00D81C0F"/>
    <w:rsid w:val="00D84918"/>
    <w:rsid w:val="00D869EE"/>
    <w:rsid w:val="00D87F19"/>
    <w:rsid w:val="00D965C0"/>
    <w:rsid w:val="00DA23C4"/>
    <w:rsid w:val="00DA2E1F"/>
    <w:rsid w:val="00DA4A9D"/>
    <w:rsid w:val="00DA4BB2"/>
    <w:rsid w:val="00DA619D"/>
    <w:rsid w:val="00DB2ED8"/>
    <w:rsid w:val="00DB4E94"/>
    <w:rsid w:val="00DC0586"/>
    <w:rsid w:val="00DC0659"/>
    <w:rsid w:val="00DC109B"/>
    <w:rsid w:val="00DD2CED"/>
    <w:rsid w:val="00DE0755"/>
    <w:rsid w:val="00DF2D14"/>
    <w:rsid w:val="00DF6184"/>
    <w:rsid w:val="00E0222E"/>
    <w:rsid w:val="00E02FB7"/>
    <w:rsid w:val="00E06E59"/>
    <w:rsid w:val="00E1145A"/>
    <w:rsid w:val="00E12017"/>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A7A57"/>
    <w:rsid w:val="00EB20C8"/>
    <w:rsid w:val="00EB30C9"/>
    <w:rsid w:val="00EB6605"/>
    <w:rsid w:val="00EB6AAA"/>
    <w:rsid w:val="00EC1533"/>
    <w:rsid w:val="00EC23F1"/>
    <w:rsid w:val="00EC29B9"/>
    <w:rsid w:val="00EC6671"/>
    <w:rsid w:val="00ED0EDB"/>
    <w:rsid w:val="00ED1058"/>
    <w:rsid w:val="00ED4FF9"/>
    <w:rsid w:val="00ED7E02"/>
    <w:rsid w:val="00EE1BBF"/>
    <w:rsid w:val="00EE43DA"/>
    <w:rsid w:val="00EE4E91"/>
    <w:rsid w:val="00EE5BA6"/>
    <w:rsid w:val="00EE6632"/>
    <w:rsid w:val="00EF0F04"/>
    <w:rsid w:val="00F01A05"/>
    <w:rsid w:val="00F07807"/>
    <w:rsid w:val="00F11242"/>
    <w:rsid w:val="00F115EE"/>
    <w:rsid w:val="00F1473C"/>
    <w:rsid w:val="00F2175D"/>
    <w:rsid w:val="00F23CA2"/>
    <w:rsid w:val="00F2719E"/>
    <w:rsid w:val="00F27389"/>
    <w:rsid w:val="00F301B2"/>
    <w:rsid w:val="00F338F9"/>
    <w:rsid w:val="00F42440"/>
    <w:rsid w:val="00F5038C"/>
    <w:rsid w:val="00F528A7"/>
    <w:rsid w:val="00F54C2D"/>
    <w:rsid w:val="00F54DF8"/>
    <w:rsid w:val="00F62611"/>
    <w:rsid w:val="00F628D3"/>
    <w:rsid w:val="00F6552B"/>
    <w:rsid w:val="00F65845"/>
    <w:rsid w:val="00F70CA7"/>
    <w:rsid w:val="00F80E5A"/>
    <w:rsid w:val="00F82184"/>
    <w:rsid w:val="00F8797E"/>
    <w:rsid w:val="00FA26AB"/>
    <w:rsid w:val="00FB15A4"/>
    <w:rsid w:val="00FB4A6A"/>
    <w:rsid w:val="00FC26EA"/>
    <w:rsid w:val="00FD1DE7"/>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8F7FF4"/>
    <w:pPr>
      <w:ind w:left="720"/>
      <w:contextualSpacing/>
    </w:pPr>
  </w:style>
  <w:style w:type="character" w:styleId="UnresolvedMention">
    <w:name w:val="Unresolved Mention"/>
    <w:basedOn w:val="DefaultParagraphFont"/>
    <w:uiPriority w:val="99"/>
    <w:semiHidden/>
    <w:unhideWhenUsed/>
    <w:rsid w:val="00657926"/>
    <w:rPr>
      <w:color w:val="605E5C"/>
      <w:shd w:val="clear" w:color="auto" w:fill="E1DFDD"/>
    </w:rPr>
  </w:style>
  <w:style w:type="paragraph" w:customStyle="1" w:styleId="pf0">
    <w:name w:val="pf0"/>
    <w:basedOn w:val="Normal"/>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Normal"/>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CommentReference">
    <w:name w:val="annotation reference"/>
    <w:basedOn w:val="DefaultParagraphFont"/>
    <w:uiPriority w:val="99"/>
    <w:semiHidden/>
    <w:unhideWhenUsed/>
    <w:rsid w:val="00C6009E"/>
    <w:rPr>
      <w:sz w:val="16"/>
      <w:szCs w:val="16"/>
    </w:rPr>
  </w:style>
  <w:style w:type="paragraph" w:styleId="CommentText">
    <w:name w:val="annotation text"/>
    <w:basedOn w:val="Normal"/>
    <w:link w:val="CommentTextChar"/>
    <w:uiPriority w:val="99"/>
    <w:semiHidden/>
    <w:unhideWhenUsed/>
    <w:rsid w:val="00C6009E"/>
    <w:rPr>
      <w:sz w:val="20"/>
      <w:szCs w:val="20"/>
    </w:rPr>
  </w:style>
  <w:style w:type="character" w:customStyle="1" w:styleId="CommentTextChar">
    <w:name w:val="Comment Text Char"/>
    <w:basedOn w:val="DefaultParagraphFont"/>
    <w:link w:val="CommentText"/>
    <w:uiPriority w:val="99"/>
    <w:semiHidden/>
    <w:rsid w:val="00C6009E"/>
  </w:style>
  <w:style w:type="paragraph" w:styleId="CommentSubject">
    <w:name w:val="annotation subject"/>
    <w:basedOn w:val="CommentText"/>
    <w:next w:val="CommentText"/>
    <w:link w:val="CommentSubjectChar"/>
    <w:uiPriority w:val="99"/>
    <w:semiHidden/>
    <w:unhideWhenUsed/>
    <w:rsid w:val="00C6009E"/>
    <w:rPr>
      <w:b/>
      <w:bCs/>
    </w:rPr>
  </w:style>
  <w:style w:type="character" w:customStyle="1" w:styleId="CommentSubjectChar">
    <w:name w:val="Comment Subject Char"/>
    <w:basedOn w:val="CommentTextChar"/>
    <w:link w:val="CommentSubject"/>
    <w:uiPriority w:val="99"/>
    <w:semiHidden/>
    <w:rsid w:val="00C6009E"/>
    <w:rPr>
      <w:b/>
      <w:bCs/>
    </w:rPr>
  </w:style>
  <w:style w:type="paragraph" w:customStyle="1" w:styleId="Tvarkostekstas">
    <w:name w:val="Tvarkos tekstas"/>
    <w:basedOn w:val="Normal"/>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NoList"/>
    <w:rsid w:val="00730B19"/>
    <w:pPr>
      <w:numPr>
        <w:numId w:val="14"/>
      </w:numPr>
    </w:pPr>
  </w:style>
  <w:style w:type="numbering" w:customStyle="1" w:styleId="LFO21">
    <w:name w:val="LFO21"/>
    <w:basedOn w:val="NoList"/>
    <w:rsid w:val="00403D03"/>
  </w:style>
  <w:style w:type="numbering" w:customStyle="1" w:styleId="LFO22">
    <w:name w:val="LFO22"/>
    <w:basedOn w:val="NoList"/>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B67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2320</Words>
  <Characters>13227</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9</cp:revision>
  <cp:lastPrinted>2024-02-08T09:05:00Z</cp:lastPrinted>
  <dcterms:created xsi:type="dcterms:W3CDTF">2025-04-02T07:13:00Z</dcterms:created>
  <dcterms:modified xsi:type="dcterms:W3CDTF">2025-09-16T13:16:00Z</dcterms:modified>
  <cp:category/>
</cp:coreProperties>
</file>