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4690D3CC"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616908" w:rsidRPr="006970BA">
        <w:rPr>
          <w:rFonts w:cstheme="minorHAnsi"/>
          <w:b/>
          <w:bCs/>
          <w:sz w:val="24"/>
          <w:szCs w:val="24"/>
        </w:rPr>
        <w:t>ESAMŲ PĖSČIŲJŲ TAKŲ J. BASANAVIČIAUS G., UTENOJE, REKONSTRAVIMO Į PĖSČIŲJŲ IR DVIRAČIŲ TAKUS TECHNINIO DARBO PROJEKTO PARENGIMAS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420C7043" w14:textId="18DB345F" w:rsidR="007373ED" w:rsidRPr="001878FD" w:rsidRDefault="001878FD"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1878FD">
              <w:rPr>
                <w:rFonts w:cstheme="minorHAnsi"/>
                <w:sz w:val="24"/>
                <w:szCs w:val="24"/>
              </w:rPr>
              <w:t>Esamų pėsčiųjų takų J. Basanavičiaus g., Utenoje, rekonstravimo į pėsčiųjų ir dviračių takus techninio darbo projekto parengimas</w:t>
            </w:r>
            <w:r>
              <w:rPr>
                <w:rFonts w:cstheme="minorHAnsi"/>
                <w:sz w:val="24"/>
                <w:szCs w:val="24"/>
              </w:rPr>
              <w:t xml:space="preserve"> ir </w:t>
            </w:r>
            <w:proofErr w:type="spellStart"/>
            <w:r w:rsidRPr="00913FBE">
              <w:rPr>
                <w:color w:val="000000"/>
                <w:sz w:val="24"/>
                <w:szCs w:val="24"/>
              </w:rPr>
              <w:t>ir</w:t>
            </w:r>
            <w:proofErr w:type="spellEnd"/>
            <w:r w:rsidRPr="00913FBE">
              <w:rPr>
                <w:color w:val="000000"/>
                <w:sz w:val="24"/>
                <w:szCs w:val="24"/>
              </w:rPr>
              <w:t xml:space="preserve"> projekto vykdymo priežiūr</w:t>
            </w:r>
            <w:r>
              <w:rPr>
                <w:color w:val="000000"/>
                <w:sz w:val="24"/>
                <w:szCs w:val="24"/>
              </w:rPr>
              <w:t>a</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w:t>
      </w:r>
      <w:r w:rsidRPr="00082C06">
        <w:rPr>
          <w:rFonts w:cstheme="minorHAnsi"/>
          <w:i/>
          <w:sz w:val="24"/>
          <w:szCs w:val="24"/>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vAlign w:val="center"/>
          </w:tcPr>
          <w:p w14:paraId="050239DE" w14:textId="3C8E1C81" w:rsidR="00A164A6" w:rsidRPr="00082C06" w:rsidRDefault="00082C06" w:rsidP="00651377">
            <w:pPr>
              <w:rPr>
                <w:rFonts w:eastAsia="Calibri" w:cstheme="minorHAnsi"/>
                <w:bCs/>
                <w:sz w:val="24"/>
                <w:szCs w:val="24"/>
              </w:rPr>
            </w:pPr>
            <w:r>
              <w:rPr>
                <w:rFonts w:cstheme="minorHAnsi"/>
                <w:sz w:val="24"/>
                <w:szCs w:val="24"/>
              </w:rPr>
              <w:t xml:space="preserve">Pateikiama </w:t>
            </w:r>
            <w:r w:rsidR="001878FD">
              <w:rPr>
                <w:rFonts w:cstheme="minorHAnsi"/>
                <w:sz w:val="24"/>
                <w:szCs w:val="24"/>
              </w:rPr>
              <w:t>p</w:t>
            </w:r>
            <w:r w:rsidR="001878FD" w:rsidRPr="00D47C70">
              <w:rPr>
                <w:rFonts w:cstheme="minorHAnsi"/>
                <w:sz w:val="24"/>
                <w:szCs w:val="24"/>
              </w:rPr>
              <w:t xml:space="preserve">arengtų projektų, kurių parengimui vadovavo ir kurių kiekvieno vertė ne mažesnė kaip </w:t>
            </w:r>
            <w:r w:rsidR="001878FD">
              <w:rPr>
                <w:rFonts w:ascii="Calibri" w:hAnsi="Calibri" w:cs="Calibri"/>
                <w:sz w:val="24"/>
                <w:szCs w:val="24"/>
              </w:rPr>
              <w:t>55</w:t>
            </w:r>
            <w:r w:rsidR="001878FD" w:rsidRPr="00A861DB">
              <w:rPr>
                <w:rFonts w:ascii="Calibri" w:hAnsi="Calibri" w:cs="Calibri"/>
                <w:sz w:val="24"/>
                <w:szCs w:val="24"/>
              </w:rPr>
              <w:t xml:space="preserve"> </w:t>
            </w:r>
            <w:r w:rsidR="001878FD">
              <w:rPr>
                <w:rFonts w:ascii="Calibri" w:hAnsi="Calibri" w:cs="Calibri"/>
                <w:sz w:val="24"/>
                <w:szCs w:val="24"/>
              </w:rPr>
              <w:t>0</w:t>
            </w:r>
            <w:r w:rsidR="001878FD" w:rsidRPr="00A861DB">
              <w:rPr>
                <w:rFonts w:ascii="Calibri" w:hAnsi="Calibri" w:cs="Calibri"/>
                <w:sz w:val="24"/>
                <w:szCs w:val="24"/>
              </w:rPr>
              <w:t>00</w:t>
            </w:r>
            <w:r w:rsidR="001878FD" w:rsidRPr="00D47C70">
              <w:rPr>
                <w:rFonts w:cstheme="minorHAnsi"/>
                <w:sz w:val="24"/>
                <w:szCs w:val="24"/>
              </w:rPr>
              <w:t>,00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vAlign w:val="center"/>
          </w:tcPr>
          <w:p w14:paraId="4172A841" w14:textId="679C4E7F"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2133AC82"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Pr="00FB48FE">
        <w:rPr>
          <w:rFonts w:cstheme="minorHAnsi"/>
          <w:sz w:val="24"/>
          <w:szCs w:val="24"/>
        </w:rPr>
        <w:t>1 priedo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lastRenderedPageBreak/>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7B59" w14:textId="77777777" w:rsidR="009C40EA" w:rsidRDefault="009C40EA" w:rsidP="00D05666">
      <w:r>
        <w:separator/>
      </w:r>
    </w:p>
  </w:endnote>
  <w:endnote w:type="continuationSeparator" w:id="0">
    <w:p w14:paraId="040192F1" w14:textId="77777777" w:rsidR="009C40EA" w:rsidRDefault="009C40EA" w:rsidP="00D05666">
      <w:r>
        <w:continuationSeparator/>
      </w:r>
    </w:p>
  </w:endnote>
  <w:endnote w:type="continuationNotice" w:id="1">
    <w:p w14:paraId="75993B70" w14:textId="77777777" w:rsidR="009C40EA" w:rsidRDefault="009C4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F792" w14:textId="77777777" w:rsidR="009C40EA" w:rsidRDefault="009C40EA" w:rsidP="00D05666">
      <w:r>
        <w:separator/>
      </w:r>
    </w:p>
  </w:footnote>
  <w:footnote w:type="continuationSeparator" w:id="0">
    <w:p w14:paraId="33ECD9AC" w14:textId="77777777" w:rsidR="009C40EA" w:rsidRDefault="009C40EA" w:rsidP="00D05666">
      <w:r>
        <w:continuationSeparator/>
      </w:r>
    </w:p>
  </w:footnote>
  <w:footnote w:type="continuationNotice" w:id="1">
    <w:p w14:paraId="3A1E5912" w14:textId="77777777" w:rsidR="009C40EA" w:rsidRDefault="009C40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0D2"/>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24BE"/>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6AC"/>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4C"/>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3E21"/>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C30"/>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07CCF"/>
    <w:rsid w:val="006102F3"/>
    <w:rsid w:val="0061093E"/>
    <w:rsid w:val="00610AE7"/>
    <w:rsid w:val="006119DC"/>
    <w:rsid w:val="00612434"/>
    <w:rsid w:val="00612CE6"/>
    <w:rsid w:val="00612EDD"/>
    <w:rsid w:val="00612FBA"/>
    <w:rsid w:val="00614A7B"/>
    <w:rsid w:val="006158E4"/>
    <w:rsid w:val="006158FB"/>
    <w:rsid w:val="00615C08"/>
    <w:rsid w:val="006169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0C2"/>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3AFC"/>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0EA"/>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4038"/>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5620</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6</cp:revision>
  <cp:lastPrinted>2023-07-18T06:55:00Z</cp:lastPrinted>
  <dcterms:created xsi:type="dcterms:W3CDTF">2025-05-07T07:29:00Z</dcterms:created>
  <dcterms:modified xsi:type="dcterms:W3CDTF">2025-09-16T10:25:00Z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