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DA66D" w14:textId="319BD444" w:rsidR="00B66E68" w:rsidRDefault="002663BE" w:rsidP="00B66E68">
      <w:pPr>
        <w:pStyle w:val="ListParagraph"/>
        <w:ind w:left="426" w:firstLine="6520"/>
        <w:jc w:val="both"/>
        <w:rPr>
          <w:rFonts w:ascii="Times New Roman" w:hAnsi="Times New Roman" w:cs="Times New Roman"/>
          <w:sz w:val="24"/>
          <w:lang w:val="lt-LT"/>
        </w:rPr>
      </w:pPr>
      <w:r>
        <w:rPr>
          <w:rFonts w:ascii="Times New Roman" w:hAnsi="Times New Roman" w:cs="Times New Roman"/>
          <w:sz w:val="24"/>
          <w:lang w:val="lt-LT"/>
        </w:rPr>
        <w:t>Apklausos sąlygų 2 Priedas</w:t>
      </w:r>
    </w:p>
    <w:p w14:paraId="422AFF1B" w14:textId="068996D0" w:rsidR="002663BE" w:rsidRDefault="002663BE" w:rsidP="00B66E68">
      <w:pPr>
        <w:pStyle w:val="ListParagraph"/>
        <w:ind w:left="426" w:firstLine="6520"/>
        <w:jc w:val="both"/>
        <w:rPr>
          <w:rFonts w:ascii="Times New Roman" w:hAnsi="Times New Roman" w:cs="Times New Roman"/>
          <w:sz w:val="24"/>
          <w:lang w:val="lt-LT"/>
        </w:rPr>
      </w:pPr>
    </w:p>
    <w:p w14:paraId="676B6188" w14:textId="77777777" w:rsidR="002663BE" w:rsidRPr="00366FE9" w:rsidRDefault="002663BE" w:rsidP="00B66E68">
      <w:pPr>
        <w:pStyle w:val="ListParagraph"/>
        <w:ind w:left="426" w:firstLine="6520"/>
        <w:jc w:val="both"/>
        <w:rPr>
          <w:rFonts w:ascii="Times New Roman" w:hAnsi="Times New Roman" w:cs="Times New Roman"/>
          <w:sz w:val="24"/>
          <w:lang w:val="lt-LT"/>
        </w:rPr>
      </w:pPr>
    </w:p>
    <w:p w14:paraId="721CB89E" w14:textId="77777777" w:rsidR="009E3F61" w:rsidRPr="00B17D68" w:rsidRDefault="009E3F61" w:rsidP="009E3F61">
      <w:pPr>
        <w:pStyle w:val="ListParagraph"/>
        <w:ind w:left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  <w:r w:rsidRPr="00B17D68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>KLAIPĖDOS JŪROS STEBĖJIMO POSTO</w:t>
      </w:r>
    </w:p>
    <w:p w14:paraId="52E3896C" w14:textId="77777777" w:rsidR="009E3F61" w:rsidRPr="00B17D68" w:rsidRDefault="009E3F61" w:rsidP="009E3F61">
      <w:pPr>
        <w:pStyle w:val="ListParagraph"/>
        <w:ind w:left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  <w:r w:rsidRPr="00B17D68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 xml:space="preserve">ELEKTROS GENERATORIAUS PAJUNGIMO Į ELEKTROS TINKLĄ IR AUTOMATINIO REZERVO ĮVEDIMO SISTEMOS ĮDIEGIMO PASLAUGOS </w:t>
      </w:r>
    </w:p>
    <w:p w14:paraId="7E1BD02B" w14:textId="77777777" w:rsidR="009E3F61" w:rsidRPr="00B17D68" w:rsidRDefault="009E3F61" w:rsidP="009E3F61">
      <w:pPr>
        <w:pStyle w:val="ListParagraph"/>
        <w:ind w:left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  <w:r w:rsidRPr="00B17D68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>TECHNINĖ SPECIFIKACIJA</w:t>
      </w:r>
    </w:p>
    <w:p w14:paraId="0C0DFCF5" w14:textId="77777777" w:rsidR="009E3F61" w:rsidRPr="00366FE9" w:rsidRDefault="009E3F61" w:rsidP="009E3F61">
      <w:pPr>
        <w:jc w:val="center"/>
        <w:rPr>
          <w:rFonts w:ascii="Times New Roman" w:hAnsi="Times New Roman" w:cs="Times New Roman"/>
          <w:sz w:val="24"/>
          <w:lang w:val="lt-LT"/>
        </w:rPr>
      </w:pPr>
    </w:p>
    <w:p w14:paraId="0FADF5E2" w14:textId="77777777" w:rsidR="009E3F61" w:rsidRPr="00366FE9" w:rsidRDefault="009E3F61" w:rsidP="009E3F61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lang w:val="lt-LT"/>
        </w:rPr>
      </w:pPr>
      <w:r w:rsidRPr="00366FE9">
        <w:rPr>
          <w:rFonts w:ascii="Times New Roman" w:hAnsi="Times New Roman" w:cs="Times New Roman"/>
          <w:sz w:val="24"/>
          <w:lang w:val="lt-LT"/>
        </w:rPr>
        <w:t>Objekto adresas: Vėtros g. 3a, Klaipėda, Klaipėdos JSP (toliau tekste – objektas).</w:t>
      </w:r>
    </w:p>
    <w:p w14:paraId="1FBE9F64" w14:textId="77777777" w:rsidR="009E3F61" w:rsidRPr="00366FE9" w:rsidRDefault="009E3F61" w:rsidP="009E3F61">
      <w:pPr>
        <w:widowControl w:val="0"/>
        <w:suppressAutoHyphens/>
        <w:spacing w:after="0" w:line="276" w:lineRule="auto"/>
        <w:jc w:val="both"/>
        <w:rPr>
          <w:bCs/>
          <w:caps/>
          <w:lang w:val="lt-LT"/>
        </w:rPr>
      </w:pPr>
    </w:p>
    <w:tbl>
      <w:tblPr>
        <w:tblStyle w:val="TableGrid"/>
        <w:tblW w:w="10295" w:type="dxa"/>
        <w:tblInd w:w="-431" w:type="dxa"/>
        <w:tblLook w:val="04A0" w:firstRow="1" w:lastRow="0" w:firstColumn="1" w:lastColumn="0" w:noHBand="0" w:noVBand="1"/>
      </w:tblPr>
      <w:tblGrid>
        <w:gridCol w:w="568"/>
        <w:gridCol w:w="8577"/>
        <w:gridCol w:w="1150"/>
      </w:tblGrid>
      <w:tr w:rsidR="009E3F61" w:rsidRPr="00366FE9" w14:paraId="21D361A0" w14:textId="77777777" w:rsidTr="009E3F61">
        <w:tc>
          <w:tcPr>
            <w:tcW w:w="568" w:type="dxa"/>
            <w:vAlign w:val="center"/>
          </w:tcPr>
          <w:p w14:paraId="6EF59352" w14:textId="77777777" w:rsidR="009E3F61" w:rsidRPr="00366FE9" w:rsidRDefault="009E3F61" w:rsidP="00E81CC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366FE9">
              <w:rPr>
                <w:rFonts w:ascii="Times New Roman" w:hAnsi="Times New Roman" w:cs="Times New Roman"/>
                <w:sz w:val="24"/>
                <w:lang w:val="lt-LT"/>
              </w:rPr>
              <w:t>Eil. Nr.</w:t>
            </w:r>
          </w:p>
        </w:tc>
        <w:tc>
          <w:tcPr>
            <w:tcW w:w="8577" w:type="dxa"/>
            <w:shd w:val="clear" w:color="auto" w:fill="auto"/>
            <w:vAlign w:val="center"/>
          </w:tcPr>
          <w:p w14:paraId="5E21A261" w14:textId="77777777" w:rsidR="009E3F61" w:rsidRPr="00366FE9" w:rsidRDefault="009E3F61" w:rsidP="00E81CC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366FE9">
              <w:rPr>
                <w:rFonts w:ascii="Times New Roman" w:hAnsi="Times New Roman" w:cs="Times New Roman"/>
                <w:sz w:val="24"/>
                <w:lang w:val="lt-LT"/>
              </w:rPr>
              <w:t>Reikalavimai</w:t>
            </w:r>
          </w:p>
        </w:tc>
        <w:tc>
          <w:tcPr>
            <w:tcW w:w="1150" w:type="dxa"/>
            <w:vAlign w:val="center"/>
          </w:tcPr>
          <w:p w14:paraId="4B5F4B2A" w14:textId="77777777" w:rsidR="009E3F61" w:rsidRPr="00366FE9" w:rsidRDefault="009E3F61" w:rsidP="00E81CC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366FE9">
              <w:rPr>
                <w:rFonts w:ascii="Times New Roman" w:hAnsi="Times New Roman" w:cs="Times New Roman"/>
                <w:sz w:val="24"/>
                <w:lang w:val="lt-LT"/>
              </w:rPr>
              <w:t>Pastabos</w:t>
            </w:r>
          </w:p>
        </w:tc>
      </w:tr>
      <w:tr w:rsidR="009E3F61" w:rsidRPr="00366FE9" w14:paraId="78615C3C" w14:textId="77777777" w:rsidTr="009E3F61">
        <w:tc>
          <w:tcPr>
            <w:tcW w:w="568" w:type="dxa"/>
            <w:vAlign w:val="center"/>
          </w:tcPr>
          <w:p w14:paraId="45550906" w14:textId="77777777" w:rsidR="009E3F61" w:rsidRPr="00A45D9B" w:rsidRDefault="009E3F61" w:rsidP="00E81CCF">
            <w:pPr>
              <w:pStyle w:val="ListParagraph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577" w:type="dxa"/>
            <w:shd w:val="clear" w:color="auto" w:fill="auto"/>
            <w:vAlign w:val="center"/>
          </w:tcPr>
          <w:p w14:paraId="6A47F31C" w14:textId="77777777" w:rsidR="009E3F61" w:rsidRPr="00267FEF" w:rsidRDefault="009E3F61" w:rsidP="00E81C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7F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Paslaugos teikėjas, prieš teikdamas pasiūlymą, turi įvertinti objekto infrastruktūros ypatumus dėl teritorijoje esamų įvairios paskirties komunikacijų, statinių ir kitų darinių.</w:t>
            </w:r>
          </w:p>
          <w:p w14:paraId="65466165" w14:textId="77777777" w:rsidR="009E3F61" w:rsidRPr="0023399A" w:rsidRDefault="009E3F61" w:rsidP="00E81C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7F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Siekiant įgyvendinti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šios techninės specifikacijos reikalavimus,</w:t>
            </w:r>
            <w:r w:rsidRPr="00267F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paslaugos teikėjas privalo vadovautis elektros įrenginių įrengimo taisyklėmis (toliau EĮĮT)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150" w:type="dxa"/>
            <w:vAlign w:val="center"/>
          </w:tcPr>
          <w:p w14:paraId="581352EE" w14:textId="77777777" w:rsidR="009E3F61" w:rsidRPr="0023399A" w:rsidRDefault="009E3F61" w:rsidP="00E81CC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E3F61" w:rsidRPr="00366FE9" w14:paraId="0742B133" w14:textId="77777777" w:rsidTr="009E3F61">
        <w:tc>
          <w:tcPr>
            <w:tcW w:w="568" w:type="dxa"/>
            <w:vAlign w:val="center"/>
          </w:tcPr>
          <w:p w14:paraId="4A1C5997" w14:textId="77777777" w:rsidR="009E3F61" w:rsidRPr="00A45D9B" w:rsidRDefault="009E3F61" w:rsidP="00E81CCF">
            <w:pPr>
              <w:pStyle w:val="ListParagraph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577" w:type="dxa"/>
            <w:shd w:val="clear" w:color="auto" w:fill="auto"/>
            <w:vAlign w:val="center"/>
          </w:tcPr>
          <w:p w14:paraId="3CA5CFFF" w14:textId="77777777" w:rsidR="009E3F61" w:rsidRPr="00267FEF" w:rsidRDefault="009E3F61" w:rsidP="00E81C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Šios techninės specifikacijos reikalavimų įgyvendinimui reikalingas medžiagas ar įrangą pateikia paslaugos teikėjas, savo sąskaita.</w:t>
            </w:r>
          </w:p>
        </w:tc>
        <w:tc>
          <w:tcPr>
            <w:tcW w:w="1150" w:type="dxa"/>
            <w:vAlign w:val="center"/>
          </w:tcPr>
          <w:p w14:paraId="402930D2" w14:textId="77777777" w:rsidR="009E3F61" w:rsidRPr="0023399A" w:rsidRDefault="009E3F61" w:rsidP="00E81CC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E3F61" w:rsidRPr="00366FE9" w14:paraId="7C91F165" w14:textId="77777777" w:rsidTr="009E3F61">
        <w:tc>
          <w:tcPr>
            <w:tcW w:w="568" w:type="dxa"/>
            <w:vAlign w:val="center"/>
          </w:tcPr>
          <w:p w14:paraId="24949AE4" w14:textId="77777777" w:rsidR="009E3F61" w:rsidRPr="00A45D9B" w:rsidRDefault="009E3F61" w:rsidP="00E81CCF">
            <w:pPr>
              <w:pStyle w:val="ListParagraph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577" w:type="dxa"/>
            <w:shd w:val="clear" w:color="auto" w:fill="auto"/>
            <w:vAlign w:val="center"/>
          </w:tcPr>
          <w:p w14:paraId="7406DA7E" w14:textId="77777777" w:rsidR="009E3F61" w:rsidRPr="00A60AF2" w:rsidRDefault="009E3F61" w:rsidP="00E81CC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Paslaugos teikėjas turi p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rijungti</w:t>
            </w:r>
            <w:r w:rsidRPr="00366FE9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</w:t>
            </w:r>
            <w:r w:rsidRPr="00366FE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dyzelin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  <w:r w:rsidRPr="00366FE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700kVA (560kW) elektros generatori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Pr="00366FE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366FE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GP780 A/S (toliau tekste DG)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prie objekto elektros maitinimo tinklo, naudojant</w:t>
            </w:r>
            <w:r w:rsidRPr="00366FE9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automatinio rezervo įvedimo sistemą </w:t>
            </w:r>
            <w:r w:rsidRPr="00366FE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(toliau tekste ARĮ</w:t>
            </w:r>
            <w:r w:rsidRPr="00366FE9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) su šuntavimo (angl. </w:t>
            </w:r>
            <w:proofErr w:type="spellStart"/>
            <w:r w:rsidRPr="00366FE9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By</w:t>
            </w:r>
            <w:proofErr w:type="spellEnd"/>
            <w:r w:rsidRPr="00366FE9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</w:t>
            </w:r>
            <w:proofErr w:type="spellStart"/>
            <w:r w:rsidRPr="00366FE9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pa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, toliau tekste BP) grandine. ARĮ sistema turi būti skirta pilnai DG galiai ir </w:t>
            </w:r>
            <w:r w:rsidRPr="00366FE9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užtikrinti šias funkcijas:</w:t>
            </w:r>
          </w:p>
        </w:tc>
        <w:tc>
          <w:tcPr>
            <w:tcW w:w="1150" w:type="dxa"/>
            <w:vAlign w:val="center"/>
          </w:tcPr>
          <w:p w14:paraId="45F9006B" w14:textId="77777777" w:rsidR="009E3F61" w:rsidRPr="0023399A" w:rsidRDefault="009E3F61" w:rsidP="00E81CC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E3F61" w:rsidRPr="00366FE9" w14:paraId="3717578A" w14:textId="77777777" w:rsidTr="009E3F61">
        <w:tc>
          <w:tcPr>
            <w:tcW w:w="568" w:type="dxa"/>
            <w:vAlign w:val="center"/>
          </w:tcPr>
          <w:p w14:paraId="05E69872" w14:textId="77777777" w:rsidR="009E3F61" w:rsidRPr="00A45D9B" w:rsidRDefault="009E3F61" w:rsidP="00E81CCF">
            <w:pPr>
              <w:pStyle w:val="ListParagraph"/>
              <w:numPr>
                <w:ilvl w:val="1"/>
                <w:numId w:val="4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577" w:type="dxa"/>
            <w:shd w:val="clear" w:color="auto" w:fill="auto"/>
            <w:vAlign w:val="center"/>
          </w:tcPr>
          <w:p w14:paraId="7A72FE7D" w14:textId="77777777" w:rsidR="009E3F61" w:rsidRPr="00A60AF2" w:rsidRDefault="009E3F61" w:rsidP="00E81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a</w:t>
            </w:r>
            <w:r w:rsidRPr="00A60AF2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utomatinį DG paleidimą ir pajungimą į vidaus tinklą, sutrikus ar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esant</w:t>
            </w:r>
            <w:r w:rsidRPr="00A60AF2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nepilnaverčiam elektros tiekimui iš energijos skirstymo operatoriaus (toliau tekste ESO) tinklo;</w:t>
            </w:r>
          </w:p>
        </w:tc>
        <w:tc>
          <w:tcPr>
            <w:tcW w:w="1150" w:type="dxa"/>
            <w:vAlign w:val="center"/>
          </w:tcPr>
          <w:p w14:paraId="289A00A4" w14:textId="77777777" w:rsidR="009E3F61" w:rsidRPr="0023399A" w:rsidRDefault="009E3F61" w:rsidP="00E81CC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E3F61" w:rsidRPr="00366FE9" w14:paraId="62E5084E" w14:textId="77777777" w:rsidTr="009E3F61">
        <w:tc>
          <w:tcPr>
            <w:tcW w:w="568" w:type="dxa"/>
            <w:vAlign w:val="center"/>
          </w:tcPr>
          <w:p w14:paraId="1586194F" w14:textId="77777777" w:rsidR="009E3F61" w:rsidRPr="00A45D9B" w:rsidRDefault="009E3F61" w:rsidP="00E81CCF">
            <w:pPr>
              <w:pStyle w:val="ListParagraph"/>
              <w:numPr>
                <w:ilvl w:val="1"/>
                <w:numId w:val="4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577" w:type="dxa"/>
            <w:shd w:val="clear" w:color="auto" w:fill="auto"/>
            <w:vAlign w:val="center"/>
          </w:tcPr>
          <w:p w14:paraId="5485ACD0" w14:textId="77777777" w:rsidR="009E3F61" w:rsidRDefault="009E3F61" w:rsidP="00E81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EC6C2B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automatinį maitinimo prijungimą prie ESO tinklo ir DG gesinimą, atsistačius pilnaverčiam elektros tiekimui ESO tinkle;</w:t>
            </w:r>
          </w:p>
        </w:tc>
        <w:tc>
          <w:tcPr>
            <w:tcW w:w="1150" w:type="dxa"/>
            <w:vAlign w:val="center"/>
          </w:tcPr>
          <w:p w14:paraId="27437B7C" w14:textId="77777777" w:rsidR="009E3F61" w:rsidRPr="0023399A" w:rsidRDefault="009E3F61" w:rsidP="00E81CC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E3F61" w:rsidRPr="00366FE9" w14:paraId="0D55BFC1" w14:textId="77777777" w:rsidTr="009E3F61">
        <w:tc>
          <w:tcPr>
            <w:tcW w:w="568" w:type="dxa"/>
            <w:vAlign w:val="center"/>
          </w:tcPr>
          <w:p w14:paraId="077C8463" w14:textId="77777777" w:rsidR="009E3F61" w:rsidRPr="00A45D9B" w:rsidRDefault="009E3F61" w:rsidP="00E81CCF">
            <w:pPr>
              <w:pStyle w:val="ListParagraph"/>
              <w:numPr>
                <w:ilvl w:val="1"/>
                <w:numId w:val="4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577" w:type="dxa"/>
            <w:shd w:val="clear" w:color="auto" w:fill="auto"/>
            <w:vAlign w:val="center"/>
          </w:tcPr>
          <w:p w14:paraId="4EEF7A98" w14:textId="77777777" w:rsidR="009E3F61" w:rsidRPr="00EC6C2B" w:rsidRDefault="009E3F61" w:rsidP="00E81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EC6C2B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galimybę pereiti prie rankinio, aukščiau paminėtų, funkcijų valdymo, užtikrinant apsaugą nuo klaidingos komutacijos vykdant </w:t>
            </w:r>
            <w:proofErr w:type="spellStart"/>
            <w:r w:rsidRPr="00EC6C2B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perjungimus</w:t>
            </w:r>
            <w:proofErr w:type="spellEnd"/>
            <w:r w:rsidRPr="00EC6C2B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(žmogiško faktoriaus, klaidos).</w:t>
            </w:r>
          </w:p>
        </w:tc>
        <w:tc>
          <w:tcPr>
            <w:tcW w:w="1150" w:type="dxa"/>
            <w:vAlign w:val="center"/>
          </w:tcPr>
          <w:p w14:paraId="543EEEA3" w14:textId="77777777" w:rsidR="009E3F61" w:rsidRPr="0023399A" w:rsidRDefault="009E3F61" w:rsidP="00E81CC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E3F61" w:rsidRPr="00366FE9" w14:paraId="69C29269" w14:textId="77777777" w:rsidTr="009E3F61">
        <w:tc>
          <w:tcPr>
            <w:tcW w:w="568" w:type="dxa"/>
            <w:vAlign w:val="center"/>
          </w:tcPr>
          <w:p w14:paraId="2DAA0F1A" w14:textId="77777777" w:rsidR="009E3F61" w:rsidRPr="00A45D9B" w:rsidRDefault="009E3F61" w:rsidP="00E81CCF">
            <w:pPr>
              <w:pStyle w:val="ListParagraph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577" w:type="dxa"/>
            <w:shd w:val="clear" w:color="auto" w:fill="auto"/>
            <w:vAlign w:val="center"/>
          </w:tcPr>
          <w:p w14:paraId="701236ED" w14:textId="77777777" w:rsidR="009E3F61" w:rsidRPr="00EC6C2B" w:rsidRDefault="009E3F61" w:rsidP="00E81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EC6C2B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Esant gedimui ARĮ sistemoje ir negalint jos valdyti rankiniu būdu, ARĮ BP grandinė, rankinės komutacijos būdu, turi užtikrinti šias funkcijas:</w:t>
            </w:r>
          </w:p>
        </w:tc>
        <w:tc>
          <w:tcPr>
            <w:tcW w:w="1150" w:type="dxa"/>
            <w:vAlign w:val="center"/>
          </w:tcPr>
          <w:p w14:paraId="05D2242D" w14:textId="77777777" w:rsidR="009E3F61" w:rsidRPr="0023399A" w:rsidRDefault="009E3F61" w:rsidP="00E81CC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E3F61" w:rsidRPr="00366FE9" w14:paraId="0168CAF4" w14:textId="77777777" w:rsidTr="009E3F61">
        <w:tc>
          <w:tcPr>
            <w:tcW w:w="568" w:type="dxa"/>
            <w:vAlign w:val="center"/>
          </w:tcPr>
          <w:p w14:paraId="6877AB98" w14:textId="77777777" w:rsidR="009E3F61" w:rsidRPr="00A45D9B" w:rsidRDefault="009E3F61" w:rsidP="00E81CCF">
            <w:pPr>
              <w:pStyle w:val="ListParagraph"/>
              <w:numPr>
                <w:ilvl w:val="1"/>
                <w:numId w:val="4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577" w:type="dxa"/>
            <w:shd w:val="clear" w:color="auto" w:fill="auto"/>
            <w:vAlign w:val="center"/>
          </w:tcPr>
          <w:p w14:paraId="51FEE42C" w14:textId="77777777" w:rsidR="009E3F61" w:rsidRPr="00EC6C2B" w:rsidRDefault="009E3F61" w:rsidP="00E81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EC6C2B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atjungti įtampą ir užtikrinti jos nebuvimą ARĮ sistemos grandinėje;</w:t>
            </w:r>
          </w:p>
        </w:tc>
        <w:tc>
          <w:tcPr>
            <w:tcW w:w="1150" w:type="dxa"/>
            <w:vAlign w:val="center"/>
          </w:tcPr>
          <w:p w14:paraId="3A8452C9" w14:textId="77777777" w:rsidR="009E3F61" w:rsidRPr="0023399A" w:rsidRDefault="009E3F61" w:rsidP="00E81CC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E3F61" w:rsidRPr="00366FE9" w14:paraId="24560059" w14:textId="77777777" w:rsidTr="009E3F61">
        <w:tc>
          <w:tcPr>
            <w:tcW w:w="568" w:type="dxa"/>
            <w:vAlign w:val="center"/>
          </w:tcPr>
          <w:p w14:paraId="2C3EB5A1" w14:textId="77777777" w:rsidR="009E3F61" w:rsidRPr="00A45D9B" w:rsidRDefault="009E3F61" w:rsidP="00E81CCF">
            <w:pPr>
              <w:pStyle w:val="ListParagraph"/>
              <w:numPr>
                <w:ilvl w:val="1"/>
                <w:numId w:val="4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577" w:type="dxa"/>
            <w:shd w:val="clear" w:color="auto" w:fill="auto"/>
            <w:vAlign w:val="center"/>
          </w:tcPr>
          <w:p w14:paraId="7CCAA3CC" w14:textId="77777777" w:rsidR="009E3F61" w:rsidRPr="00EC6C2B" w:rsidRDefault="009E3F61" w:rsidP="00E81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EC6C2B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užmaitinti vidaus tinklus, apeinant ARĮ sistemą, pagal situaciją, tiek iš ESO tinklo, įskaitant ir galimą DG eliminavimą iš sistemos, tiek nuo/iš DG linijos;</w:t>
            </w:r>
          </w:p>
        </w:tc>
        <w:tc>
          <w:tcPr>
            <w:tcW w:w="1150" w:type="dxa"/>
            <w:vAlign w:val="center"/>
          </w:tcPr>
          <w:p w14:paraId="04FACB4D" w14:textId="77777777" w:rsidR="009E3F61" w:rsidRPr="0023399A" w:rsidRDefault="009E3F61" w:rsidP="00E81CC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E3F61" w:rsidRPr="00366FE9" w14:paraId="4BA56CC6" w14:textId="77777777" w:rsidTr="009E3F61">
        <w:tc>
          <w:tcPr>
            <w:tcW w:w="568" w:type="dxa"/>
            <w:vAlign w:val="center"/>
          </w:tcPr>
          <w:p w14:paraId="125812BA" w14:textId="77777777" w:rsidR="009E3F61" w:rsidRPr="00A45D9B" w:rsidRDefault="009E3F61" w:rsidP="00E81CCF">
            <w:pPr>
              <w:pStyle w:val="ListParagraph"/>
              <w:numPr>
                <w:ilvl w:val="1"/>
                <w:numId w:val="4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577" w:type="dxa"/>
            <w:shd w:val="clear" w:color="auto" w:fill="auto"/>
            <w:vAlign w:val="center"/>
          </w:tcPr>
          <w:p w14:paraId="57D32C7B" w14:textId="77777777" w:rsidR="009E3F61" w:rsidRPr="00EC6C2B" w:rsidRDefault="009E3F61" w:rsidP="00E81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EC6C2B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užtikrinti apsaugą nuo klaidingos komutacijos vykdant </w:t>
            </w:r>
            <w:proofErr w:type="spellStart"/>
            <w:r w:rsidRPr="00EC6C2B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perjungimus</w:t>
            </w:r>
            <w:proofErr w:type="spellEnd"/>
            <w:r w:rsidRPr="00EC6C2B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(žmogiško faktoriaus, klaidos).</w:t>
            </w:r>
          </w:p>
        </w:tc>
        <w:tc>
          <w:tcPr>
            <w:tcW w:w="1150" w:type="dxa"/>
            <w:vAlign w:val="center"/>
          </w:tcPr>
          <w:p w14:paraId="5B5E4C64" w14:textId="77777777" w:rsidR="009E3F61" w:rsidRPr="0023399A" w:rsidRDefault="009E3F61" w:rsidP="00E81CC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E3F61" w:rsidRPr="00366FE9" w14:paraId="78F93E3C" w14:textId="77777777" w:rsidTr="009E3F61">
        <w:tc>
          <w:tcPr>
            <w:tcW w:w="568" w:type="dxa"/>
            <w:vAlign w:val="center"/>
          </w:tcPr>
          <w:p w14:paraId="244AB69B" w14:textId="77777777" w:rsidR="009E3F61" w:rsidRPr="00A45D9B" w:rsidRDefault="009E3F61" w:rsidP="00E81CCF">
            <w:pPr>
              <w:pStyle w:val="ListParagraph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577" w:type="dxa"/>
            <w:shd w:val="clear" w:color="auto" w:fill="auto"/>
            <w:vAlign w:val="center"/>
          </w:tcPr>
          <w:p w14:paraId="614C2782" w14:textId="77777777" w:rsidR="009E3F61" w:rsidRPr="00EC6C2B" w:rsidRDefault="009E3F61" w:rsidP="00E81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EC6C2B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ARĮ su BP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grandine turi būti sumontuota skyde (arba skyduose), kurie turi būti pagaminti</w:t>
            </w:r>
            <w:r w:rsidRPr="00EC6C2B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iš korozijai ir erozijai atsparios medžiagos (pvz. nerūdijantis plienas ar specialus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pakietintas plastikas ir t.t.), pritaikyti</w:t>
            </w:r>
            <w:r w:rsidRPr="00EC6C2B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eksploatuoti lauko sąlygomis, apsaugos klasė ne žemesnė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kaip IP44</w:t>
            </w:r>
            <w:r w:rsidRPr="00EC6C2B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, įžemintas pagal EĮĮT reikalavimus.</w:t>
            </w:r>
          </w:p>
        </w:tc>
        <w:tc>
          <w:tcPr>
            <w:tcW w:w="1150" w:type="dxa"/>
            <w:vAlign w:val="center"/>
          </w:tcPr>
          <w:p w14:paraId="41947FD7" w14:textId="77777777" w:rsidR="009E3F61" w:rsidRPr="0023399A" w:rsidRDefault="009E3F61" w:rsidP="00E81CC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E3F61" w:rsidRPr="00366FE9" w14:paraId="5F2C293C" w14:textId="77777777" w:rsidTr="009E3F61">
        <w:trPr>
          <w:trHeight w:val="426"/>
        </w:trPr>
        <w:tc>
          <w:tcPr>
            <w:tcW w:w="568" w:type="dxa"/>
          </w:tcPr>
          <w:p w14:paraId="6390B6F7" w14:textId="77777777" w:rsidR="009E3F61" w:rsidRPr="00366FE9" w:rsidRDefault="009E3F61" w:rsidP="00E81CCF">
            <w:pPr>
              <w:pStyle w:val="ListParagraph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8577" w:type="dxa"/>
            <w:shd w:val="clear" w:color="auto" w:fill="auto"/>
            <w:vAlign w:val="center"/>
          </w:tcPr>
          <w:p w14:paraId="41C81100" w14:textId="77777777" w:rsidR="009E3F61" w:rsidRDefault="009E3F61" w:rsidP="00E81CCF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Paslaugos teikėjas turi paruošti ir perduoti pirkėjui DG prijungimo techninę dokumentaciją.</w:t>
            </w:r>
          </w:p>
        </w:tc>
        <w:tc>
          <w:tcPr>
            <w:tcW w:w="1150" w:type="dxa"/>
            <w:vAlign w:val="center"/>
          </w:tcPr>
          <w:p w14:paraId="3340FCBA" w14:textId="77777777" w:rsidR="009E3F61" w:rsidRPr="00366FE9" w:rsidRDefault="009E3F61" w:rsidP="00E81CC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9E3F61" w:rsidRPr="00366FE9" w14:paraId="20C9E5AE" w14:textId="77777777" w:rsidTr="009E3F61">
        <w:trPr>
          <w:trHeight w:val="1021"/>
        </w:trPr>
        <w:tc>
          <w:tcPr>
            <w:tcW w:w="568" w:type="dxa"/>
          </w:tcPr>
          <w:p w14:paraId="3C36CF72" w14:textId="77777777" w:rsidR="009E3F61" w:rsidRPr="00366FE9" w:rsidRDefault="009E3F61" w:rsidP="00E81CCF">
            <w:pPr>
              <w:pStyle w:val="ListParagraph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8577" w:type="dxa"/>
            <w:shd w:val="clear" w:color="auto" w:fill="auto"/>
            <w:vAlign w:val="center"/>
          </w:tcPr>
          <w:p w14:paraId="1DC10A6E" w14:textId="02BDAF10" w:rsidR="009E3F61" w:rsidRPr="00023B06" w:rsidRDefault="009E3F61" w:rsidP="009E3F61">
            <w:pPr>
              <w:spacing w:after="160" w:line="259" w:lineRule="auto"/>
              <w:ind w:hanging="31"/>
              <w:contextualSpacing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DG prijungimui skirti darbai bei paslaugos ir paslaugos teikėjo pateiktos</w:t>
            </w:r>
            <w:r w:rsidRPr="00366FE9">
              <w:rPr>
                <w:rFonts w:ascii="Times New Roman" w:hAnsi="Times New Roman" w:cs="Times New Roman"/>
                <w:sz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>medžiagos arba įr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>a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>nga turi būti išbandytos ir ištestuotos</w:t>
            </w:r>
            <w:r w:rsidRPr="00023B06">
              <w:rPr>
                <w:rFonts w:ascii="Times New Roman" w:hAnsi="Times New Roman" w:cs="Times New Roman"/>
                <w:sz w:val="24"/>
                <w:lang w:val="lt-LT"/>
              </w:rPr>
              <w:t xml:space="preserve"> pagal 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šioje specifikacijoje aprašytas funkcijas, o </w:t>
            </w:r>
            <w:r w:rsidRPr="00366FE9">
              <w:rPr>
                <w:rFonts w:ascii="Times New Roman" w:hAnsi="Times New Roman" w:cs="Times New Roman"/>
                <w:sz w:val="24"/>
                <w:lang w:val="lt-LT"/>
              </w:rPr>
              <w:t xml:space="preserve">testavimo ir tikrinimo rezultatai turi būti surašyti į testavimo protokolą (aktą) ir pateikti su 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DG prijungimo technine </w:t>
            </w:r>
            <w:r w:rsidRPr="00366FE9">
              <w:rPr>
                <w:rFonts w:ascii="Times New Roman" w:hAnsi="Times New Roman" w:cs="Times New Roman"/>
                <w:sz w:val="24"/>
                <w:lang w:val="lt-LT"/>
              </w:rPr>
              <w:t>dokumentacija.</w:t>
            </w:r>
            <w:bookmarkStart w:id="0" w:name="_GoBack"/>
            <w:bookmarkEnd w:id="0"/>
          </w:p>
        </w:tc>
        <w:tc>
          <w:tcPr>
            <w:tcW w:w="1150" w:type="dxa"/>
            <w:vAlign w:val="center"/>
          </w:tcPr>
          <w:p w14:paraId="11B9D26A" w14:textId="77777777" w:rsidR="009E3F61" w:rsidRPr="00366FE9" w:rsidRDefault="009E3F61" w:rsidP="00E81CC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9E3F61" w:rsidRPr="00366FE9" w14:paraId="005F515B" w14:textId="77777777" w:rsidTr="009E3F61">
        <w:trPr>
          <w:trHeight w:val="426"/>
        </w:trPr>
        <w:tc>
          <w:tcPr>
            <w:tcW w:w="568" w:type="dxa"/>
          </w:tcPr>
          <w:p w14:paraId="3F470105" w14:textId="77777777" w:rsidR="009E3F61" w:rsidRPr="00366FE9" w:rsidRDefault="009E3F61" w:rsidP="00E81CCF">
            <w:pPr>
              <w:pStyle w:val="ListParagraph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8577" w:type="dxa"/>
            <w:shd w:val="clear" w:color="auto" w:fill="auto"/>
            <w:vAlign w:val="center"/>
          </w:tcPr>
          <w:p w14:paraId="21FF0558" w14:textId="77777777" w:rsidR="009E3F61" w:rsidRPr="009D3143" w:rsidRDefault="009E3F61" w:rsidP="00E81CCF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Pirkėjui</w:t>
            </w:r>
            <w:r w:rsidRPr="002B77AF">
              <w:rPr>
                <w:rFonts w:ascii="Times New Roman" w:hAnsi="Times New Roman" w:cs="Times New Roman"/>
                <w:sz w:val="24"/>
                <w:lang w:val="lt-LT"/>
              </w:rPr>
              <w:t xml:space="preserve"> nusprendus, paslaugos įsigijimas gali būti vykdomas keliais etapais, numatom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>ais paslaugos teikimo sutartyje.</w:t>
            </w:r>
          </w:p>
        </w:tc>
        <w:tc>
          <w:tcPr>
            <w:tcW w:w="1150" w:type="dxa"/>
            <w:vAlign w:val="center"/>
          </w:tcPr>
          <w:p w14:paraId="4F7CC35B" w14:textId="77777777" w:rsidR="009E3F61" w:rsidRPr="00366FE9" w:rsidRDefault="009E3F61" w:rsidP="00E81CC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9E3F61" w:rsidRPr="00366FE9" w14:paraId="6974A43E" w14:textId="77777777" w:rsidTr="009E3F61">
        <w:trPr>
          <w:trHeight w:val="426"/>
        </w:trPr>
        <w:tc>
          <w:tcPr>
            <w:tcW w:w="568" w:type="dxa"/>
          </w:tcPr>
          <w:p w14:paraId="63C0B49F" w14:textId="77777777" w:rsidR="009E3F61" w:rsidRPr="00366FE9" w:rsidRDefault="009E3F61" w:rsidP="00E81CCF">
            <w:pPr>
              <w:pStyle w:val="ListParagraph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8577" w:type="dxa"/>
            <w:shd w:val="clear" w:color="auto" w:fill="auto"/>
            <w:vAlign w:val="center"/>
          </w:tcPr>
          <w:p w14:paraId="72DE2A2D" w14:textId="77777777" w:rsidR="009E3F61" w:rsidRPr="009D3143" w:rsidRDefault="009E3F61" w:rsidP="00E81CCF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2B77AF">
              <w:rPr>
                <w:rFonts w:ascii="Times New Roman" w:hAnsi="Times New Roman" w:cs="Times New Roman"/>
                <w:sz w:val="24"/>
                <w:lang w:val="lt-LT"/>
              </w:rPr>
              <w:t>Šios specifikacijos priedas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 </w:t>
            </w:r>
            <w:r w:rsidRPr="002B77AF">
              <w:rPr>
                <w:rFonts w:ascii="Times New Roman" w:hAnsi="Times New Roman" w:cs="Times New Roman"/>
                <w:sz w:val="24"/>
                <w:lang w:val="lt-LT"/>
              </w:rPr>
              <w:t xml:space="preserve">Nr. 1 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>„</w:t>
            </w:r>
            <w:r w:rsidRPr="002B77AF">
              <w:rPr>
                <w:rFonts w:ascii="Times New Roman" w:hAnsi="Times New Roman" w:cs="Times New Roman"/>
                <w:sz w:val="24"/>
                <w:lang w:val="lt-LT"/>
              </w:rPr>
              <w:t>KJSP teritorijos LĮPS, ARĮ su BP ir EGS skydų išdėstymo ir pajungimo planas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>“</w:t>
            </w:r>
            <w:r w:rsidRPr="002B77AF">
              <w:rPr>
                <w:rFonts w:ascii="Times New Roman" w:hAnsi="Times New Roman" w:cs="Times New Roman"/>
                <w:sz w:val="24"/>
                <w:lang w:val="lt-LT"/>
              </w:rPr>
              <w:t xml:space="preserve"> yra neatsiejama specifikacijos dalis.</w:t>
            </w:r>
          </w:p>
        </w:tc>
        <w:tc>
          <w:tcPr>
            <w:tcW w:w="1150" w:type="dxa"/>
            <w:vAlign w:val="center"/>
          </w:tcPr>
          <w:p w14:paraId="5004F695" w14:textId="77777777" w:rsidR="009E3F61" w:rsidRPr="00366FE9" w:rsidRDefault="009E3F61" w:rsidP="00E81CC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9E3F61" w:rsidRPr="00366FE9" w14:paraId="3B5BEFB9" w14:textId="77777777" w:rsidTr="009E3F61">
        <w:trPr>
          <w:trHeight w:val="426"/>
        </w:trPr>
        <w:tc>
          <w:tcPr>
            <w:tcW w:w="568" w:type="dxa"/>
          </w:tcPr>
          <w:p w14:paraId="3ACDD0DD" w14:textId="77777777" w:rsidR="009E3F61" w:rsidRPr="00366FE9" w:rsidRDefault="009E3F61" w:rsidP="00E81CCF">
            <w:pPr>
              <w:pStyle w:val="ListParagraph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8577" w:type="dxa"/>
            <w:shd w:val="clear" w:color="auto" w:fill="auto"/>
            <w:vAlign w:val="center"/>
          </w:tcPr>
          <w:p w14:paraId="04D28F2C" w14:textId="77777777" w:rsidR="009E3F61" w:rsidRPr="009D3143" w:rsidRDefault="009E3F61" w:rsidP="00E81CCF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2B77AF">
              <w:rPr>
                <w:rFonts w:ascii="Times New Roman" w:hAnsi="Times New Roman" w:cs="Times New Roman"/>
                <w:sz w:val="24"/>
                <w:lang w:val="lt-LT"/>
              </w:rPr>
              <w:t>Paslaugos teikėjas turi suteikti ne trumpesnį nei dvejų metų garant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>inį laikotarpį pateiktai įrangai</w:t>
            </w:r>
            <w:r w:rsidRPr="002B77AF">
              <w:rPr>
                <w:rFonts w:ascii="Times New Roman" w:hAnsi="Times New Roman" w:cs="Times New Roman"/>
                <w:sz w:val="24"/>
                <w:lang w:val="lt-LT"/>
              </w:rPr>
              <w:t xml:space="preserve">, jos sudedamosioms dalims ir atliktiems darbams pirkimo-pardavimo sutartyje </w:t>
            </w:r>
            <w:r w:rsidRPr="002B77AF">
              <w:rPr>
                <w:rFonts w:ascii="Times New Roman" w:hAnsi="Times New Roman" w:cs="Times New Roman"/>
                <w:sz w:val="24"/>
                <w:lang w:val="lt-LT"/>
              </w:rPr>
              <w:lastRenderedPageBreak/>
              <w:t>nurodytomis sąlygomis. Garantinis laikotarpis prasideda nuo priėmimo –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 </w:t>
            </w:r>
            <w:r w:rsidRPr="002B77AF">
              <w:rPr>
                <w:rFonts w:ascii="Times New Roman" w:hAnsi="Times New Roman" w:cs="Times New Roman"/>
                <w:sz w:val="24"/>
                <w:lang w:val="lt-LT"/>
              </w:rPr>
              <w:t>perdavimo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 </w:t>
            </w:r>
            <w:r w:rsidRPr="002B77AF">
              <w:rPr>
                <w:rFonts w:ascii="Times New Roman" w:hAnsi="Times New Roman" w:cs="Times New Roman"/>
                <w:sz w:val="24"/>
                <w:lang w:val="lt-LT"/>
              </w:rPr>
              <w:t>akto pasirašymo dienos.</w:t>
            </w:r>
          </w:p>
        </w:tc>
        <w:tc>
          <w:tcPr>
            <w:tcW w:w="1150" w:type="dxa"/>
            <w:vAlign w:val="center"/>
          </w:tcPr>
          <w:p w14:paraId="1CCB3925" w14:textId="77777777" w:rsidR="009E3F61" w:rsidRPr="00366FE9" w:rsidRDefault="009E3F61" w:rsidP="00E81CC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</w:tbl>
    <w:p w14:paraId="0045BFAA" w14:textId="72312182" w:rsidR="00122906" w:rsidRPr="00B47F8B" w:rsidRDefault="00122906" w:rsidP="00122906">
      <w:pPr>
        <w:rPr>
          <w:rFonts w:ascii="Times New Roman" w:hAnsi="Times New Roman" w:cs="Times New Roman"/>
          <w:sz w:val="24"/>
          <w:lang w:val="lt-LT"/>
        </w:rPr>
      </w:pPr>
    </w:p>
    <w:p w14:paraId="0ED696E8" w14:textId="77777777" w:rsidR="00122906" w:rsidRPr="00366FE9" w:rsidRDefault="00122906" w:rsidP="00122906">
      <w:pPr>
        <w:rPr>
          <w:lang w:val="lt-LT"/>
        </w:rPr>
      </w:pPr>
    </w:p>
    <w:p w14:paraId="5967F3F5" w14:textId="77777777" w:rsidR="00122906" w:rsidRPr="00366FE9" w:rsidRDefault="00122906">
      <w:pPr>
        <w:rPr>
          <w:lang w:val="lt-LT"/>
        </w:rPr>
      </w:pPr>
    </w:p>
    <w:sectPr w:rsidR="00122906" w:rsidRPr="00366FE9" w:rsidSect="002663BE">
      <w:pgSz w:w="11906" w:h="16838"/>
      <w:pgMar w:top="568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3E37"/>
    <w:multiLevelType w:val="multilevel"/>
    <w:tmpl w:val="34864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705333"/>
    <w:multiLevelType w:val="hybridMultilevel"/>
    <w:tmpl w:val="210C31F8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51FDE"/>
    <w:multiLevelType w:val="multilevel"/>
    <w:tmpl w:val="BB6E0E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884F56"/>
    <w:multiLevelType w:val="multilevel"/>
    <w:tmpl w:val="BD3C29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5BD4B9A"/>
    <w:multiLevelType w:val="multilevel"/>
    <w:tmpl w:val="319A65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7D058A1"/>
    <w:multiLevelType w:val="hybridMultilevel"/>
    <w:tmpl w:val="D4A8D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A43E4"/>
    <w:multiLevelType w:val="hybridMultilevel"/>
    <w:tmpl w:val="A0205DA4"/>
    <w:lvl w:ilvl="0" w:tplc="724C725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A078D"/>
    <w:multiLevelType w:val="hybridMultilevel"/>
    <w:tmpl w:val="DD2A2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342EE"/>
    <w:multiLevelType w:val="hybridMultilevel"/>
    <w:tmpl w:val="ECEA6630"/>
    <w:lvl w:ilvl="0" w:tplc="724C725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17A5D"/>
    <w:multiLevelType w:val="multilevel"/>
    <w:tmpl w:val="056A1D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AD05C4E"/>
    <w:multiLevelType w:val="hybridMultilevel"/>
    <w:tmpl w:val="BA840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7208D"/>
    <w:multiLevelType w:val="hybridMultilevel"/>
    <w:tmpl w:val="E8549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B1F67"/>
    <w:multiLevelType w:val="hybridMultilevel"/>
    <w:tmpl w:val="E9449608"/>
    <w:lvl w:ilvl="0" w:tplc="724C7258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76F0B"/>
    <w:multiLevelType w:val="multilevel"/>
    <w:tmpl w:val="BD3C29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0B273A2"/>
    <w:multiLevelType w:val="hybridMultilevel"/>
    <w:tmpl w:val="B854F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7046C"/>
    <w:multiLevelType w:val="hybridMultilevel"/>
    <w:tmpl w:val="B4468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A96436"/>
    <w:multiLevelType w:val="hybridMultilevel"/>
    <w:tmpl w:val="66B22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3D01CB"/>
    <w:multiLevelType w:val="multilevel"/>
    <w:tmpl w:val="CBD8A5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7552994"/>
    <w:multiLevelType w:val="hybridMultilevel"/>
    <w:tmpl w:val="B4A47976"/>
    <w:lvl w:ilvl="0" w:tplc="724C7258">
      <w:start w:val="2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AA667E0"/>
    <w:multiLevelType w:val="hybridMultilevel"/>
    <w:tmpl w:val="8848D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46468E"/>
    <w:multiLevelType w:val="hybridMultilevel"/>
    <w:tmpl w:val="377A9C26"/>
    <w:lvl w:ilvl="0" w:tplc="724C7258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F5E6A6F"/>
    <w:multiLevelType w:val="multilevel"/>
    <w:tmpl w:val="147089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FEA7075"/>
    <w:multiLevelType w:val="hybridMultilevel"/>
    <w:tmpl w:val="C94E6B46"/>
    <w:lvl w:ilvl="0" w:tplc="724C725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4F106C"/>
    <w:multiLevelType w:val="multilevel"/>
    <w:tmpl w:val="813EB28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3450265B"/>
    <w:multiLevelType w:val="hybridMultilevel"/>
    <w:tmpl w:val="7ADA9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5F3755"/>
    <w:multiLevelType w:val="hybridMultilevel"/>
    <w:tmpl w:val="D5689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B93E49"/>
    <w:multiLevelType w:val="hybridMultilevel"/>
    <w:tmpl w:val="A3407974"/>
    <w:lvl w:ilvl="0" w:tplc="724C7258">
      <w:start w:val="2"/>
      <w:numFmt w:val="bullet"/>
      <w:lvlText w:val="-"/>
      <w:lvlJc w:val="left"/>
      <w:pPr>
        <w:ind w:left="68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27" w15:restartNumberingAfterBreak="0">
    <w:nsid w:val="3A2B34FE"/>
    <w:multiLevelType w:val="hybridMultilevel"/>
    <w:tmpl w:val="4D96CDA0"/>
    <w:lvl w:ilvl="0" w:tplc="724C725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3044E1"/>
    <w:multiLevelType w:val="hybridMultilevel"/>
    <w:tmpl w:val="7D582FF2"/>
    <w:lvl w:ilvl="0" w:tplc="724C725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077E00"/>
    <w:multiLevelType w:val="multilevel"/>
    <w:tmpl w:val="CBD8A5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44FC428F"/>
    <w:multiLevelType w:val="hybridMultilevel"/>
    <w:tmpl w:val="A12EE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87708E"/>
    <w:multiLevelType w:val="hybridMultilevel"/>
    <w:tmpl w:val="DEAE5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9E146B"/>
    <w:multiLevelType w:val="hybridMultilevel"/>
    <w:tmpl w:val="0CC64BDA"/>
    <w:lvl w:ilvl="0" w:tplc="724C725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5F4A1D"/>
    <w:multiLevelType w:val="hybridMultilevel"/>
    <w:tmpl w:val="09344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6E7477"/>
    <w:multiLevelType w:val="hybridMultilevel"/>
    <w:tmpl w:val="D5060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8A782B"/>
    <w:multiLevelType w:val="multilevel"/>
    <w:tmpl w:val="B2B69B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3C24D22"/>
    <w:multiLevelType w:val="multilevel"/>
    <w:tmpl w:val="056A1D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4EC6FB9"/>
    <w:multiLevelType w:val="hybridMultilevel"/>
    <w:tmpl w:val="A66E5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390BBD"/>
    <w:multiLevelType w:val="hybridMultilevel"/>
    <w:tmpl w:val="20BE8F1A"/>
    <w:lvl w:ilvl="0" w:tplc="724C7258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65A00169"/>
    <w:multiLevelType w:val="hybridMultilevel"/>
    <w:tmpl w:val="84F8B250"/>
    <w:lvl w:ilvl="0" w:tplc="724C7258">
      <w:start w:val="2"/>
      <w:numFmt w:val="bullet"/>
      <w:lvlText w:val="-"/>
      <w:lvlJc w:val="left"/>
      <w:pPr>
        <w:ind w:left="68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40" w15:restartNumberingAfterBreak="0">
    <w:nsid w:val="66AF01F8"/>
    <w:multiLevelType w:val="multilevel"/>
    <w:tmpl w:val="056A1D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8BE7BA9"/>
    <w:multiLevelType w:val="hybridMultilevel"/>
    <w:tmpl w:val="8778759E"/>
    <w:lvl w:ilvl="0" w:tplc="724C725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BA06BD"/>
    <w:multiLevelType w:val="hybridMultilevel"/>
    <w:tmpl w:val="6338E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FA39D5"/>
    <w:multiLevelType w:val="hybridMultilevel"/>
    <w:tmpl w:val="EB388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C294F"/>
    <w:multiLevelType w:val="hybridMultilevel"/>
    <w:tmpl w:val="D4C4DE8A"/>
    <w:lvl w:ilvl="0" w:tplc="724C7258">
      <w:start w:val="2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A696AD1"/>
    <w:multiLevelType w:val="hybridMultilevel"/>
    <w:tmpl w:val="E8025234"/>
    <w:lvl w:ilvl="0" w:tplc="724C725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724C7258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A244DC"/>
    <w:multiLevelType w:val="hybridMultilevel"/>
    <w:tmpl w:val="C45A5392"/>
    <w:lvl w:ilvl="0" w:tplc="724C725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29"/>
  </w:num>
  <w:num w:numId="4">
    <w:abstractNumId w:val="21"/>
  </w:num>
  <w:num w:numId="5">
    <w:abstractNumId w:val="42"/>
  </w:num>
  <w:num w:numId="6">
    <w:abstractNumId w:val="35"/>
  </w:num>
  <w:num w:numId="7">
    <w:abstractNumId w:val="11"/>
  </w:num>
  <w:num w:numId="8">
    <w:abstractNumId w:val="23"/>
  </w:num>
  <w:num w:numId="9">
    <w:abstractNumId w:val="15"/>
  </w:num>
  <w:num w:numId="10">
    <w:abstractNumId w:val="3"/>
  </w:num>
  <w:num w:numId="11">
    <w:abstractNumId w:val="13"/>
  </w:num>
  <w:num w:numId="12">
    <w:abstractNumId w:val="9"/>
  </w:num>
  <w:num w:numId="13">
    <w:abstractNumId w:val="36"/>
  </w:num>
  <w:num w:numId="14">
    <w:abstractNumId w:val="40"/>
  </w:num>
  <w:num w:numId="15">
    <w:abstractNumId w:val="6"/>
  </w:num>
  <w:num w:numId="16">
    <w:abstractNumId w:val="38"/>
  </w:num>
  <w:num w:numId="17">
    <w:abstractNumId w:val="34"/>
  </w:num>
  <w:num w:numId="18">
    <w:abstractNumId w:val="2"/>
  </w:num>
  <w:num w:numId="19">
    <w:abstractNumId w:val="26"/>
  </w:num>
  <w:num w:numId="20">
    <w:abstractNumId w:val="41"/>
  </w:num>
  <w:num w:numId="21">
    <w:abstractNumId w:val="18"/>
  </w:num>
  <w:num w:numId="22">
    <w:abstractNumId w:val="46"/>
  </w:num>
  <w:num w:numId="23">
    <w:abstractNumId w:val="24"/>
  </w:num>
  <w:num w:numId="24">
    <w:abstractNumId w:val="10"/>
  </w:num>
  <w:num w:numId="25">
    <w:abstractNumId w:val="1"/>
  </w:num>
  <w:num w:numId="26">
    <w:abstractNumId w:val="16"/>
  </w:num>
  <w:num w:numId="27">
    <w:abstractNumId w:val="43"/>
  </w:num>
  <w:num w:numId="28">
    <w:abstractNumId w:val="5"/>
  </w:num>
  <w:num w:numId="29">
    <w:abstractNumId w:val="7"/>
  </w:num>
  <w:num w:numId="30">
    <w:abstractNumId w:val="33"/>
  </w:num>
  <w:num w:numId="31">
    <w:abstractNumId w:val="22"/>
  </w:num>
  <w:num w:numId="32">
    <w:abstractNumId w:val="20"/>
  </w:num>
  <w:num w:numId="33">
    <w:abstractNumId w:val="12"/>
  </w:num>
  <w:num w:numId="34">
    <w:abstractNumId w:val="31"/>
  </w:num>
  <w:num w:numId="35">
    <w:abstractNumId w:val="27"/>
  </w:num>
  <w:num w:numId="36">
    <w:abstractNumId w:val="8"/>
  </w:num>
  <w:num w:numId="37">
    <w:abstractNumId w:val="28"/>
  </w:num>
  <w:num w:numId="38">
    <w:abstractNumId w:val="32"/>
  </w:num>
  <w:num w:numId="39">
    <w:abstractNumId w:val="44"/>
  </w:num>
  <w:num w:numId="40">
    <w:abstractNumId w:val="14"/>
  </w:num>
  <w:num w:numId="41">
    <w:abstractNumId w:val="39"/>
  </w:num>
  <w:num w:numId="42">
    <w:abstractNumId w:val="30"/>
  </w:num>
  <w:num w:numId="43">
    <w:abstractNumId w:val="19"/>
  </w:num>
  <w:num w:numId="44">
    <w:abstractNumId w:val="0"/>
  </w:num>
  <w:num w:numId="45">
    <w:abstractNumId w:val="4"/>
  </w:num>
  <w:num w:numId="46">
    <w:abstractNumId w:val="37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66"/>
    <w:rsid w:val="00052925"/>
    <w:rsid w:val="00056DF0"/>
    <w:rsid w:val="00064F25"/>
    <w:rsid w:val="00095F50"/>
    <w:rsid w:val="000A4E2B"/>
    <w:rsid w:val="000B3E0A"/>
    <w:rsid w:val="000C20F1"/>
    <w:rsid w:val="000C4A74"/>
    <w:rsid w:val="000D05CC"/>
    <w:rsid w:val="000D7516"/>
    <w:rsid w:val="000E5197"/>
    <w:rsid w:val="000E5B20"/>
    <w:rsid w:val="000E69AC"/>
    <w:rsid w:val="000F1125"/>
    <w:rsid w:val="000F1979"/>
    <w:rsid w:val="00116A48"/>
    <w:rsid w:val="00116DA6"/>
    <w:rsid w:val="00122906"/>
    <w:rsid w:val="00147D0F"/>
    <w:rsid w:val="00147F6B"/>
    <w:rsid w:val="00151142"/>
    <w:rsid w:val="00163F96"/>
    <w:rsid w:val="00171A70"/>
    <w:rsid w:val="00172B32"/>
    <w:rsid w:val="00182F74"/>
    <w:rsid w:val="001841EB"/>
    <w:rsid w:val="001A3941"/>
    <w:rsid w:val="001B211D"/>
    <w:rsid w:val="001B6BA1"/>
    <w:rsid w:val="001C194A"/>
    <w:rsid w:val="001D1EAA"/>
    <w:rsid w:val="001D2A9A"/>
    <w:rsid w:val="001F37B9"/>
    <w:rsid w:val="002059A9"/>
    <w:rsid w:val="00215345"/>
    <w:rsid w:val="0021698F"/>
    <w:rsid w:val="00226A59"/>
    <w:rsid w:val="00227E51"/>
    <w:rsid w:val="0023399A"/>
    <w:rsid w:val="00234E3B"/>
    <w:rsid w:val="002657F0"/>
    <w:rsid w:val="002663BE"/>
    <w:rsid w:val="00267FEF"/>
    <w:rsid w:val="00283CA6"/>
    <w:rsid w:val="002B4046"/>
    <w:rsid w:val="002B622D"/>
    <w:rsid w:val="002C2776"/>
    <w:rsid w:val="002C2AF7"/>
    <w:rsid w:val="002C42CD"/>
    <w:rsid w:val="002D1B46"/>
    <w:rsid w:val="002F5A19"/>
    <w:rsid w:val="003028A5"/>
    <w:rsid w:val="003173B1"/>
    <w:rsid w:val="003209DE"/>
    <w:rsid w:val="00322E7F"/>
    <w:rsid w:val="00334D3C"/>
    <w:rsid w:val="00335210"/>
    <w:rsid w:val="0034774E"/>
    <w:rsid w:val="0035013D"/>
    <w:rsid w:val="003501EA"/>
    <w:rsid w:val="00352EC2"/>
    <w:rsid w:val="00362061"/>
    <w:rsid w:val="00366FE9"/>
    <w:rsid w:val="00370343"/>
    <w:rsid w:val="003739F0"/>
    <w:rsid w:val="003832C1"/>
    <w:rsid w:val="003850BF"/>
    <w:rsid w:val="00386B03"/>
    <w:rsid w:val="00396494"/>
    <w:rsid w:val="003A3478"/>
    <w:rsid w:val="003B3428"/>
    <w:rsid w:val="003B4541"/>
    <w:rsid w:val="003B5A69"/>
    <w:rsid w:val="003B74D0"/>
    <w:rsid w:val="003C54F7"/>
    <w:rsid w:val="003E76E0"/>
    <w:rsid w:val="003F751A"/>
    <w:rsid w:val="00405E01"/>
    <w:rsid w:val="00412888"/>
    <w:rsid w:val="00414673"/>
    <w:rsid w:val="00416010"/>
    <w:rsid w:val="0041771F"/>
    <w:rsid w:val="00417913"/>
    <w:rsid w:val="004203BA"/>
    <w:rsid w:val="00421DA0"/>
    <w:rsid w:val="00425BB4"/>
    <w:rsid w:val="00427434"/>
    <w:rsid w:val="00431ED1"/>
    <w:rsid w:val="00440081"/>
    <w:rsid w:val="004452AF"/>
    <w:rsid w:val="00454AF9"/>
    <w:rsid w:val="00454F42"/>
    <w:rsid w:val="0045503E"/>
    <w:rsid w:val="0046703C"/>
    <w:rsid w:val="00471EB7"/>
    <w:rsid w:val="004774F6"/>
    <w:rsid w:val="00480283"/>
    <w:rsid w:val="00480893"/>
    <w:rsid w:val="00484C66"/>
    <w:rsid w:val="00493C94"/>
    <w:rsid w:val="00494C8F"/>
    <w:rsid w:val="0049604D"/>
    <w:rsid w:val="004A0D84"/>
    <w:rsid w:val="004D3487"/>
    <w:rsid w:val="004D7918"/>
    <w:rsid w:val="004E2775"/>
    <w:rsid w:val="004E6C50"/>
    <w:rsid w:val="004F3D7F"/>
    <w:rsid w:val="005110B9"/>
    <w:rsid w:val="00514338"/>
    <w:rsid w:val="00514D65"/>
    <w:rsid w:val="005258E5"/>
    <w:rsid w:val="00542990"/>
    <w:rsid w:val="0055458E"/>
    <w:rsid w:val="005713D8"/>
    <w:rsid w:val="005721B1"/>
    <w:rsid w:val="0059378F"/>
    <w:rsid w:val="00595EE0"/>
    <w:rsid w:val="005C1A1D"/>
    <w:rsid w:val="005C2D9E"/>
    <w:rsid w:val="005C60A6"/>
    <w:rsid w:val="005C6996"/>
    <w:rsid w:val="005C7A8B"/>
    <w:rsid w:val="00606F79"/>
    <w:rsid w:val="0060753E"/>
    <w:rsid w:val="0061294F"/>
    <w:rsid w:val="00613370"/>
    <w:rsid w:val="0061362A"/>
    <w:rsid w:val="00640DF3"/>
    <w:rsid w:val="00641873"/>
    <w:rsid w:val="00672765"/>
    <w:rsid w:val="00677CBD"/>
    <w:rsid w:val="006B079D"/>
    <w:rsid w:val="006B1689"/>
    <w:rsid w:val="006B1816"/>
    <w:rsid w:val="006B1C95"/>
    <w:rsid w:val="006B22A0"/>
    <w:rsid w:val="006B398E"/>
    <w:rsid w:val="006C148F"/>
    <w:rsid w:val="006C4FAF"/>
    <w:rsid w:val="006C5616"/>
    <w:rsid w:val="006C73C7"/>
    <w:rsid w:val="006D5E6F"/>
    <w:rsid w:val="006E71DB"/>
    <w:rsid w:val="006E7ADC"/>
    <w:rsid w:val="006F5DCA"/>
    <w:rsid w:val="00702EB4"/>
    <w:rsid w:val="00706C7D"/>
    <w:rsid w:val="00712BC8"/>
    <w:rsid w:val="00737EE1"/>
    <w:rsid w:val="00741FD4"/>
    <w:rsid w:val="00754BF3"/>
    <w:rsid w:val="0077163F"/>
    <w:rsid w:val="00784CEF"/>
    <w:rsid w:val="0079478F"/>
    <w:rsid w:val="007A752E"/>
    <w:rsid w:val="007B278B"/>
    <w:rsid w:val="007B5CE7"/>
    <w:rsid w:val="007B60F6"/>
    <w:rsid w:val="007B6CD1"/>
    <w:rsid w:val="007C0E76"/>
    <w:rsid w:val="007C1987"/>
    <w:rsid w:val="007C3A53"/>
    <w:rsid w:val="007C5C52"/>
    <w:rsid w:val="007C5DF2"/>
    <w:rsid w:val="007C6160"/>
    <w:rsid w:val="007C69E7"/>
    <w:rsid w:val="007D5E09"/>
    <w:rsid w:val="007E6E5F"/>
    <w:rsid w:val="007F239E"/>
    <w:rsid w:val="00804B07"/>
    <w:rsid w:val="00806FE4"/>
    <w:rsid w:val="00807E1B"/>
    <w:rsid w:val="0081332D"/>
    <w:rsid w:val="00815974"/>
    <w:rsid w:val="00823717"/>
    <w:rsid w:val="00832632"/>
    <w:rsid w:val="0083522F"/>
    <w:rsid w:val="00861EAE"/>
    <w:rsid w:val="00862A56"/>
    <w:rsid w:val="008634E4"/>
    <w:rsid w:val="00873003"/>
    <w:rsid w:val="00876160"/>
    <w:rsid w:val="00884334"/>
    <w:rsid w:val="0089295E"/>
    <w:rsid w:val="008977B6"/>
    <w:rsid w:val="008B37CC"/>
    <w:rsid w:val="008E4C24"/>
    <w:rsid w:val="008E50B2"/>
    <w:rsid w:val="008F209F"/>
    <w:rsid w:val="008F735C"/>
    <w:rsid w:val="009031DB"/>
    <w:rsid w:val="009044F8"/>
    <w:rsid w:val="009057D8"/>
    <w:rsid w:val="0091030F"/>
    <w:rsid w:val="0091647E"/>
    <w:rsid w:val="00920894"/>
    <w:rsid w:val="00920E82"/>
    <w:rsid w:val="00923363"/>
    <w:rsid w:val="0094139B"/>
    <w:rsid w:val="00945C7F"/>
    <w:rsid w:val="00952D98"/>
    <w:rsid w:val="00953A67"/>
    <w:rsid w:val="00953C4E"/>
    <w:rsid w:val="00954A07"/>
    <w:rsid w:val="00957607"/>
    <w:rsid w:val="009609F0"/>
    <w:rsid w:val="00962E02"/>
    <w:rsid w:val="009633A6"/>
    <w:rsid w:val="00964B5A"/>
    <w:rsid w:val="009754CC"/>
    <w:rsid w:val="0098062A"/>
    <w:rsid w:val="00980CAE"/>
    <w:rsid w:val="00981011"/>
    <w:rsid w:val="00983CC2"/>
    <w:rsid w:val="009B67CA"/>
    <w:rsid w:val="009C68A6"/>
    <w:rsid w:val="009C6D47"/>
    <w:rsid w:val="009D6BA8"/>
    <w:rsid w:val="009E3F61"/>
    <w:rsid w:val="009E7EC3"/>
    <w:rsid w:val="009F27A8"/>
    <w:rsid w:val="00A04651"/>
    <w:rsid w:val="00A05DD6"/>
    <w:rsid w:val="00A15E2A"/>
    <w:rsid w:val="00A23A9F"/>
    <w:rsid w:val="00A32152"/>
    <w:rsid w:val="00A45D9B"/>
    <w:rsid w:val="00A526C8"/>
    <w:rsid w:val="00A56428"/>
    <w:rsid w:val="00A62694"/>
    <w:rsid w:val="00A664B1"/>
    <w:rsid w:val="00A71158"/>
    <w:rsid w:val="00A7277A"/>
    <w:rsid w:val="00A75905"/>
    <w:rsid w:val="00A81C51"/>
    <w:rsid w:val="00A94660"/>
    <w:rsid w:val="00A955D4"/>
    <w:rsid w:val="00AA24B7"/>
    <w:rsid w:val="00AA60A1"/>
    <w:rsid w:val="00AB04C6"/>
    <w:rsid w:val="00AB4661"/>
    <w:rsid w:val="00AD16E2"/>
    <w:rsid w:val="00AD7C87"/>
    <w:rsid w:val="00AF0641"/>
    <w:rsid w:val="00B03CF2"/>
    <w:rsid w:val="00B1286C"/>
    <w:rsid w:val="00B16CA9"/>
    <w:rsid w:val="00B209A9"/>
    <w:rsid w:val="00B20BD4"/>
    <w:rsid w:val="00B20D5B"/>
    <w:rsid w:val="00B26B77"/>
    <w:rsid w:val="00B47F8B"/>
    <w:rsid w:val="00B65797"/>
    <w:rsid w:val="00B66E68"/>
    <w:rsid w:val="00B70FAF"/>
    <w:rsid w:val="00B81B88"/>
    <w:rsid w:val="00B860BC"/>
    <w:rsid w:val="00B9454C"/>
    <w:rsid w:val="00B94BC3"/>
    <w:rsid w:val="00BB1632"/>
    <w:rsid w:val="00BB2B76"/>
    <w:rsid w:val="00BB4102"/>
    <w:rsid w:val="00BC0311"/>
    <w:rsid w:val="00BC4DBA"/>
    <w:rsid w:val="00BD0F41"/>
    <w:rsid w:val="00BD472B"/>
    <w:rsid w:val="00BD7666"/>
    <w:rsid w:val="00BE1447"/>
    <w:rsid w:val="00BE5C95"/>
    <w:rsid w:val="00C001B9"/>
    <w:rsid w:val="00C00C8B"/>
    <w:rsid w:val="00C02D3A"/>
    <w:rsid w:val="00C24039"/>
    <w:rsid w:val="00C278ED"/>
    <w:rsid w:val="00C47653"/>
    <w:rsid w:val="00C62381"/>
    <w:rsid w:val="00C70625"/>
    <w:rsid w:val="00C72E26"/>
    <w:rsid w:val="00C74572"/>
    <w:rsid w:val="00C8200E"/>
    <w:rsid w:val="00C85C80"/>
    <w:rsid w:val="00C8625C"/>
    <w:rsid w:val="00C877A1"/>
    <w:rsid w:val="00C87BAD"/>
    <w:rsid w:val="00CA31AE"/>
    <w:rsid w:val="00CA4961"/>
    <w:rsid w:val="00CD4E87"/>
    <w:rsid w:val="00CD5EFF"/>
    <w:rsid w:val="00CF76B3"/>
    <w:rsid w:val="00D03AD0"/>
    <w:rsid w:val="00D04F94"/>
    <w:rsid w:val="00D06E91"/>
    <w:rsid w:val="00D0758D"/>
    <w:rsid w:val="00D2185C"/>
    <w:rsid w:val="00D229C3"/>
    <w:rsid w:val="00D31274"/>
    <w:rsid w:val="00D3247F"/>
    <w:rsid w:val="00D3606E"/>
    <w:rsid w:val="00D46DEA"/>
    <w:rsid w:val="00D61AAE"/>
    <w:rsid w:val="00D81083"/>
    <w:rsid w:val="00D81560"/>
    <w:rsid w:val="00D93BC2"/>
    <w:rsid w:val="00DA08BF"/>
    <w:rsid w:val="00DB01D1"/>
    <w:rsid w:val="00DC1A9A"/>
    <w:rsid w:val="00DD4809"/>
    <w:rsid w:val="00DD505B"/>
    <w:rsid w:val="00DD5E36"/>
    <w:rsid w:val="00DD6B51"/>
    <w:rsid w:val="00DD7D23"/>
    <w:rsid w:val="00DE149B"/>
    <w:rsid w:val="00DE2159"/>
    <w:rsid w:val="00DE2188"/>
    <w:rsid w:val="00DE6CAF"/>
    <w:rsid w:val="00DF5FAB"/>
    <w:rsid w:val="00DF74F8"/>
    <w:rsid w:val="00E01FFD"/>
    <w:rsid w:val="00E0238C"/>
    <w:rsid w:val="00E02F8D"/>
    <w:rsid w:val="00E17D30"/>
    <w:rsid w:val="00E306B1"/>
    <w:rsid w:val="00E30DD8"/>
    <w:rsid w:val="00E4110B"/>
    <w:rsid w:val="00E41BD4"/>
    <w:rsid w:val="00E45C97"/>
    <w:rsid w:val="00E46EF5"/>
    <w:rsid w:val="00E702A6"/>
    <w:rsid w:val="00E7314B"/>
    <w:rsid w:val="00E9037D"/>
    <w:rsid w:val="00E922B5"/>
    <w:rsid w:val="00E96D60"/>
    <w:rsid w:val="00EA4BD5"/>
    <w:rsid w:val="00EA52E3"/>
    <w:rsid w:val="00EB5C08"/>
    <w:rsid w:val="00EC5682"/>
    <w:rsid w:val="00ED1092"/>
    <w:rsid w:val="00EE147D"/>
    <w:rsid w:val="00EF1423"/>
    <w:rsid w:val="00EF6399"/>
    <w:rsid w:val="00EF6AA2"/>
    <w:rsid w:val="00F0435E"/>
    <w:rsid w:val="00F35AB8"/>
    <w:rsid w:val="00F37F31"/>
    <w:rsid w:val="00F40EF6"/>
    <w:rsid w:val="00F412B7"/>
    <w:rsid w:val="00F53B77"/>
    <w:rsid w:val="00F54EB0"/>
    <w:rsid w:val="00F555CB"/>
    <w:rsid w:val="00F55734"/>
    <w:rsid w:val="00F6048B"/>
    <w:rsid w:val="00F77FEA"/>
    <w:rsid w:val="00FA06C0"/>
    <w:rsid w:val="00FA3A66"/>
    <w:rsid w:val="00FA4E36"/>
    <w:rsid w:val="00FA76EF"/>
    <w:rsid w:val="00FC0F4D"/>
    <w:rsid w:val="00FC1145"/>
    <w:rsid w:val="00FC126F"/>
    <w:rsid w:val="00FC343F"/>
    <w:rsid w:val="00FD766E"/>
    <w:rsid w:val="00FE44D8"/>
    <w:rsid w:val="00FE46D6"/>
    <w:rsid w:val="00FE4EFB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8C0D6"/>
  <w15:chartTrackingRefBased/>
  <w15:docId w15:val="{B77386EF-F333-4ADD-942C-4CE5367E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48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E68"/>
    <w:pPr>
      <w:ind w:left="720"/>
      <w:contextualSpacing/>
    </w:pPr>
  </w:style>
  <w:style w:type="table" w:styleId="TableGrid">
    <w:name w:val="Table Grid"/>
    <w:basedOn w:val="TableNormal"/>
    <w:uiPriority w:val="39"/>
    <w:rsid w:val="00B66E6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BodyText"/>
    <w:link w:val="SubtitleChar"/>
    <w:qFormat/>
    <w:rsid w:val="00471EB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ar-SA"/>
    </w:rPr>
  </w:style>
  <w:style w:type="character" w:customStyle="1" w:styleId="SubtitleChar">
    <w:name w:val="Subtitle Char"/>
    <w:basedOn w:val="DefaultParagraphFont"/>
    <w:link w:val="Subtitle"/>
    <w:rsid w:val="00471EB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471EB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1EB7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C54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4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4F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4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4F7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4F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3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9AA06-3576-49C2-AEF6-54D2115E8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Mieliūnas</dc:creator>
  <cp:lastModifiedBy>Andrius Venskus</cp:lastModifiedBy>
  <cp:revision>7</cp:revision>
  <cp:lastPrinted>2025-02-07T08:53:00Z</cp:lastPrinted>
  <dcterms:created xsi:type="dcterms:W3CDTF">2025-02-07T08:50:00Z</dcterms:created>
  <dcterms:modified xsi:type="dcterms:W3CDTF">2025-09-17T07:25:00Z</dcterms:modified>
</cp:coreProperties>
</file>