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D7BC" w14:textId="77777777" w:rsidR="005F24E9" w:rsidRPr="006B5366" w:rsidRDefault="005F24E9" w:rsidP="005F24E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B5366">
        <w:rPr>
          <w:rFonts w:ascii="Times New Roman" w:hAnsi="Times New Roman" w:cs="Times New Roman" w:hint="cs"/>
          <w:b/>
          <w:sz w:val="24"/>
          <w:szCs w:val="24"/>
          <w:lang w:val="lt-LT"/>
        </w:rPr>
        <w:t>TECHNINIAI REIKALAVIMAI PROGRAMINEI ĮRANGAI</w:t>
      </w:r>
    </w:p>
    <w:p w14:paraId="75A22DA6" w14:textId="77777777" w:rsidR="005F24E9" w:rsidRPr="006B5366" w:rsidRDefault="005F24E9" w:rsidP="005F24E9">
      <w:pPr>
        <w:ind w:left="680"/>
        <w:contextualSpacing/>
        <w:rPr>
          <w:rFonts w:ascii="Times New Roman" w:eastAsia="Arial Unicode MS" w:hAnsi="Times New Roman" w:cs="Times New Roman"/>
          <w:sz w:val="24"/>
          <w:szCs w:val="24"/>
          <w:u w:color="000000"/>
          <w:lang w:val="lt-LT"/>
        </w:rPr>
      </w:pPr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Microsoft</w:t>
      </w:r>
      <w:r w:rsidRPr="006B5366">
        <w:rPr>
          <w:rFonts w:ascii="Times New Roman" w:hAnsi="Times New Roman" w:cs="Times New Roman" w:hint="cs"/>
          <w:sz w:val="24"/>
          <w:szCs w:val="24"/>
          <w:u w:color="000000"/>
          <w:lang w:val="lt-LT"/>
        </w:rPr>
        <w:t xml:space="preserve"> 365 A3 naudotojo paketo licencija (naujausia gamintojo paskelbta versija) arba lygiavertės programinės įrangos licencija:</w:t>
      </w:r>
    </w:p>
    <w:p w14:paraId="69BE2ECA" w14:textId="77777777" w:rsidR="005F24E9" w:rsidRPr="006B536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135"/>
      </w:tblGrid>
      <w:tr w:rsidR="005F24E9" w:rsidRPr="006B5366" w14:paraId="2A571E25" w14:textId="77777777" w:rsidTr="00D27A57">
        <w:trPr>
          <w:trHeight w:val="144"/>
        </w:trPr>
        <w:tc>
          <w:tcPr>
            <w:tcW w:w="1223" w:type="pct"/>
          </w:tcPr>
          <w:p w14:paraId="4015F46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Rodiklis</w:t>
            </w:r>
            <w:proofErr w:type="spellEnd"/>
          </w:p>
        </w:tc>
        <w:tc>
          <w:tcPr>
            <w:tcW w:w="3777" w:type="pct"/>
          </w:tcPr>
          <w:p w14:paraId="254D879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napToGrid w:val="0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Reikalaujama</w:t>
            </w:r>
            <w:proofErr w:type="spellEnd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</w:tr>
      <w:tr w:rsidR="005F24E9" w:rsidRPr="006B5366" w14:paraId="4612EFEE" w14:textId="77777777" w:rsidTr="00D27A57">
        <w:trPr>
          <w:trHeight w:val="144"/>
        </w:trPr>
        <w:tc>
          <w:tcPr>
            <w:tcW w:w="1223" w:type="pct"/>
          </w:tcPr>
          <w:p w14:paraId="6B2C421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napToGrid w:val="0"/>
                <w:sz w:val="24"/>
                <w:szCs w:val="24"/>
              </w:rPr>
              <w:t>Gamintojas</w:t>
            </w:r>
            <w:proofErr w:type="spellEnd"/>
          </w:p>
        </w:tc>
        <w:tc>
          <w:tcPr>
            <w:tcW w:w="3777" w:type="pct"/>
          </w:tcPr>
          <w:p w14:paraId="1BEF4ABD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nurodo</w:t>
            </w:r>
            <w:proofErr w:type="spellEnd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tiekėjas</w:t>
            </w:r>
            <w:proofErr w:type="spellEnd"/>
          </w:p>
        </w:tc>
      </w:tr>
      <w:tr w:rsidR="005F24E9" w:rsidRPr="006B5366" w14:paraId="49C0B15F" w14:textId="77777777" w:rsidTr="00D27A57">
        <w:trPr>
          <w:trHeight w:val="144"/>
        </w:trPr>
        <w:tc>
          <w:tcPr>
            <w:tcW w:w="1223" w:type="pct"/>
          </w:tcPr>
          <w:p w14:paraId="5F8B4AE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napToGrid w:val="0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3777" w:type="pct"/>
          </w:tcPr>
          <w:p w14:paraId="7DC6ABF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nurodo</w:t>
            </w:r>
            <w:proofErr w:type="spellEnd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tiekėjas</w:t>
            </w:r>
            <w:proofErr w:type="spellEnd"/>
          </w:p>
        </w:tc>
      </w:tr>
      <w:tr w:rsidR="005F24E9" w:rsidRPr="006B5366" w14:paraId="65E95940" w14:textId="77777777" w:rsidTr="00D27A57">
        <w:trPr>
          <w:trHeight w:val="144"/>
        </w:trPr>
        <w:tc>
          <w:tcPr>
            <w:tcW w:w="1223" w:type="pct"/>
          </w:tcPr>
          <w:p w14:paraId="006166A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</w:p>
        </w:tc>
        <w:tc>
          <w:tcPr>
            <w:tcW w:w="3777" w:type="pct"/>
          </w:tcPr>
          <w:p w14:paraId="33ABBFAE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Paslaugų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sudaro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:</w:t>
            </w:r>
          </w:p>
          <w:p w14:paraId="5EE533BA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Microsoft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19FE53AB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režimu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4CDC8C94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perdavimas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4409F237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įrankių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4C9E09C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jungimuisi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5E0D9093" w14:textId="77777777" w:rsidTr="00D27A57">
        <w:trPr>
          <w:trHeight w:val="144"/>
        </w:trPr>
        <w:tc>
          <w:tcPr>
            <w:tcW w:w="1223" w:type="pct"/>
          </w:tcPr>
          <w:p w14:paraId="4411DD2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Palaikoma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operacinė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3777" w:type="pct"/>
          </w:tcPr>
          <w:p w14:paraId="7C5E8A31" w14:textId="77777777" w:rsidR="005F24E9" w:rsidRPr="00CF2DA2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F2DA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Windows Enterprise 10/11;</w:t>
            </w:r>
          </w:p>
          <w:p w14:paraId="51E87642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Windows Professional 10/11</w:t>
            </w: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4E9" w:rsidRPr="006B5366" w14:paraId="18B89045" w14:textId="77777777" w:rsidTr="00D27A57">
        <w:trPr>
          <w:trHeight w:val="144"/>
        </w:trPr>
        <w:tc>
          <w:tcPr>
            <w:tcW w:w="1223" w:type="pct"/>
          </w:tcPr>
          <w:p w14:paraId="497045F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3777" w:type="pct"/>
          </w:tcPr>
          <w:p w14:paraId="733A255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disko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integralumo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tikrinimo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disko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klaidų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taisymas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VPN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archyvavimo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posistemė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šešėlinių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kopijų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kūrimas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asmeninių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kredencialų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tvarkymas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vidinių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išorinių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laikmenų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bylų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leidžiančios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dirbti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atsijungus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(Offline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aplankai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Rankinis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27BA4C6C" w14:textId="77777777" w:rsidTr="00D27A57">
        <w:trPr>
          <w:trHeight w:val="144"/>
        </w:trPr>
        <w:tc>
          <w:tcPr>
            <w:tcW w:w="1223" w:type="pct"/>
          </w:tcPr>
          <w:p w14:paraId="7B836A2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3777" w:type="pct"/>
          </w:tcPr>
          <w:p w14:paraId="7B8B3D4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redaktorius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bazių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tvarkymo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universali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kaupimo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Licencijuotas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5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49E44286" w14:textId="77777777" w:rsidTr="00D27A57">
        <w:trPr>
          <w:trHeight w:val="144"/>
        </w:trPr>
        <w:tc>
          <w:tcPr>
            <w:tcW w:w="1223" w:type="pct"/>
          </w:tcPr>
          <w:p w14:paraId="3112824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perdavimo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3777" w:type="pct"/>
          </w:tcPr>
          <w:p w14:paraId="2E1DD79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apsikeitimas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49697701" w14:textId="77777777" w:rsidTr="00D27A57">
        <w:trPr>
          <w:trHeight w:val="144"/>
        </w:trPr>
        <w:tc>
          <w:tcPr>
            <w:tcW w:w="1223" w:type="pct"/>
          </w:tcPr>
          <w:p w14:paraId="54D8EEE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redaktoriui</w:t>
            </w:r>
            <w:proofErr w:type="spellEnd"/>
          </w:p>
        </w:tc>
        <w:tc>
          <w:tcPr>
            <w:tcW w:w="3777" w:type="pct"/>
          </w:tcPr>
          <w:p w14:paraId="21515CF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dirbti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suderinamumą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Word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paruoštais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šablonais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kuriuose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345575E9" w14:textId="77777777" w:rsidTr="00D27A57">
        <w:trPr>
          <w:trHeight w:val="144"/>
        </w:trPr>
        <w:tc>
          <w:tcPr>
            <w:tcW w:w="1223" w:type="pct"/>
          </w:tcPr>
          <w:p w14:paraId="6E074F6E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universaliai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kaupimo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programai</w:t>
            </w:r>
            <w:proofErr w:type="spellEnd"/>
          </w:p>
        </w:tc>
        <w:tc>
          <w:tcPr>
            <w:tcW w:w="3777" w:type="pct"/>
          </w:tcPr>
          <w:p w14:paraId="297F28A5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įkelti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nuotraukų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pavidalu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0E471B2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piešimo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58EA9A5D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atpažinimo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OCR)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leidžiantį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ieškoti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nuotraukų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formate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3B30B5C8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bendro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knygutes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SharePoint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aplinkoje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56BA84E2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siųsti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lapus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prikabintą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pat .pdf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4C88BA0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pakvietimas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knygutės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05D4CED4" w14:textId="77777777" w:rsidTr="00D27A57">
        <w:trPr>
          <w:trHeight w:val="144"/>
        </w:trPr>
        <w:tc>
          <w:tcPr>
            <w:tcW w:w="1223" w:type="pct"/>
          </w:tcPr>
          <w:p w14:paraId="4D993D8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skaičiuoklei</w:t>
            </w:r>
            <w:proofErr w:type="spellEnd"/>
          </w:p>
        </w:tc>
        <w:tc>
          <w:tcPr>
            <w:tcW w:w="3777" w:type="pct"/>
          </w:tcPr>
          <w:p w14:paraId="0ADAC56E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apdoroti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įvairiais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pjūviais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dinaminės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analizės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lentelėse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(pivot table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analogiškos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</w:p>
        </w:tc>
      </w:tr>
      <w:tr w:rsidR="005F24E9" w:rsidRPr="006B5366" w14:paraId="5B1EF43F" w14:textId="77777777" w:rsidTr="00D27A57">
        <w:trPr>
          <w:trHeight w:val="144"/>
        </w:trPr>
        <w:tc>
          <w:tcPr>
            <w:tcW w:w="1223" w:type="pct"/>
          </w:tcPr>
          <w:p w14:paraId="500F418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programai</w:t>
            </w:r>
            <w:proofErr w:type="spellEnd"/>
          </w:p>
        </w:tc>
        <w:tc>
          <w:tcPr>
            <w:tcW w:w="3777" w:type="pct"/>
          </w:tcPr>
          <w:p w14:paraId="7451BFD1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žinučių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pranešimo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būsenos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indikatoriai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7F38A4B7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audio / video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Online meeting).</w:t>
            </w:r>
          </w:p>
          <w:p w14:paraId="3B1400FC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nukreipti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kolegoms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kt.). </w:t>
            </w:r>
          </w:p>
          <w:p w14:paraId="09768AC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išeinančių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istoriją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23B7D0B6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paskambinti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Outlook, SharePoint, </w:t>
            </w:r>
          </w:p>
          <w:p w14:paraId="5DCEA1B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praleistus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Outlook, Sype for Business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649DB09B" w14:textId="77777777" w:rsidTr="00D27A57">
        <w:trPr>
          <w:trHeight w:val="144"/>
        </w:trPr>
        <w:tc>
          <w:tcPr>
            <w:tcW w:w="1223" w:type="pct"/>
          </w:tcPr>
          <w:p w14:paraId="4D8CFE0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talpyklai</w:t>
            </w:r>
            <w:proofErr w:type="spellEnd"/>
          </w:p>
        </w:tc>
        <w:tc>
          <w:tcPr>
            <w:tcW w:w="3777" w:type="pct"/>
          </w:tcPr>
          <w:p w14:paraId="34F98CD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Su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kiekvienu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mažesnė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1TB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talpykla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75894EF4" w14:textId="77777777" w:rsidTr="00D27A57">
        <w:trPr>
          <w:trHeight w:val="144"/>
        </w:trPr>
        <w:tc>
          <w:tcPr>
            <w:tcW w:w="1223" w:type="pct"/>
          </w:tcPr>
          <w:p w14:paraId="108D1E9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sinchronizavimui</w:t>
            </w:r>
            <w:proofErr w:type="spellEnd"/>
          </w:p>
        </w:tc>
        <w:tc>
          <w:tcPr>
            <w:tcW w:w="3777" w:type="pct"/>
          </w:tcPr>
          <w:p w14:paraId="10DBA9D4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mokesčio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kiekvienam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mažesnę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100 GB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bus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560EE01D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13B897EC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interneto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2BA8F4FA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apsikeitimas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priverstinio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Push)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technologija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BCAF629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valdomas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resursų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rezervavimas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0452467C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nustatymus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komandinių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eilučių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scripting). </w:t>
            </w:r>
          </w:p>
          <w:p w14:paraId="6366B06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Pametus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naudodamasis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pareikalauti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pamesto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mobilaus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panaikinimo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44DF462F" w14:textId="77777777" w:rsidTr="00D27A57">
        <w:trPr>
          <w:trHeight w:val="144"/>
        </w:trPr>
        <w:tc>
          <w:tcPr>
            <w:tcW w:w="1223" w:type="pct"/>
          </w:tcPr>
          <w:p w14:paraId="2FA6DF0D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talpinimui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777" w:type="pct"/>
          </w:tcPr>
          <w:p w14:paraId="2FC7CBA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mokesčio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tiekėjo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serveriuose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1EDD1FB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sukurtas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241652A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redaguoti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rėžimu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76C7ED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aukščiausio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lygio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antrines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susikurti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specialios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aukščiausio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lygio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sritimi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pvz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skirta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tik tam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tikrai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vykdyti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bendrą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paiešką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visose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srityse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gyvavimo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ciklo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684BF41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asmeninių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kalendorių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Darbo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supaprastintos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prieinamos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anketų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peržiūrėti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interneto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atvaizduoti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redaguoti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garso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vaizdo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medžiagos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bibliotekų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riboti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apibrėžiant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roles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personalizuotą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erdvę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atlikti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paiešką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bylų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tarnybinėje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stotyje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518C4098" w14:textId="77777777" w:rsidTr="00D27A57">
        <w:trPr>
          <w:trHeight w:val="144"/>
        </w:trPr>
        <w:tc>
          <w:tcPr>
            <w:tcW w:w="1223" w:type="pct"/>
          </w:tcPr>
          <w:p w14:paraId="4494454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777" w:type="pct"/>
          </w:tcPr>
          <w:p w14:paraId="0732843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3807208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476A54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Tiekėjo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privalo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apimti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garso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vaizdo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www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tarp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dalyvių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žinučių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pranešimo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būsenos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indikatorius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susirašinėjimus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56AF089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atsijungus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(off-line).</w:t>
            </w:r>
          </w:p>
          <w:p w14:paraId="13E8FEA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paskambinti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6C7EA4F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praleistus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audio/video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Online meeting),</w:t>
            </w:r>
          </w:p>
        </w:tc>
      </w:tr>
      <w:tr w:rsidR="005F24E9" w:rsidRPr="006B5366" w14:paraId="41543015" w14:textId="77777777" w:rsidTr="00D27A57">
        <w:trPr>
          <w:trHeight w:val="144"/>
        </w:trPr>
        <w:tc>
          <w:tcPr>
            <w:tcW w:w="1223" w:type="pct"/>
          </w:tcPr>
          <w:p w14:paraId="0C96FA8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įrankių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</w:t>
            </w:r>
          </w:p>
        </w:tc>
        <w:tc>
          <w:tcPr>
            <w:tcW w:w="3777" w:type="pct"/>
          </w:tcPr>
          <w:p w14:paraId="1716222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4728F77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9AADDD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7B0D1E6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Pažangioji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grėsmių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6DF7FDE6" w14:textId="77777777" w:rsidTr="00D27A57">
        <w:trPr>
          <w:trHeight w:val="144"/>
        </w:trPr>
        <w:tc>
          <w:tcPr>
            <w:tcW w:w="1223" w:type="pct"/>
          </w:tcPr>
          <w:p w14:paraId="55C5676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  <w:tc>
          <w:tcPr>
            <w:tcW w:w="3777" w:type="pct"/>
          </w:tcPr>
          <w:p w14:paraId="111BAE3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politikų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pritaikymas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mobiliems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būdu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patiems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įtraukti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valdomų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sąrašą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savitarnos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portalo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kartu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System Center Configuration Manager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: Apple iOS, Android, Windows Phone, Windows RT.</w:t>
            </w: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br/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būdu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išvalyti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wipe)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736C0D33" w14:textId="77777777" w:rsidTr="00D27A57">
        <w:trPr>
          <w:trHeight w:val="144"/>
        </w:trPr>
        <w:tc>
          <w:tcPr>
            <w:tcW w:w="1223" w:type="pct"/>
          </w:tcPr>
          <w:p w14:paraId="5DD4530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tarnybai</w:t>
            </w:r>
            <w:proofErr w:type="spellEnd"/>
          </w:p>
        </w:tc>
        <w:tc>
          <w:tcPr>
            <w:tcW w:w="3777" w:type="pct"/>
          </w:tcPr>
          <w:p w14:paraId="3582BBD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WEB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dviejų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faktorių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autentifikavimo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vieningo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single sign-on)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savarankiškai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pasikeisti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atstatyti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slaptažodį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76CD0C98" w14:textId="77777777" w:rsidTr="00D27A57">
        <w:trPr>
          <w:trHeight w:val="144"/>
        </w:trPr>
        <w:tc>
          <w:tcPr>
            <w:tcW w:w="1223" w:type="pct"/>
          </w:tcPr>
          <w:p w14:paraId="13435A4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servisui</w:t>
            </w:r>
            <w:proofErr w:type="spellEnd"/>
          </w:p>
        </w:tc>
        <w:tc>
          <w:tcPr>
            <w:tcW w:w="3777" w:type="pct"/>
          </w:tcPr>
          <w:p w14:paraId="19EB66A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galėtų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užšifruoti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stebėti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šifruoto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sudaryta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eigoje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keisti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: Windows, Apple iOS, Android.  </w:t>
            </w:r>
          </w:p>
        </w:tc>
      </w:tr>
      <w:tr w:rsidR="005F24E9" w:rsidRPr="006B5366" w14:paraId="5FECC0AB" w14:textId="77777777" w:rsidTr="00D27A57">
        <w:trPr>
          <w:trHeight w:val="144"/>
        </w:trPr>
        <w:tc>
          <w:tcPr>
            <w:tcW w:w="1223" w:type="pct"/>
          </w:tcPr>
          <w:p w14:paraId="336928D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pažangiajai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grėsmių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777" w:type="pct"/>
          </w:tcPr>
          <w:p w14:paraId="644FAEA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aptikti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elgseną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įtartiną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veiklą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netipiniu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laiku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priėjimai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resursų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aptikti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kenkėjiškas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atakas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spragas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identifikuoti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bandymus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atspėti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slaptažodžius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įvairių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simbolių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kombinacijas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identifikuoti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nesankcionuotus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privilegijuotų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0E80B8A0" w14:textId="77777777" w:rsidTr="00D27A57">
        <w:trPr>
          <w:trHeight w:val="144"/>
        </w:trPr>
        <w:tc>
          <w:tcPr>
            <w:tcW w:w="1223" w:type="pct"/>
          </w:tcPr>
          <w:p w14:paraId="18A8453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Paketas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vieno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</w:p>
        </w:tc>
        <w:tc>
          <w:tcPr>
            <w:tcW w:w="3777" w:type="pct"/>
          </w:tcPr>
          <w:p w14:paraId="0A7390A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Taip</w:t>
            </w:r>
          </w:p>
        </w:tc>
      </w:tr>
      <w:tr w:rsidR="005F24E9" w:rsidRPr="006B5366" w14:paraId="02C979CB" w14:textId="77777777" w:rsidTr="00D27A57">
        <w:trPr>
          <w:trHeight w:val="144"/>
        </w:trPr>
        <w:tc>
          <w:tcPr>
            <w:tcW w:w="1223" w:type="pct"/>
            <w:vAlign w:val="center"/>
          </w:tcPr>
          <w:p w14:paraId="7B378BD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Vartotojo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sąsaja</w:t>
            </w:r>
            <w:proofErr w:type="spellEnd"/>
          </w:p>
        </w:tc>
        <w:tc>
          <w:tcPr>
            <w:tcW w:w="3777" w:type="pct"/>
          </w:tcPr>
          <w:p w14:paraId="1CFBCBE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sąsają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atsižvelgiant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lietuvių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rusų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lenkų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kalbos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privalomos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).</w:t>
            </w:r>
          </w:p>
        </w:tc>
      </w:tr>
      <w:tr w:rsidR="005F24E9" w:rsidRPr="006B5366" w14:paraId="1AFFD502" w14:textId="77777777" w:rsidTr="00D27A57">
        <w:trPr>
          <w:trHeight w:val="144"/>
        </w:trPr>
        <w:tc>
          <w:tcPr>
            <w:tcW w:w="1223" w:type="pct"/>
          </w:tcPr>
          <w:p w14:paraId="0652085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jungtis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tarnybinių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stočių</w:t>
            </w:r>
            <w:proofErr w:type="spellEnd"/>
          </w:p>
        </w:tc>
        <w:tc>
          <w:tcPr>
            <w:tcW w:w="3777" w:type="pct"/>
          </w:tcPr>
          <w:p w14:paraId="141594F2" w14:textId="77777777" w:rsidR="005F24E9" w:rsidRPr="006B5366" w:rsidRDefault="005F24E9" w:rsidP="00D27A57">
            <w:pPr>
              <w:spacing w:after="0" w:line="240" w:lineRule="auto"/>
              <w:ind w:right="14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jungtis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Windows Server, Exchange Server, SharePoint Server, Skype for Business Server, Endpoint Manager.</w:t>
            </w:r>
          </w:p>
        </w:tc>
      </w:tr>
      <w:tr w:rsidR="005F24E9" w:rsidRPr="006B5366" w14:paraId="58753EB4" w14:textId="77777777" w:rsidTr="00D27A57">
        <w:trPr>
          <w:trHeight w:val="144"/>
        </w:trPr>
        <w:tc>
          <w:tcPr>
            <w:tcW w:w="1223" w:type="pct"/>
          </w:tcPr>
          <w:p w14:paraId="639B74C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Suderinamumas</w:t>
            </w:r>
            <w:proofErr w:type="spellEnd"/>
          </w:p>
        </w:tc>
        <w:tc>
          <w:tcPr>
            <w:tcW w:w="3777" w:type="pct"/>
          </w:tcPr>
          <w:p w14:paraId="5DDC87BE" w14:textId="77777777" w:rsidR="005F24E9" w:rsidRPr="006B5366" w:rsidRDefault="005F24E9" w:rsidP="00D27A57">
            <w:pPr>
              <w:spacing w:after="0" w:line="240" w:lineRule="auto"/>
              <w:ind w:right="140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Paslaugų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suderinamas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Microsoft Active Directory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vartotojų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tarnybą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vartotojų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sinchronizuoti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federuoti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paslaugos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tiekėjo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vartotojų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baze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  <w:p w14:paraId="70506D1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priskiriant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vartotojų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naudojamos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Microsoft Active directory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tarnybos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  <w:tr w:rsidR="005F24E9" w:rsidRPr="006B5366" w14:paraId="39A60CEC" w14:textId="77777777" w:rsidTr="00D27A57">
        <w:trPr>
          <w:trHeight w:val="144"/>
        </w:trPr>
        <w:tc>
          <w:tcPr>
            <w:tcW w:w="1223" w:type="pct"/>
          </w:tcPr>
          <w:p w14:paraId="24F3604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Atnaujinimas</w:t>
            </w:r>
            <w:proofErr w:type="spellEnd"/>
          </w:p>
        </w:tc>
        <w:tc>
          <w:tcPr>
            <w:tcW w:w="3777" w:type="pct"/>
          </w:tcPr>
          <w:p w14:paraId="27C131F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sutarties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išleistomis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versijomis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</w:tbl>
    <w:p w14:paraId="324A84D0" w14:textId="77777777" w:rsidR="005F24E9" w:rsidRPr="006B536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FD5F98C" w14:textId="77777777" w:rsidR="005F24E9" w:rsidRPr="006B5366" w:rsidRDefault="005F24E9" w:rsidP="005F24E9">
      <w:pPr>
        <w:ind w:left="680"/>
        <w:contextualSpacing/>
        <w:rPr>
          <w:rFonts w:ascii="Times New Roman" w:eastAsia="Arial Unicode MS" w:hAnsi="Times New Roman" w:cs="Times New Roman"/>
          <w:sz w:val="24"/>
          <w:szCs w:val="24"/>
          <w:u w:color="000000"/>
          <w:lang w:val="lt-LT"/>
        </w:rPr>
      </w:pPr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Microsoft</w:t>
      </w:r>
      <w:r w:rsidRPr="006B5366">
        <w:rPr>
          <w:rFonts w:ascii="Times New Roman" w:hAnsi="Times New Roman" w:cs="Times New Roman" w:hint="cs"/>
          <w:sz w:val="24"/>
          <w:szCs w:val="24"/>
          <w:u w:color="000000"/>
          <w:lang w:val="lt-LT"/>
        </w:rPr>
        <w:t xml:space="preserve"> 365 A5 naudotojo paketo licencija (naujausia gamintojo paskelbta versija) arba lygiavertės programinės įrangos licencija:</w:t>
      </w:r>
    </w:p>
    <w:p w14:paraId="7ED375D4" w14:textId="77777777" w:rsidR="005F24E9" w:rsidRPr="006B536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82"/>
      </w:tblGrid>
      <w:tr w:rsidR="005F24E9" w:rsidRPr="006B5366" w14:paraId="1B01EB66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3D88" w14:textId="77777777" w:rsidR="005F24E9" w:rsidRPr="006B5366" w:rsidRDefault="005F24E9" w:rsidP="00D2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Rodiklis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3318" w14:textId="77777777" w:rsidR="005F24E9" w:rsidRPr="006B5366" w:rsidRDefault="005F24E9" w:rsidP="00D27A57">
            <w:pPr>
              <w:spacing w:after="0" w:line="240" w:lineRule="auto"/>
              <w:ind w:left="57" w:hanging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Reikalaujama</w:t>
            </w:r>
            <w:proofErr w:type="spellEnd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</w:tr>
      <w:tr w:rsidR="005F24E9" w:rsidRPr="006B5366" w14:paraId="5DB49D12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D11" w14:textId="77777777" w:rsidR="005F24E9" w:rsidRPr="006B5366" w:rsidRDefault="005F24E9" w:rsidP="00D27A5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3D2" w14:textId="77777777" w:rsidR="005F24E9" w:rsidRPr="006B5366" w:rsidRDefault="005F24E9" w:rsidP="00D27A57">
            <w:pPr>
              <w:spacing w:after="0" w:line="240" w:lineRule="auto"/>
              <w:ind w:left="57" w:right="57" w:hanging="23"/>
              <w:rPr>
                <w:rFonts w:ascii="Times New Roman" w:hAnsi="Times New Roman" w:cs="Times New Roman"/>
                <w:sz w:val="24"/>
                <w:szCs w:val="24"/>
                <w:highlight w:val="lightGray"/>
                <w:u w:color="000000"/>
              </w:rPr>
            </w:pPr>
            <w:proofErr w:type="spellStart"/>
            <w:r w:rsidRPr="006B5366">
              <w:rPr>
                <w:rStyle w:val="normaltextrun"/>
                <w:rFonts w:ascii="Times New Roman" w:eastAsia="Times New Roman" w:hAnsi="Times New Roman" w:cs="Times New Roman" w:hint="cs"/>
                <w:sz w:val="24"/>
                <w:szCs w:val="24"/>
                <w:lang w:eastAsia="lt-LT"/>
              </w:rPr>
              <w:t>Nurodyti</w:t>
            </w:r>
            <w:proofErr w:type="spellEnd"/>
          </w:p>
        </w:tc>
      </w:tr>
      <w:tr w:rsidR="005F24E9" w:rsidRPr="006B5366" w14:paraId="26C1BA18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4B3" w14:textId="77777777" w:rsidR="005F24E9" w:rsidRPr="006B5366" w:rsidRDefault="005F24E9" w:rsidP="00D27A5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Firma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–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gamintoja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D13" w14:textId="77777777" w:rsidR="005F24E9" w:rsidRPr="006B5366" w:rsidRDefault="005F24E9" w:rsidP="00D27A57">
            <w:pPr>
              <w:spacing w:after="0" w:line="240" w:lineRule="auto"/>
              <w:ind w:left="57" w:right="57" w:hanging="23"/>
              <w:rPr>
                <w:rFonts w:ascii="Times New Roman" w:hAnsi="Times New Roman" w:cs="Times New Roman"/>
                <w:sz w:val="24"/>
                <w:szCs w:val="24"/>
                <w:highlight w:val="lightGray"/>
                <w:u w:color="000000"/>
              </w:rPr>
            </w:pPr>
            <w:proofErr w:type="spellStart"/>
            <w:r w:rsidRPr="006B5366">
              <w:rPr>
                <w:rStyle w:val="normaltextrun"/>
                <w:rFonts w:ascii="Times New Roman" w:eastAsia="Times New Roman" w:hAnsi="Times New Roman" w:cs="Times New Roman" w:hint="cs"/>
                <w:sz w:val="24"/>
                <w:szCs w:val="24"/>
                <w:lang w:eastAsia="lt-LT"/>
              </w:rPr>
              <w:t>Nurodyti</w:t>
            </w:r>
            <w:proofErr w:type="spellEnd"/>
          </w:p>
        </w:tc>
      </w:tr>
      <w:tr w:rsidR="005F24E9" w:rsidRPr="006B5366" w14:paraId="3BC2AA45" w14:textId="77777777" w:rsidTr="00D27A57">
        <w:trPr>
          <w:trHeight w:val="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C8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176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Licencijų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sudarytas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:</w:t>
            </w:r>
          </w:p>
          <w:p w14:paraId="4FAD71ED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Microsoft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4BF86491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režimu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1336F5DB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perdavimas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3E828A9B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įrankių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310C310E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jungimuisi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7618388B" w14:textId="77777777" w:rsidTr="00D27A57">
        <w:trPr>
          <w:trHeight w:val="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FE2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Palaikoma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operacinė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AC8D" w14:textId="77777777" w:rsidR="005F24E9" w:rsidRPr="00CF2DA2" w:rsidRDefault="005F24E9" w:rsidP="00D27A57">
            <w:pPr>
              <w:pStyle w:val="paragraph"/>
              <w:ind w:right="22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  <w:proofErr w:type="spellStart"/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1C98A1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Windows Professional 10/11.</w:t>
            </w:r>
          </w:p>
        </w:tc>
      </w:tr>
      <w:tr w:rsidR="005F24E9" w:rsidRPr="006B5366" w14:paraId="08F4B7F2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277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69D3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disko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integralumo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tikrinimo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disko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klaidų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taisymas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VPN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archyvavimo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posistemė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šešėlinių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kopijų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kūrimas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asmeninių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kredencialų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tvarkymas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vidinių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išorinių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laikmenų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bylų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leidžiančios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dirbti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atsijungus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(Offline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aplankai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Rankinis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firmos-gamintojos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vykdyti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taikomųjų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vykdyti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taikomųjų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paleidimo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kontrolę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pvz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uždrausti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taikomųjų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paleidimą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).</w:t>
            </w:r>
          </w:p>
        </w:tc>
      </w:tr>
      <w:tr w:rsidR="005F24E9" w:rsidRPr="006B5366" w14:paraId="611356A3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EC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E34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redaktorius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bazių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tvarkymo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universali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kaupimo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Licencijuotas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5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2C0629F7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DE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perdavimo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C80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apsikeitimas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767741EC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CCE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redaktoriui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6AC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dirbti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suderinamumą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Word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paruoštais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šablonais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kuriuose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makrokomandos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681AA966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8D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universaliai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kaupimo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E8E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įkelti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nuotraukų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pavidalu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28A40E3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piešimo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38C34680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atpažinimo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OCR)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leidžiantį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ieškoti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tekstinės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nuotraukų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formate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36747E82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bendro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knygutes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SharePoint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aplinkoje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2E260B2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siųsti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lapus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prikabintą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pat .pdf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0487C845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pakvietimas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užrašų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knygutės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54621794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FF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skaičiuoklei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45A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apdoroti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įvairiais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pjūviais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dinaminės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analizės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lentelėse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(pivot table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analogiškos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</w:t>
            </w:r>
          </w:p>
        </w:tc>
      </w:tr>
      <w:tr w:rsidR="005F24E9" w:rsidRPr="006B5366" w14:paraId="271DD91B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C2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119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žinučių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pranešimo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būsenos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indikatoriai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65D2D4F9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audio / video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Online meeting).</w:t>
            </w:r>
          </w:p>
          <w:p w14:paraId="64414F43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nukreipti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kolegoms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kt.). </w:t>
            </w:r>
          </w:p>
          <w:p w14:paraId="388AB261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išeinančių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istoriją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3BEA0270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paskambinti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Outlook, SharePoint, </w:t>
            </w:r>
          </w:p>
          <w:p w14:paraId="1B6C5C4E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praleistus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Outlook, Sype for Business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0583A3CF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03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talpyklai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1A2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Su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kiekvienu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mažesnė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1TB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talpykla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duomenims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35921200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94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sinchronizavimui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0F8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mokesčio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kiekvienam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mažesnę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100 GB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bus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0BB266B7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561B2BE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dėžutę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interneto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6B71452A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apsikeitimas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priverstinio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Push)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technologija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73775830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valdomas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resursų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rezervavimas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  <w:p w14:paraId="447F140F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nustatymus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komandinių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eilučių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scripting). </w:t>
            </w:r>
          </w:p>
          <w:p w14:paraId="5A316F92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Pametus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naudodamasis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pareikalauti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pamesto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mobilaus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panaikinimo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6B11E6A2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B4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talpinimui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F8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mokesčio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tiekėjo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serveriuose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2EB7842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sukurtas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51556FA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sinchronizaciją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gauti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redaguoti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atjungtu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rėžimu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55AA6A2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aukščiausio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lygio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antrines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susikurti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specialios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aukščiausio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lygio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sritimi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pvz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skirta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tik tam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tikrai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vykdyti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bendrą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paiešką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visose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srityse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gyvavimo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ciklo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priemonės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5B77BB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asmeninių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kalendorių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Darbo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sričių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supaprastintos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prieinamos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skaičiuoklės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anketų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peržiūrėti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interneto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formas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atvaizduoti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/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redaguoti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kliento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naršyklėje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garso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vaizdo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medžiagos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bibliotekų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riboti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apibrėžiant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roles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personalizuotą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svetainių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erdvę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papildomo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atlikti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paiešką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bylų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tarnybinėje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stotyje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120971E7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C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1D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795D6E3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24 val.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parą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7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dienas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savaitę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1059841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Tiekėjo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privalo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apimti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garso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vaizdo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www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tarp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dalyvių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žinučių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pranešimo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būsenos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indikatorius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susirašinėjimus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552DB0B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telefonijos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teikiamą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54E20D9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atsijungtus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(off-line).</w:t>
            </w:r>
          </w:p>
          <w:p w14:paraId="7F3025E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paskambinti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752B1D2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informuotam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praleistus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skambučius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grupinio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komunikacijos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).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audio/video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konferencijas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Online meeting),</w:t>
            </w:r>
          </w:p>
        </w:tc>
      </w:tr>
      <w:tr w:rsidR="005F24E9" w:rsidRPr="006B5366" w14:paraId="47EC79AD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896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Būtini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įrankių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rinkinio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funkciniai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moduliai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8C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434D7C4E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0EA6973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28044C3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Pažangioji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grėsmių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390BB15B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551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B9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politikų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pritaikymas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mobiliems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būdu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patiems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įtraukti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valdomų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sąrašą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diegti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pateikiamas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savitarnos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portalo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kartu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System Center Configuration </w:t>
            </w: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 xml:space="preserve">Manager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: Apple iOS, Android, Windows Phone, Windows RT.</w:t>
            </w: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br/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nuotoliniu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būdu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išvalyti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wipe)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mobilų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įrenginį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4F548F4E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4CE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70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katalogo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tarnyba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WEB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dviejų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faktorių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autentifikavimo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funkcionalumą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vieningo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single sign-on)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savarankiškai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pasikeisti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/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atstatyti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slaptažodį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  <w:p w14:paraId="313EBFE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privilegijuotos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tapatybės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5F358851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860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servisui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14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servisas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pagalba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galėtų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užšifruoti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bet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biuro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priskirti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kitam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stebėti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šifruoto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dokumento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sudaryta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eigoje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keisti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šiomis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: Windows, Apple iOS, Android.</w:t>
            </w:r>
          </w:p>
          <w:p w14:paraId="1A73955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automatizuotai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atlikti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klasifikavimą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</w:t>
            </w:r>
          </w:p>
        </w:tc>
      </w:tr>
      <w:tr w:rsidR="005F24E9" w:rsidRPr="006B5366" w14:paraId="4C4CC6B2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779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Reikalavimai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pažangiajai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grėsmių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3F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aptikti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elgseną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įtartiną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veiklą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vietos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prisijungimai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netipiniu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laiku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priėjimai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neįprastų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resursų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aptikti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kenkėjiškas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atakas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spragas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identifikuoti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bandymus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atspėti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slaptažodžius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panaudojant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įvairių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simbolių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kombinacijas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identifikuoti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nesankcionuotus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privilegijuotų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suteikimus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</w:t>
            </w:r>
          </w:p>
        </w:tc>
      </w:tr>
      <w:tr w:rsidR="005F24E9" w:rsidRPr="006B5366" w14:paraId="0C6D916C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734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analitika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5E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licencinė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verslo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analitikos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Power BI Professional.</w:t>
            </w:r>
          </w:p>
          <w:p w14:paraId="6180273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debesies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kompiuterijos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technologijų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pagrindu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nereikalaujant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stacionarios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iki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10 Gb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modelį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talpinant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integruotis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įstaigos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vartotojų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autentifikacijos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platforma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SQL Server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technologinio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pagrindo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saugyklomis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Data Warehouse)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kitais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šaltiniais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atvaizdavimo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sugeneruotų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ataskaitų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dalinimosi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aplikacijose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elektroniniu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paštu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programuojamas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sąsajas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(API).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debesyje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sugeneruotų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ataskaitų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cloud-based reports)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automatinį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atnaujinimą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šaltinių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realiu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laiku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suderinama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perdavimo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data gateway)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sprendimu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norint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jungtis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įstaigos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vidiniame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tinkle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esančių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saugyklų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kubų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vartotojo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role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apibrėžtą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saugą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kai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pasiekiami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tik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duomenys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kuriems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vartotojui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suteikta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prieiga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5F4E3E67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C4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Teisės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jungimuisi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organizacijoje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įdiegtų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serverių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1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jungtis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Windows Server, Exchange Server, SharePoint Server, Skype for Business Server, Endpoint Manager.</w:t>
            </w:r>
          </w:p>
        </w:tc>
      </w:tr>
      <w:tr w:rsidR="005F24E9" w:rsidRPr="006B5366" w14:paraId="0FEA90C8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C3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Paketas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vieno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24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Taip</w:t>
            </w:r>
          </w:p>
        </w:tc>
      </w:tr>
      <w:tr w:rsidR="005F24E9" w:rsidRPr="006B5366" w14:paraId="4D5383EC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0AF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sąsaja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C6A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Programinė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sąsają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atsižvelgiant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gamintojo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lietuvių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rusų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lenkų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kalbos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privalomos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).</w:t>
            </w:r>
          </w:p>
        </w:tc>
      </w:tr>
      <w:tr w:rsidR="005F24E9" w:rsidRPr="006B5366" w14:paraId="5BA881D9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07D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lastRenderedPageBreak/>
              <w:t>Centralizuotas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tvarkymas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4763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Operacinė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galimybę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autentifikuotis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Microsoft Active Directory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sistemoje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.</w:t>
            </w:r>
          </w:p>
        </w:tc>
      </w:tr>
      <w:tr w:rsidR="005F24E9" w:rsidRPr="006B5366" w14:paraId="563804AF" w14:textId="77777777" w:rsidTr="00D27A5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65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Atnaujinimas</w:t>
            </w:r>
            <w:proofErr w:type="spell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056" w14:textId="77777777" w:rsidR="005F24E9" w:rsidRPr="006B5366" w:rsidRDefault="005F24E9" w:rsidP="00D27A57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sutarties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išleistomis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versijomis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</w:tbl>
    <w:p w14:paraId="3E188790" w14:textId="77777777" w:rsidR="005F24E9" w:rsidRPr="006B536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E157EEC" w14:textId="77777777" w:rsidR="005F24E9" w:rsidRPr="006B5366" w:rsidRDefault="005F24E9" w:rsidP="005F24E9">
      <w:pPr>
        <w:ind w:left="68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Toc194088786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Microsoft 365 </w:t>
      </w:r>
      <w:proofErr w:type="spellStart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Copilot</w:t>
      </w:r>
      <w:proofErr w:type="spellEnd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 licencija (naujausia gamintojo paskelbta versija) arba lygiavertės programinės įrangos licencija</w:t>
      </w:r>
    </w:p>
    <w:p w14:paraId="29B2F4E2" w14:textId="77777777" w:rsidR="005F24E9" w:rsidRPr="006B5366" w:rsidRDefault="005F24E9" w:rsidP="005F24E9">
      <w:pPr>
        <w:ind w:left="6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7345"/>
      </w:tblGrid>
      <w:tr w:rsidR="005F24E9" w:rsidRPr="006B5366" w14:paraId="625BAFF3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95113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>Rodiklis</w:t>
            </w:r>
            <w:proofErr w:type="spellEnd"/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30F9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>Reikalaujama</w:t>
            </w:r>
            <w:proofErr w:type="spellEnd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>minimali</w:t>
            </w:r>
            <w:proofErr w:type="spellEnd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b/>
                <w:snapToGrid w:val="0"/>
                <w:sz w:val="24"/>
                <w:szCs w:val="24"/>
              </w:rPr>
              <w:t>reikšmė</w:t>
            </w:r>
            <w:proofErr w:type="spellEnd"/>
          </w:p>
        </w:tc>
      </w:tr>
      <w:tr w:rsidR="005F24E9" w:rsidRPr="006B5366" w14:paraId="484D29D5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9E1E7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napToGrid w:val="0"/>
                <w:sz w:val="24"/>
                <w:szCs w:val="24"/>
              </w:rPr>
              <w:t>Gamintojas</w:t>
            </w:r>
            <w:proofErr w:type="spellEnd"/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C58F2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nurodo</w:t>
            </w:r>
            <w:proofErr w:type="spellEnd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tiekėjas</w:t>
            </w:r>
            <w:proofErr w:type="spellEnd"/>
          </w:p>
        </w:tc>
      </w:tr>
      <w:tr w:rsidR="005F24E9" w:rsidRPr="006B5366" w14:paraId="66A466B6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BC20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napToGrid w:val="0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FF91B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nurodo</w:t>
            </w:r>
            <w:proofErr w:type="spellEnd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i/>
                <w:snapToGrid w:val="0"/>
                <w:sz w:val="24"/>
                <w:szCs w:val="24"/>
              </w:rPr>
              <w:t>tiekėjas</w:t>
            </w:r>
            <w:proofErr w:type="spellEnd"/>
          </w:p>
        </w:tc>
      </w:tr>
      <w:tr w:rsidR="005F24E9" w:rsidRPr="006B5366" w14:paraId="6FE28CB4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2F28" w14:textId="77777777" w:rsidR="005F24E9" w:rsidRPr="006B5366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Palaikoma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operacinė</w:t>
            </w:r>
            <w:proofErr w:type="spellEnd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Style w:val="normaltextrun"/>
                <w:rFonts w:ascii="Times New Roman" w:hAnsi="Times New Roman" w:cs="Times New Roman" w:hint="cs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F9A" w14:textId="77777777" w:rsidR="005F24E9" w:rsidRPr="00CF2DA2" w:rsidRDefault="005F24E9" w:rsidP="00D27A57">
            <w:pPr>
              <w:pStyle w:val="paragraph"/>
              <w:ind w:right="22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Windows </w:t>
            </w:r>
            <w:proofErr w:type="spellStart"/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10/</w:t>
            </w: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05217D" w14:textId="77777777" w:rsidR="005F24E9" w:rsidRPr="006B5366" w:rsidRDefault="005F24E9" w:rsidP="00D27A57">
            <w:pPr>
              <w:spacing w:after="0" w:line="240" w:lineRule="auto"/>
              <w:ind w:left="45" w:right="45"/>
              <w:textAlignment w:val="baseline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CF2DA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Windows Professional 10/11.</w:t>
            </w:r>
          </w:p>
        </w:tc>
      </w:tr>
      <w:tr w:rsidR="005F24E9" w:rsidRPr="006B5366" w14:paraId="08B5CCF2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CBC7E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Funkcionalumo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reikalavimai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0536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Microsoft 365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paketo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įranga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Microsoft Word, Excel, PowerPoint, Outlook Teams, OneNote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šias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funkcijas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: </w:t>
            </w:r>
          </w:p>
          <w:p w14:paraId="1E8CE7D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Copilot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Word -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rengiamo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dokumento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suvestinės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generavimas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apdorojimas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vizualizavimas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lentelės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pavidalu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surinkimas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generavimas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kelių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skirtingų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dokumentų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; </w:t>
            </w:r>
          </w:p>
          <w:p w14:paraId="1EA733C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Copilot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Excel –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apdorojimas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realiu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laiku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pateiktas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užklausas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vizualizavimas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interpretavimas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rūšiavimas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kt.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veiksmai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; </w:t>
            </w:r>
          </w:p>
          <w:p w14:paraId="0F7AC2EC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Copilot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Outlook –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rengiamų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laiškų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apibendrinimas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atsižvelgiant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į tai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siūlomų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veiksmų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atsakymas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parengimas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kt.; </w:t>
            </w:r>
          </w:p>
          <w:p w14:paraId="739498D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Copilot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Teams –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pokalbių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apibendrinimas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susitikimų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pateiktą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užklausą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sukūrimas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susitikimų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dienotvarkės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sugeneravimas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atsižvelgiant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į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pokalbių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istoriją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kt.; </w:t>
            </w:r>
          </w:p>
          <w:p w14:paraId="26B890C1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Copilot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integracija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PowerPoint –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prezentacijos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generavimas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pateiktą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užklausą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automatizuotas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pranešėjui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skirto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sugeneravimas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apibendrinimas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išskiriant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pagrindines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mintis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pateikto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teksto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kt. </w:t>
            </w:r>
          </w:p>
          <w:p w14:paraId="1196006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administruoti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Copilot for Microsoft 365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parametrus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administravimo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centre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 </w:t>
            </w:r>
          </w:p>
          <w:p w14:paraId="4299288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 </w:t>
            </w:r>
          </w:p>
        </w:tc>
      </w:tr>
      <w:tr w:rsidR="005F24E9" w:rsidRPr="006B5366" w14:paraId="4A3A32D7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40EF8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Licencijavimas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F1CA2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Licencija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turi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priskiriama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vartotojui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u w:color="000000"/>
              </w:rPr>
              <w:t xml:space="preserve"> Per User)</w:t>
            </w:r>
          </w:p>
        </w:tc>
      </w:tr>
      <w:tr w:rsidR="005F24E9" w:rsidRPr="006B5366" w14:paraId="68B86566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D4098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Vartotojo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sąsaja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3D392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Programinė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įranga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turi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palaikyti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ir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užtikrinti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daugiakalbę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vartotojo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sąsają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atsižvelgiant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į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gamintojo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galimybes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anglų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kalba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privaloma</w:t>
            </w:r>
            <w:proofErr w:type="spellEnd"/>
            <w:r w:rsidRPr="006B5366">
              <w:rPr>
                <w:rFonts w:ascii="Times New Roman" w:eastAsia="Times New Roman" w:hAnsi="Times New Roman" w:cs="Times New Roman" w:hint="cs"/>
                <w:sz w:val="24"/>
                <w:szCs w:val="24"/>
                <w:lang w:eastAsia="en-GB"/>
              </w:rPr>
              <w:t>). </w:t>
            </w:r>
          </w:p>
        </w:tc>
      </w:tr>
      <w:tr w:rsidR="005F24E9" w:rsidRPr="006B5366" w14:paraId="41B4A686" w14:textId="77777777" w:rsidTr="00D27A57">
        <w:trPr>
          <w:trHeight w:val="300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E056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Atnaujinimas</w:t>
            </w:r>
            <w:proofErr w:type="spellEnd"/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F465" w14:textId="77777777" w:rsidR="005F24E9" w:rsidRPr="006B5366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sutarties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išleistomis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versijomis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</w:tbl>
    <w:p w14:paraId="4A6548BB" w14:textId="77777777" w:rsidR="005F24E9" w:rsidRDefault="005F24E9" w:rsidP="005F24E9">
      <w:pPr>
        <w:ind w:left="680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p w14:paraId="2AA416E9" w14:textId="77777777" w:rsidR="005F24E9" w:rsidRPr="00FD7093" w:rsidRDefault="005F24E9" w:rsidP="005F24E9">
      <w:pPr>
        <w:spacing w:after="0" w:line="240" w:lineRule="auto"/>
        <w:ind w:left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709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Microsoft Windows Server Standard </w:t>
      </w:r>
      <w:proofErr w:type="spellStart"/>
      <w:r w:rsidRPr="00FD7093">
        <w:rPr>
          <w:rFonts w:ascii="Times New Roman" w:eastAsia="Times New Roman" w:hAnsi="Times New Roman" w:cs="Times New Roman"/>
          <w:sz w:val="24"/>
          <w:szCs w:val="24"/>
          <w:lang w:val="lt-LT"/>
        </w:rPr>
        <w:t>Core</w:t>
      </w:r>
      <w:proofErr w:type="spellEnd"/>
      <w:r w:rsidRPr="00FD709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 licencija (naujausia gamintojo paskelbta versija) arba lygiavertės programinės įrangos licencija</w:t>
      </w:r>
      <w:r w:rsidRPr="00FD70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0FAE7A" w14:textId="77777777" w:rsidR="005F24E9" w:rsidRPr="00FD7093" w:rsidRDefault="005F24E9" w:rsidP="005F24E9">
      <w:pPr>
        <w:spacing w:line="240" w:lineRule="auto"/>
        <w:ind w:left="67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3620"/>
        <w:gridCol w:w="3774"/>
      </w:tblGrid>
      <w:tr w:rsidR="005F24E9" w:rsidRPr="00FD7093" w14:paraId="6A77C44C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56340" w14:textId="77777777" w:rsidR="005F24E9" w:rsidRPr="00FD7093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Rodiklis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D5B81" w14:textId="77777777" w:rsidR="005F24E9" w:rsidRPr="00FD7093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Reikalaujama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C21C2" w14:textId="77777777" w:rsidR="005F24E9" w:rsidRPr="00FD7093" w:rsidRDefault="005F24E9" w:rsidP="00D27A57">
            <w:pPr>
              <w:spacing w:after="0" w:line="240" w:lineRule="auto"/>
              <w:ind w:left="4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Siūloma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4E9" w:rsidRPr="00FD7093" w14:paraId="6B59C88A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299FD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A347C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C4E04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4E9" w:rsidRPr="00FD7093" w14:paraId="7939481B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F5535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Firma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gamintojas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4D4DB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6A01C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4E9" w:rsidRPr="00FD7093" w14:paraId="0678576A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03044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Funkcionalumo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86F4E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parašo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modulių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RAID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kūrimas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naudojantis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operacine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Naudotojų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bazės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„Active Directory“)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sertifikatų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tarnyba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terminalinės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tarnyba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teisių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tarnyba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failų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klasifikavimo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tarnyba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prižiūryklė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operacinės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sudėtyje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palaikyti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trečiųjų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sukurtas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 v3.5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aplinkoje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palaikyti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64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mazgų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resursų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perkėlimo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blokinį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„failover clustering“), 64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bitų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platformas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2CB92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4E9" w:rsidRPr="00FD7093" w14:paraId="3493CD58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E39E6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Licencijavimas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015D5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Licencijuojama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procesoriaus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branduolių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skaičių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„per Core“). </w:t>
            </w:r>
          </w:p>
          <w:p w14:paraId="291247B9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suteikta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licencinė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teisė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žiau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nei </w:t>
            </w: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virtualius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serverius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licencijuoti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fizinius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procesoriaus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branduolius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58A7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4E9" w:rsidRPr="00FD7093" w14:paraId="2EC704DA" w14:textId="77777777" w:rsidTr="00D27A57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9782B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Atnaujinimas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3E33D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suteikti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teisę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naudotis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galiojimo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išleistomis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naujomis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versijomis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pasirinktinomis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senesnėmis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versijomis</w:t>
            </w:r>
            <w:proofErr w:type="spellEnd"/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157EC" w14:textId="77777777" w:rsidR="005F24E9" w:rsidRPr="00FD7093" w:rsidRDefault="005F24E9" w:rsidP="00D27A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411EC73" w14:textId="77777777" w:rsidR="005F24E9" w:rsidRPr="006B5366" w:rsidRDefault="005F24E9" w:rsidP="005F2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8B5AB" w14:textId="77777777" w:rsidR="005F24E9" w:rsidRPr="006B5366" w:rsidRDefault="005F24E9" w:rsidP="005F24E9">
      <w:pPr>
        <w:ind w:left="68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Microsoft SQL Server Standard </w:t>
      </w:r>
      <w:proofErr w:type="spellStart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Core</w:t>
      </w:r>
      <w:proofErr w:type="spellEnd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 2 licencija (naujausia gamintojo paskelbta versija) arba lygiavertės programinės įrang</w:t>
      </w:r>
      <w:bookmarkEnd w:id="0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os licencija</w:t>
      </w:r>
    </w:p>
    <w:p w14:paraId="094E3C50" w14:textId="77777777" w:rsidR="005F24E9" w:rsidRPr="006B5366" w:rsidRDefault="005F24E9" w:rsidP="005F24E9">
      <w:pPr>
        <w:ind w:left="6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7163"/>
      </w:tblGrid>
      <w:tr w:rsidR="005F24E9" w:rsidRPr="006B5366" w14:paraId="7EE4360D" w14:textId="77777777" w:rsidTr="00D27A57">
        <w:tc>
          <w:tcPr>
            <w:tcW w:w="2282" w:type="dxa"/>
          </w:tcPr>
          <w:p w14:paraId="196C7EB7" w14:textId="77777777" w:rsidR="005F24E9" w:rsidRPr="006B5366" w:rsidRDefault="005F24E9" w:rsidP="00D27A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Rodiklis</w:t>
            </w:r>
            <w:proofErr w:type="spellEnd"/>
          </w:p>
        </w:tc>
        <w:tc>
          <w:tcPr>
            <w:tcW w:w="7163" w:type="dxa"/>
          </w:tcPr>
          <w:p w14:paraId="7245E80D" w14:textId="77777777" w:rsidR="005F24E9" w:rsidRPr="006B5366" w:rsidRDefault="005F24E9" w:rsidP="00D27A5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Reikalaujama</w:t>
            </w:r>
            <w:proofErr w:type="spellEnd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</w:tr>
      <w:tr w:rsidR="005F24E9" w:rsidRPr="006B5366" w14:paraId="5231E0B3" w14:textId="77777777" w:rsidTr="00D27A57">
        <w:tc>
          <w:tcPr>
            <w:tcW w:w="2282" w:type="dxa"/>
          </w:tcPr>
          <w:p w14:paraId="13FA905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7163" w:type="dxa"/>
          </w:tcPr>
          <w:p w14:paraId="0E7FA6E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Nurodyti</w:t>
            </w:r>
            <w:proofErr w:type="spellEnd"/>
          </w:p>
        </w:tc>
      </w:tr>
      <w:tr w:rsidR="005F24E9" w:rsidRPr="006B5366" w14:paraId="5046EC88" w14:textId="77777777" w:rsidTr="00D27A57">
        <w:tc>
          <w:tcPr>
            <w:tcW w:w="2282" w:type="dxa"/>
          </w:tcPr>
          <w:p w14:paraId="5E86207F" w14:textId="77777777" w:rsidR="005F24E9" w:rsidRPr="006B5366" w:rsidRDefault="005F24E9" w:rsidP="00D27A57">
            <w:pPr>
              <w:pStyle w:val="Komentaroteksta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Firma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–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gamintoja</w:t>
            </w:r>
            <w:proofErr w:type="spellEnd"/>
          </w:p>
        </w:tc>
        <w:tc>
          <w:tcPr>
            <w:tcW w:w="7163" w:type="dxa"/>
          </w:tcPr>
          <w:p w14:paraId="5A99907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Nurodyti</w:t>
            </w:r>
            <w:proofErr w:type="spellEnd"/>
          </w:p>
        </w:tc>
      </w:tr>
      <w:tr w:rsidR="005F24E9" w:rsidRPr="006B5366" w14:paraId="2C200290" w14:textId="77777777" w:rsidTr="00D27A57">
        <w:tc>
          <w:tcPr>
            <w:tcW w:w="2282" w:type="dxa"/>
          </w:tcPr>
          <w:p w14:paraId="4BED010F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Funkcionalumo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7163" w:type="dxa"/>
          </w:tcPr>
          <w:p w14:paraId="5E4E8C9E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užtikrintas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užklausų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vykdymas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per OLE DB. </w:t>
            </w:r>
          </w:p>
          <w:p w14:paraId="06756005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šaltinių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  <w:p w14:paraId="5FF15264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automatinis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sistemos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adaptavimas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besikeičiančių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užklausų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</w:t>
            </w:r>
          </w:p>
          <w:p w14:paraId="47F2B77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ataskaitų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ir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tarnybos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</w:t>
            </w:r>
          </w:p>
          <w:p w14:paraId="45755B1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aukšto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prieinamumo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bazių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atspindys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tarp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skirtingų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serverių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</w:t>
            </w:r>
          </w:p>
          <w:p w14:paraId="4233B1A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užtikrinti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gavybos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„data mining“)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technologijų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palaikymą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</w:t>
            </w:r>
          </w:p>
          <w:p w14:paraId="54326380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Geo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informacijos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Planar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Geodetic).</w:t>
            </w:r>
          </w:p>
        </w:tc>
      </w:tr>
      <w:tr w:rsidR="005F24E9" w:rsidRPr="006B5366" w14:paraId="48CFA905" w14:textId="77777777" w:rsidTr="00D27A57">
        <w:tc>
          <w:tcPr>
            <w:tcW w:w="2282" w:type="dxa"/>
          </w:tcPr>
          <w:p w14:paraId="630F18B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Palaikomi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tinklo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protokolai</w:t>
            </w:r>
            <w:proofErr w:type="spellEnd"/>
          </w:p>
        </w:tc>
        <w:tc>
          <w:tcPr>
            <w:tcW w:w="7163" w:type="dxa"/>
          </w:tcPr>
          <w:p w14:paraId="55340C7B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TCP/IP sockets, Named pipes</w:t>
            </w:r>
          </w:p>
        </w:tc>
      </w:tr>
      <w:tr w:rsidR="005F24E9" w:rsidRPr="006B5366" w14:paraId="2318EE63" w14:textId="77777777" w:rsidTr="00D27A57">
        <w:tc>
          <w:tcPr>
            <w:tcW w:w="2282" w:type="dxa"/>
          </w:tcPr>
          <w:p w14:paraId="6193F29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Palaikomų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branduolių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kiekis</w:t>
            </w:r>
            <w:proofErr w:type="spellEnd"/>
          </w:p>
        </w:tc>
        <w:tc>
          <w:tcPr>
            <w:tcW w:w="7163" w:type="dxa"/>
          </w:tcPr>
          <w:p w14:paraId="03CE7987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palaikomai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24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procesoriaus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branduoliai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  <w:tr w:rsidR="005F24E9" w:rsidRPr="006B5366" w14:paraId="1842029A" w14:textId="77777777" w:rsidTr="00D27A57">
        <w:tc>
          <w:tcPr>
            <w:tcW w:w="2282" w:type="dxa"/>
          </w:tcPr>
          <w:p w14:paraId="0E7E043D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lastRenderedPageBreak/>
              <w:t>Valdymo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galimybės</w:t>
            </w:r>
            <w:proofErr w:type="spellEnd"/>
          </w:p>
        </w:tc>
        <w:tc>
          <w:tcPr>
            <w:tcW w:w="7163" w:type="dxa"/>
          </w:tcPr>
          <w:p w14:paraId="13755B73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grafinė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konsolė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serveryje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nutolusioje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darbo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vietoje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būti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galimybė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valdyti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komandinės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eilutės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komandomis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  <w:tr w:rsidR="005F24E9" w:rsidRPr="006B5366" w14:paraId="38F726A2" w14:textId="77777777" w:rsidTr="00D27A57">
        <w:tc>
          <w:tcPr>
            <w:tcW w:w="2282" w:type="dxa"/>
          </w:tcPr>
          <w:p w14:paraId="376A8DC9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Operatyviosios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atminties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palaikymas</w:t>
            </w:r>
            <w:proofErr w:type="spellEnd"/>
          </w:p>
        </w:tc>
        <w:tc>
          <w:tcPr>
            <w:tcW w:w="7163" w:type="dxa"/>
          </w:tcPr>
          <w:p w14:paraId="0DCE289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128GB</w:t>
            </w:r>
          </w:p>
        </w:tc>
      </w:tr>
      <w:tr w:rsidR="005F24E9" w:rsidRPr="006B5366" w14:paraId="6F52358D" w14:textId="77777777" w:rsidTr="00D27A57">
        <w:tc>
          <w:tcPr>
            <w:tcW w:w="2282" w:type="dxa"/>
          </w:tcPr>
          <w:p w14:paraId="7C91D42A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Blokinių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cluster)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palaikymas</w:t>
            </w:r>
            <w:proofErr w:type="spellEnd"/>
          </w:p>
        </w:tc>
        <w:tc>
          <w:tcPr>
            <w:tcW w:w="7163" w:type="dxa"/>
          </w:tcPr>
          <w:p w14:paraId="01853BC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2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blokinio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narių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2-node cluster)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palaikymas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  <w:tr w:rsidR="005F24E9" w:rsidRPr="006B5366" w14:paraId="19A22405" w14:textId="77777777" w:rsidTr="00D27A57">
        <w:tc>
          <w:tcPr>
            <w:tcW w:w="2282" w:type="dxa"/>
          </w:tcPr>
          <w:p w14:paraId="3FDD4548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Licencijavimo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7163" w:type="dxa"/>
          </w:tcPr>
          <w:p w14:paraId="26B79F1E" w14:textId="77777777" w:rsidR="005F24E9" w:rsidRPr="006B5366" w:rsidRDefault="005F24E9" w:rsidP="00D2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Licencijuojama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pagal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procesoriaus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branduolių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skaičių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angl.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„per Core“).</w:t>
            </w:r>
          </w:p>
          <w:p w14:paraId="6D601212" w14:textId="77777777" w:rsidR="005F24E9" w:rsidRPr="006B5366" w:rsidRDefault="005F24E9" w:rsidP="00D2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licencinę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2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procesoriaus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branduolius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arba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jei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naudojama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virtualioje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aplinkoje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licencinė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teisė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ne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mažiau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kaip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2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virtulius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procesorius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.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Naudotojų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prisijungimui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prie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duomenų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bazių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nereikalingos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papildomos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licencijos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  <w:tr w:rsidR="005F24E9" w:rsidRPr="006B5366" w14:paraId="3C4DE24A" w14:textId="77777777" w:rsidTr="00D27A57">
        <w:tc>
          <w:tcPr>
            <w:tcW w:w="2282" w:type="dxa"/>
          </w:tcPr>
          <w:p w14:paraId="7C4C817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Atnaujinimas</w:t>
            </w:r>
            <w:proofErr w:type="spellEnd"/>
          </w:p>
        </w:tc>
        <w:tc>
          <w:tcPr>
            <w:tcW w:w="7163" w:type="dxa"/>
          </w:tcPr>
          <w:p w14:paraId="1E0EE402" w14:textId="77777777" w:rsidR="005F24E9" w:rsidRPr="006B5366" w:rsidRDefault="005F24E9" w:rsidP="00D2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Turi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turėti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suteikti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teisę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naudotis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sutarties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galiojimo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metu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išleistomis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naujomis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versijomis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pasirinktinomis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senesnėmis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programų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versijomis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</w:rPr>
              <w:t>.</w:t>
            </w:r>
          </w:p>
        </w:tc>
      </w:tr>
    </w:tbl>
    <w:p w14:paraId="12EF0841" w14:textId="77777777" w:rsidR="005F24E9" w:rsidRPr="006B5366" w:rsidRDefault="005F24E9" w:rsidP="005F2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C5125" w14:textId="77777777" w:rsidR="005F24E9" w:rsidRPr="006B5366" w:rsidRDefault="005F24E9" w:rsidP="005F24E9">
      <w:pPr>
        <w:ind w:firstLine="680"/>
        <w:rPr>
          <w:rFonts w:ascii="Times New Roman" w:hAnsi="Times New Roman" w:cs="Times New Roman"/>
          <w:sz w:val="24"/>
          <w:szCs w:val="24"/>
          <w:lang w:val="lt-LT"/>
        </w:rPr>
      </w:pPr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Microsoft </w:t>
      </w:r>
      <w:proofErr w:type="spellStart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Azure</w:t>
      </w:r>
      <w:proofErr w:type="spellEnd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 </w:t>
      </w:r>
      <w:proofErr w:type="spellStart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Monetary</w:t>
      </w:r>
      <w:proofErr w:type="spellEnd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 </w:t>
      </w:r>
      <w:proofErr w:type="spellStart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>Commitment</w:t>
      </w:r>
      <w:proofErr w:type="spellEnd"/>
      <w:r w:rsidRPr="006B5366">
        <w:rPr>
          <w:rFonts w:ascii="Times New Roman" w:hAnsi="Times New Roman" w:cs="Times New Roman" w:hint="cs"/>
          <w:sz w:val="24"/>
          <w:szCs w:val="24"/>
          <w:lang w:val="lt-LT"/>
        </w:rPr>
        <w:t xml:space="preserve"> arba  lygiavertė </w:t>
      </w:r>
    </w:p>
    <w:p w14:paraId="1461E6BD" w14:textId="77777777" w:rsidR="005F24E9" w:rsidRPr="006B536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4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742"/>
      </w:tblGrid>
      <w:tr w:rsidR="005F24E9" w:rsidRPr="006B5366" w14:paraId="5E181E5C" w14:textId="77777777" w:rsidTr="00D27A57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DDA287" w14:textId="77777777" w:rsidR="005F24E9" w:rsidRPr="006B5366" w:rsidRDefault="005F24E9" w:rsidP="00D27A57">
            <w:pPr>
              <w:ind w:left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val="lt-LT"/>
              </w:rPr>
              <w:t>Rodiklis</w:t>
            </w: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 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0BB8E" w14:textId="77777777" w:rsidR="005F24E9" w:rsidRPr="006B5366" w:rsidRDefault="005F24E9" w:rsidP="00D27A57">
            <w:pPr>
              <w:ind w:left="6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lang w:val="lt-LT"/>
              </w:rPr>
              <w:t>Reikalaujama reikšmė</w:t>
            </w: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 </w:t>
            </w:r>
          </w:p>
        </w:tc>
      </w:tr>
      <w:tr w:rsidR="005F24E9" w:rsidRPr="006B5366" w14:paraId="3DA4A45F" w14:textId="77777777" w:rsidTr="00D27A57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519F4A" w14:textId="77777777" w:rsidR="005F24E9" w:rsidRPr="006B5366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Funkcionalumo reikalavimai 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8BAFD" w14:textId="77777777" w:rsidR="005F24E9" w:rsidRPr="006B5366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Galimybė naudotis viešos debesijos paslaugų platformos Microsoft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Azure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 arba lygiavertės debesijos paslaugų platformos resursais, kaip: </w:t>
            </w:r>
          </w:p>
          <w:p w14:paraId="730A6555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virtualios mašinos, įtraukiant visas programinės įrangos licencines sąnaudas; </w:t>
            </w:r>
          </w:p>
          <w:p w14:paraId="70DE5D98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duomenų bazės, įtraukiant visas programinės įrangos licencines sąnaudas; </w:t>
            </w:r>
          </w:p>
          <w:p w14:paraId="1DB989D4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duomenų saugykla; </w:t>
            </w:r>
          </w:p>
          <w:p w14:paraId="71E95C5C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rezervinis duomenų ir virtualių mašinų kopijavimas; </w:t>
            </w:r>
          </w:p>
          <w:p w14:paraId="2089272A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analitikos paslaugos, kaip mašininis mokymasis (angl. „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machine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learning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“); </w:t>
            </w:r>
          </w:p>
          <w:p w14:paraId="48B045E8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duomenų srauto greitinimo paslaugos (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content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delivery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network</w:t>
            </w:r>
            <w:proofErr w:type="spellEnd"/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); </w:t>
            </w:r>
          </w:p>
          <w:p w14:paraId="2D76B258" w14:textId="77777777" w:rsidR="005F24E9" w:rsidRPr="006B5366" w:rsidRDefault="005F24E9" w:rsidP="005F24E9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kelių faktorių autentifikacija. </w:t>
            </w:r>
          </w:p>
        </w:tc>
      </w:tr>
      <w:tr w:rsidR="005F24E9" w:rsidRPr="006B5366" w14:paraId="7712ECF2" w14:textId="77777777" w:rsidTr="00D27A57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2B882" w14:textId="77777777" w:rsidR="005F24E9" w:rsidRPr="006B5366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Debesijos paslaugų platformos resursų apimtis 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AD57ED" w14:textId="3ECEF3F2" w:rsidR="005F24E9" w:rsidRPr="00CF2DA2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64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Ne mažiau kaip </w:t>
            </w:r>
            <w:r w:rsidRPr="00CF2DA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4,094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Eu</w:t>
            </w:r>
            <w:r w:rsidR="0033451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</w:p>
        </w:tc>
      </w:tr>
      <w:tr w:rsidR="005F24E9" w:rsidRPr="00433BFB" w14:paraId="5A2B3796" w14:textId="77777777" w:rsidTr="00D27A57">
        <w:trPr>
          <w:trHeight w:val="300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8F58E" w14:textId="77777777" w:rsidR="005F24E9" w:rsidRPr="006B5366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>Vartotojo sąsaja 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102F4" w14:textId="77777777" w:rsidR="005F24E9" w:rsidRPr="006B5366" w:rsidRDefault="005F24E9" w:rsidP="00D27A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5366">
              <w:rPr>
                <w:rFonts w:ascii="Times New Roman" w:hAnsi="Times New Roman" w:cs="Times New Roman" w:hint="cs"/>
                <w:sz w:val="24"/>
                <w:szCs w:val="24"/>
                <w:lang w:val="lt-LT"/>
              </w:rPr>
              <w:t xml:space="preserve"> turi palaikyti ir užtikrinti daugiakalbę vartotojo sąsają, atsižvelgiant į gamintojo galimybes (anglų kalba privaloma). </w:t>
            </w:r>
          </w:p>
        </w:tc>
      </w:tr>
    </w:tbl>
    <w:p w14:paraId="47005361" w14:textId="77777777" w:rsidR="005F24E9" w:rsidRDefault="005F24E9" w:rsidP="005F24E9">
      <w:pPr>
        <w:rPr>
          <w:lang w:val="lt-LT"/>
        </w:rPr>
      </w:pPr>
    </w:p>
    <w:p w14:paraId="728B7A90" w14:textId="77777777" w:rsidR="005F24E9" w:rsidRPr="007249B6" w:rsidRDefault="005F24E9" w:rsidP="005F24E9">
      <w:pPr>
        <w:rPr>
          <w:rFonts w:eastAsia="Times New Roman"/>
          <w:bCs/>
          <w:lang w:val="lt-LT"/>
        </w:rPr>
      </w:pPr>
    </w:p>
    <w:p w14:paraId="6BE9EDB5" w14:textId="77777777" w:rsidR="005F24E9" w:rsidRPr="007249B6" w:rsidRDefault="005F24E9" w:rsidP="005F24E9">
      <w:pPr>
        <w:ind w:firstLine="680"/>
        <w:rPr>
          <w:rFonts w:ascii="Times New Roman" w:hAnsi="Times New Roman" w:cs="Times New Roman"/>
          <w:bCs/>
          <w:sz w:val="24"/>
          <w:szCs w:val="24"/>
        </w:rPr>
      </w:pPr>
      <w:r w:rsidRPr="007249B6">
        <w:rPr>
          <w:rFonts w:ascii="Times New Roman" w:hAnsi="Times New Roman" w:cs="Times New Roman"/>
          <w:bCs/>
          <w:sz w:val="24"/>
          <w:szCs w:val="24"/>
        </w:rPr>
        <w:t xml:space="preserve">Microsoft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licencijų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garantija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arba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lygiaverčių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licencijų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gamintojo</w:t>
      </w:r>
      <w:proofErr w:type="spellEnd"/>
      <w:r w:rsidRPr="007249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49B6">
        <w:rPr>
          <w:rFonts w:ascii="Times New Roman" w:hAnsi="Times New Roman" w:cs="Times New Roman"/>
          <w:bCs/>
          <w:sz w:val="24"/>
          <w:szCs w:val="24"/>
        </w:rPr>
        <w:t>garantija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angl.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Support)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6"/>
        <w:gridCol w:w="3629"/>
        <w:gridCol w:w="3828"/>
      </w:tblGrid>
      <w:tr w:rsidR="005F24E9" w:rsidRPr="007249B6" w14:paraId="2A58F43E" w14:textId="77777777" w:rsidTr="00D27A57">
        <w:trPr>
          <w:trHeight w:val="19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11B4A" w14:textId="77777777" w:rsidR="005F24E9" w:rsidRPr="007249B6" w:rsidRDefault="005F24E9" w:rsidP="00D27A5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9093F7" w14:textId="77777777" w:rsidR="005F24E9" w:rsidRPr="007249B6" w:rsidRDefault="005F24E9" w:rsidP="00D27A57">
            <w:pPr>
              <w:spacing w:line="25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Reikalaujama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  <w:proofErr w:type="spellEnd"/>
          </w:p>
          <w:p w14:paraId="07893969" w14:textId="77777777" w:rsidR="005F24E9" w:rsidRPr="007249B6" w:rsidRDefault="005F24E9" w:rsidP="00D27A57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Reikalaujama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parametro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blogiau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  <w:proofErr w:type="spellEnd"/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C19FB" w14:textId="77777777" w:rsidR="005F24E9" w:rsidRPr="007249B6" w:rsidRDefault="005F24E9" w:rsidP="00D27A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24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</w:t>
            </w:r>
            <w:proofErr w:type="spellEnd"/>
            <w:r w:rsidRPr="00724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rodiklio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724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reikšmė</w:t>
            </w:r>
            <w:proofErr w:type="spellEnd"/>
            <w:r w:rsidRPr="00724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6C2D8BCC" w14:textId="77777777" w:rsidR="005F24E9" w:rsidRPr="007249B6" w:rsidRDefault="005F24E9" w:rsidP="00D27A57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Tiekėjas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privalo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patvirtinti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atitikimą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reikalavimui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nurodydamas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taip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/ne,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ir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kur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to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reikalaujama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įrašyti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tikslią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siūlomo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rodiklio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reikšmę</w:t>
            </w:r>
            <w:proofErr w:type="spellEnd"/>
            <w:r w:rsidRPr="007249B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5F24E9" w:rsidRPr="007249B6" w14:paraId="7EE8F2F5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DFD" w14:textId="77777777" w:rsidR="005F24E9" w:rsidRPr="007249B6" w:rsidRDefault="005F24E9" w:rsidP="00D27A57">
            <w:pPr>
              <w:spacing w:line="256" w:lineRule="auto"/>
              <w:jc w:val="lef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Funkcionalumo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96FB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Galimybė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registruoti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klientui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ar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tiekėjui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kliento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vardu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neribotą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kiekį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incidentų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Microsoft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pagalbos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tarnyboje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arba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lygiaverčio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pagalbos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tarnybos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sistemoje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32FDED62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Galimybė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gauti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dedikuotą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pagalbos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inžinierių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kern w:val="24"/>
                <w:sz w:val="24"/>
                <w:szCs w:val="24"/>
              </w:rPr>
              <w:t>.</w:t>
            </w:r>
          </w:p>
          <w:p w14:paraId="5288860B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Galimybė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tiesiogiai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prieiti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klientui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ar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tiekėjui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kliento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vardu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prie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trečio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lygio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Microsoft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pagalbos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tarnybos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arba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lygiaverčio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pagalbos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tarnybos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sistemoje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5A8B2BBC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Paslaugos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teikiamos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lietuvių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kalba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009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F24E9" w:rsidRPr="007249B6" w14:paraId="7A915DD1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8B1A" w14:textId="77777777" w:rsidR="005F24E9" w:rsidRPr="007249B6" w:rsidRDefault="005F24E9" w:rsidP="00D27A57">
            <w:pPr>
              <w:spacing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kurioms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suteikiam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4615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Kliento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duomenų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centro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įranga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(on-premises),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hibridinė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infrastruktūra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(hybrid),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debesų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kompiuterijos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pagrind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u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veikianti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infrastruktūra</w:t>
            </w:r>
            <w:proofErr w:type="spellEnd"/>
            <w:r w:rsidRPr="007249B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(cloud).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ABD" w14:textId="77777777" w:rsidR="005F24E9" w:rsidRPr="007249B6" w:rsidRDefault="005F24E9" w:rsidP="00D27A57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F24E9" w:rsidRPr="007249B6" w14:paraId="4D3CEA91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031" w14:textId="77777777" w:rsidR="005F24E9" w:rsidRPr="007249B6" w:rsidRDefault="005F24E9" w:rsidP="00D27A57">
            <w:pPr>
              <w:spacing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reagavimas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incidentą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59D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Ne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prastesnis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reakcijos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laikas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nei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:</w:t>
            </w:r>
          </w:p>
          <w:p w14:paraId="083BB29F" w14:textId="77777777" w:rsidR="005F24E9" w:rsidRPr="007249B6" w:rsidRDefault="005F24E9" w:rsidP="005F24E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svarbumo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laipsnis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A,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kritinė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įtak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veiklai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–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pirm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reakcij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į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per 1 val.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Priskiriamas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kritinėms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situacijoms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spręsti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skirtas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resursas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. Jei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būtina</w:t>
            </w:r>
            <w:proofErr w:type="spellEnd"/>
            <w:r>
              <w:rPr>
                <w:rFonts w:ascii="Times New Roman" w:hAnsi="Times New Roman"/>
                <w:kern w:val="24"/>
                <w:szCs w:val="24"/>
              </w:rPr>
              <w:t>,</w:t>
            </w:r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Microsoft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resursai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atvyksta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pas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klientą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į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vietą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spręsti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</w:t>
            </w:r>
            <w:r>
              <w:rPr>
                <w:rFonts w:ascii="Times New Roman" w:hAnsi="Times New Roman"/>
                <w:kern w:val="24"/>
                <w:szCs w:val="24"/>
              </w:rPr>
              <w:t>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.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sprendžiamos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24x7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režimu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. </w:t>
            </w:r>
          </w:p>
          <w:p w14:paraId="75403787" w14:textId="77777777" w:rsidR="005F24E9" w:rsidRPr="007249B6" w:rsidRDefault="005F24E9" w:rsidP="005F24E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svarbumo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laipsnis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B,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vidutinė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įtaka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veiklai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-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pirm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reakcij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į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per 2 val.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sprendžiamos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darbo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valandomis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>.</w:t>
            </w:r>
          </w:p>
          <w:p w14:paraId="3B9F37F8" w14:textId="77777777" w:rsidR="005F24E9" w:rsidRPr="007249B6" w:rsidRDefault="005F24E9" w:rsidP="005F24E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kern w:val="24"/>
                <w:szCs w:val="24"/>
              </w:rPr>
            </w:pP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svarbumo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laipsnis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C,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maža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įtaka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veiklai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-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pirm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reakcij</w:t>
            </w:r>
            <w:r>
              <w:rPr>
                <w:rFonts w:ascii="Times New Roman" w:hAnsi="Times New Roman"/>
                <w:kern w:val="24"/>
                <w:szCs w:val="24"/>
              </w:rPr>
              <w:t>a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į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problemą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per 4 val.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Problemos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sprendžiamos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darbo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/>
                <w:kern w:val="24"/>
                <w:szCs w:val="24"/>
              </w:rPr>
              <w:t>valandomis</w:t>
            </w:r>
            <w:proofErr w:type="spellEnd"/>
            <w:r w:rsidRPr="007249B6">
              <w:rPr>
                <w:rFonts w:ascii="Times New Roman" w:hAnsi="Times New Roman"/>
                <w:kern w:val="24"/>
                <w:szCs w:val="24"/>
              </w:rPr>
              <w:t>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DBB" w14:textId="77777777" w:rsidR="005F24E9" w:rsidRPr="007249B6" w:rsidRDefault="005F24E9" w:rsidP="00D27A57">
            <w:pPr>
              <w:pStyle w:val="Sraopastraipa"/>
              <w:rPr>
                <w:rFonts w:ascii="Times New Roman" w:hAnsi="Times New Roman"/>
                <w:kern w:val="24"/>
                <w:szCs w:val="24"/>
              </w:rPr>
            </w:pPr>
          </w:p>
        </w:tc>
      </w:tr>
      <w:tr w:rsidR="005F24E9" w:rsidRPr="007249B6" w14:paraId="4ACF1B1D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B47" w14:textId="77777777" w:rsidR="005F24E9" w:rsidRPr="007249B6" w:rsidRDefault="005F24E9" w:rsidP="00D27A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Patobulinti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sprendimai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EB06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Paskirtasis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inžinerijos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padalinys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DB22EA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DC3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5F24E9" w:rsidRPr="007249B6" w14:paraId="0C2B63E5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093F" w14:textId="77777777" w:rsidR="005F24E9" w:rsidRPr="007249B6" w:rsidRDefault="005F24E9" w:rsidP="00D27A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Problemų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sprendimas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63F8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Kliento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patalpose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;</w:t>
            </w:r>
          </w:p>
          <w:p w14:paraId="7D2AEFC4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Nuotoliniu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būdu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7C3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5F24E9" w:rsidRPr="007249B6" w14:paraId="09EC0A39" w14:textId="77777777" w:rsidTr="00D27A57">
        <w:trPr>
          <w:trHeight w:val="278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0C00" w14:textId="77777777" w:rsidR="005F24E9" w:rsidRPr="007249B6" w:rsidRDefault="005F24E9" w:rsidP="00D27A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užtikrinimo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proofErr w:type="spellEnd"/>
            <w:r w:rsidRPr="0072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4499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Tūri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būti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skirtas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Microsoft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arba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lygiaverčio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gamintojo</w:t>
            </w:r>
            <w:proofErr w:type="spellEnd"/>
            <w:r w:rsidRPr="007249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14D" w14:textId="77777777" w:rsidR="005F24E9" w:rsidRPr="007249B6" w:rsidRDefault="005F24E9" w:rsidP="00D27A57">
            <w:pPr>
              <w:spacing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14:paraId="3F50D89E" w14:textId="77777777" w:rsidR="005F24E9" w:rsidRPr="007249B6" w:rsidRDefault="005F24E9" w:rsidP="005F24E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3A590A6" w14:textId="77777777" w:rsidR="00A2563E" w:rsidRDefault="00A2563E"/>
    <w:sectPr w:rsidR="00A2563E" w:rsidSect="005F24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7EEA" w14:textId="77777777" w:rsidR="005F24E9" w:rsidRDefault="005F24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557707"/>
      <w:docPartObj>
        <w:docPartGallery w:val="Page Numbers (Bottom of Page)"/>
        <w:docPartUnique/>
      </w:docPartObj>
    </w:sdtPr>
    <w:sdtContent>
      <w:p w14:paraId="73A4931E" w14:textId="77777777" w:rsidR="005F24E9" w:rsidRDefault="005F24E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7B16">
          <w:rPr>
            <w:noProof/>
            <w:lang w:val="lt-LT"/>
          </w:rPr>
          <w:t>12</w:t>
        </w:r>
        <w:r>
          <w:fldChar w:fldCharType="end"/>
        </w:r>
      </w:p>
    </w:sdtContent>
  </w:sdt>
  <w:p w14:paraId="0BACE7FA" w14:textId="77777777" w:rsidR="005F24E9" w:rsidRDefault="005F24E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BF28" w14:textId="77777777" w:rsidR="005F24E9" w:rsidRDefault="005F24E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E9CF" w14:textId="77777777" w:rsidR="005F24E9" w:rsidRDefault="005F24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B009" w14:textId="77777777" w:rsidR="005F24E9" w:rsidRDefault="005F24E9">
    <w:pPr>
      <w:pStyle w:val="Antrats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C08F" w14:textId="77777777" w:rsidR="005F24E9" w:rsidRDefault="005F24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72B1"/>
    <w:multiLevelType w:val="hybridMultilevel"/>
    <w:tmpl w:val="8894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94A09"/>
    <w:multiLevelType w:val="multilevel"/>
    <w:tmpl w:val="F7E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5891630">
    <w:abstractNumId w:val="1"/>
  </w:num>
  <w:num w:numId="2" w16cid:durableId="15769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4F"/>
    <w:rsid w:val="00334510"/>
    <w:rsid w:val="00474B4F"/>
    <w:rsid w:val="005F24E9"/>
    <w:rsid w:val="006E054B"/>
    <w:rsid w:val="00877CBA"/>
    <w:rsid w:val="00A2563E"/>
    <w:rsid w:val="00E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5314"/>
  <w15:chartTrackingRefBased/>
  <w15:docId w15:val="{6C7E6352-177F-487D-B756-7EE85FEC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24E9"/>
    <w:pPr>
      <w:spacing w:line="252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4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4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4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4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4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4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4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4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4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4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4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4B4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4B4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4B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4B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4B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4B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4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4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4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4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4B4F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474B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4B4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4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4B4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4B4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5F24E9"/>
  </w:style>
  <w:style w:type="paragraph" w:customStyle="1" w:styleId="paragraph">
    <w:name w:val="paragraph"/>
    <w:basedOn w:val="prastasis"/>
    <w:rsid w:val="005F24E9"/>
    <w:pPr>
      <w:spacing w:after="0" w:line="240" w:lineRule="auto"/>
    </w:pPr>
    <w:rPr>
      <w:rFonts w:ascii="Calibri" w:hAnsi="Calibri" w:cs="Calibri"/>
      <w:lang w:val="lt-LT" w:eastAsia="lt-LT"/>
    </w:rPr>
  </w:style>
  <w:style w:type="character" w:customStyle="1" w:styleId="normaltextrun">
    <w:name w:val="normaltextrun"/>
    <w:basedOn w:val="Numatytasispastraiposriftas"/>
    <w:rsid w:val="005F24E9"/>
  </w:style>
  <w:style w:type="paragraph" w:styleId="Antrats">
    <w:name w:val="header"/>
    <w:basedOn w:val="prastasis"/>
    <w:link w:val="AntratsDiagrama"/>
    <w:uiPriority w:val="99"/>
    <w:unhideWhenUsed/>
    <w:rsid w:val="005F2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4E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F2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4E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Komentarotekstas">
    <w:name w:val="annotation text"/>
    <w:aliases w:val="Diagrama Diagrama Diagrama,Diagrama Diagrama,Diagrama"/>
    <w:basedOn w:val="prastasis"/>
    <w:link w:val="KomentarotekstasDiagrama"/>
    <w:unhideWhenUsed/>
    <w:rsid w:val="005F24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Diagrama Diagrama1"/>
    <w:basedOn w:val="Numatytasispastraiposriftas"/>
    <w:link w:val="Komentarotekstas"/>
    <w:rsid w:val="005F24E9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18975</Words>
  <Characters>10817</Characters>
  <Application>Microsoft Office Word</Application>
  <DocSecurity>0</DocSecurity>
  <Lines>90</Lines>
  <Paragraphs>59</Paragraphs>
  <ScaleCrop>false</ScaleCrop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2025-09-16T13:05:00Z</dcterms:created>
  <dcterms:modified xsi:type="dcterms:W3CDTF">2025-09-16T13:08:00Z</dcterms:modified>
</cp:coreProperties>
</file>