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6565364A" w14:textId="77777777" w:rsidR="00623F86" w:rsidRPr="00623F86" w:rsidRDefault="00350C01" w:rsidP="00350C01">
      <w:pPr>
        <w:jc w:val="center"/>
        <w:rPr>
          <w:rFonts w:ascii="Times New Roman" w:hAnsi="Times New Roman" w:cs="Times New Roman"/>
          <w:b/>
          <w:bCs/>
          <w:sz w:val="24"/>
          <w:szCs w:val="24"/>
        </w:rPr>
      </w:pPr>
      <w:r w:rsidRPr="00623F86">
        <w:rPr>
          <w:rFonts w:ascii="Times New Roman" w:hAnsi="Times New Roman" w:cs="Times New Roman"/>
          <w:b/>
          <w:bCs/>
          <w:sz w:val="24"/>
          <w:szCs w:val="24"/>
        </w:rPr>
        <w:t>RINKOS KONSULTACIJ</w:t>
      </w:r>
      <w:r w:rsidR="00623F86" w:rsidRPr="00623F86">
        <w:rPr>
          <w:rFonts w:ascii="Times New Roman" w:hAnsi="Times New Roman" w:cs="Times New Roman"/>
          <w:b/>
          <w:bCs/>
          <w:sz w:val="24"/>
          <w:szCs w:val="24"/>
        </w:rPr>
        <w:t>A</w:t>
      </w:r>
    </w:p>
    <w:p w14:paraId="410B8E13" w14:textId="370D1AB0" w:rsidR="00350C01" w:rsidRPr="00350C01" w:rsidRDefault="00623F86" w:rsidP="00350C01">
      <w:pPr>
        <w:jc w:val="center"/>
        <w:rPr>
          <w:rFonts w:ascii="Times New Roman" w:hAnsi="Times New Roman" w:cs="Times New Roman"/>
          <w:b/>
          <w:bCs/>
          <w:sz w:val="24"/>
          <w:szCs w:val="24"/>
        </w:rPr>
      </w:pPr>
      <w:r w:rsidRPr="00623F86">
        <w:rPr>
          <w:rFonts w:ascii="Times New Roman" w:hAnsi="Times New Roman" w:cs="Times New Roman"/>
          <w:b/>
          <w:bCs/>
          <w:sz w:val="24"/>
          <w:szCs w:val="24"/>
        </w:rPr>
        <w:t xml:space="preserve"> PROCEDŪRINĖ KĖDĖ</w:t>
      </w:r>
      <w:r w:rsidR="00350C01" w:rsidRPr="00623F86">
        <w:rPr>
          <w:rFonts w:ascii="Times New Roman" w:hAnsi="Times New Roman" w:cs="Times New Roman"/>
          <w:b/>
          <w:bCs/>
          <w:sz w:val="24"/>
          <w:szCs w:val="24"/>
        </w:rPr>
        <w:t>, Nr.</w:t>
      </w:r>
      <w:r w:rsidRPr="00623F86">
        <w:t xml:space="preserve"> </w:t>
      </w:r>
      <w:r w:rsidRPr="00623F86">
        <w:rPr>
          <w:rFonts w:ascii="Times New Roman" w:hAnsi="Times New Roman" w:cs="Times New Roman"/>
          <w:b/>
          <w:bCs/>
          <w:sz w:val="24"/>
          <w:szCs w:val="24"/>
        </w:rPr>
        <w:t>4394972</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475"/>
        <w:gridCol w:w="4560"/>
        <w:gridCol w:w="4597"/>
      </w:tblGrid>
      <w:tr w:rsidR="003E3795" w:rsidRPr="00FC1414" w14:paraId="6CF4CF05" w14:textId="77777777" w:rsidTr="00623F86">
        <w:tc>
          <w:tcPr>
            <w:tcW w:w="1246" w:type="dxa"/>
          </w:tcPr>
          <w:p w14:paraId="688713D0" w14:textId="77777777" w:rsidR="003E3795" w:rsidRPr="00FC1414" w:rsidRDefault="003E3795" w:rsidP="00350C01">
            <w:pPr>
              <w:jc w:val="center"/>
              <w:rPr>
                <w:rFonts w:ascii="Times New Roman" w:hAnsi="Times New Roman" w:cs="Times New Roman"/>
                <w:b/>
                <w:bCs/>
              </w:rPr>
            </w:pPr>
            <w:r w:rsidRPr="00FC1414">
              <w:rPr>
                <w:rFonts w:ascii="Times New Roman" w:hAnsi="Times New Roman" w:cs="Times New Roman"/>
                <w:b/>
                <w:bCs/>
              </w:rPr>
              <w:t>Techninės specifikacijos</w:t>
            </w:r>
          </w:p>
          <w:p w14:paraId="5278FD8E" w14:textId="6F31E766" w:rsidR="00350C01" w:rsidRPr="00FC1414" w:rsidRDefault="00350C01" w:rsidP="00350C01">
            <w:pPr>
              <w:jc w:val="center"/>
              <w:rPr>
                <w:rFonts w:ascii="Times New Roman" w:hAnsi="Times New Roman" w:cs="Times New Roman"/>
                <w:b/>
                <w:bCs/>
              </w:rPr>
            </w:pPr>
            <w:r w:rsidRPr="00FC1414">
              <w:rPr>
                <w:rFonts w:ascii="Times New Roman" w:hAnsi="Times New Roman" w:cs="Times New Roman"/>
                <w:b/>
                <w:bCs/>
              </w:rPr>
              <w:t>parametro Nr.</w:t>
            </w:r>
          </w:p>
        </w:tc>
        <w:tc>
          <w:tcPr>
            <w:tcW w:w="4642" w:type="dxa"/>
          </w:tcPr>
          <w:p w14:paraId="4F67A6B6" w14:textId="77777777" w:rsidR="00350C01" w:rsidRPr="00FC1414" w:rsidRDefault="00350C01" w:rsidP="00350C01">
            <w:pPr>
              <w:jc w:val="center"/>
              <w:rPr>
                <w:rFonts w:ascii="Times New Roman" w:eastAsia="Calibri" w:hAnsi="Times New Roman" w:cs="Times New Roman"/>
                <w:b/>
                <w:bCs/>
                <w:lang w:eastAsia="zh-CN"/>
              </w:rPr>
            </w:pPr>
            <w:r w:rsidRPr="00FC1414">
              <w:rPr>
                <w:rFonts w:ascii="Times New Roman" w:eastAsia="Calibri" w:hAnsi="Times New Roman" w:cs="Times New Roman"/>
                <w:b/>
                <w:bCs/>
                <w:lang w:eastAsia="zh-CN"/>
              </w:rPr>
              <w:t>Tiekėjo pateiktas klausimas/pastaba/siūlymas:</w:t>
            </w:r>
          </w:p>
          <w:p w14:paraId="06A41452" w14:textId="5673724D" w:rsidR="00350C01" w:rsidRPr="00FC1414" w:rsidRDefault="00350C01" w:rsidP="00350C01">
            <w:pPr>
              <w:jc w:val="center"/>
              <w:rPr>
                <w:rFonts w:ascii="Times New Roman" w:hAnsi="Times New Roman" w:cs="Times New Roman"/>
                <w:b/>
                <w:bCs/>
              </w:rPr>
            </w:pPr>
            <w:r w:rsidRPr="00FC1414">
              <w:rPr>
                <w:rFonts w:ascii="Times New Roman" w:eastAsia="Calibri" w:hAnsi="Times New Roman" w:cs="Times New Roman"/>
                <w:b/>
                <w:bCs/>
                <w:lang w:eastAsia="zh-CN"/>
              </w:rPr>
              <w:t>(stiliaus klaidos netaisytos)</w:t>
            </w:r>
          </w:p>
        </w:tc>
        <w:tc>
          <w:tcPr>
            <w:tcW w:w="4744" w:type="dxa"/>
          </w:tcPr>
          <w:p w14:paraId="5FAC3832" w14:textId="108EF526" w:rsidR="00350C01" w:rsidRPr="00FC1414" w:rsidRDefault="00350C01" w:rsidP="00350C01">
            <w:pPr>
              <w:jc w:val="center"/>
              <w:rPr>
                <w:rFonts w:ascii="Times New Roman" w:hAnsi="Times New Roman" w:cs="Times New Roman"/>
                <w:b/>
                <w:bCs/>
              </w:rPr>
            </w:pPr>
            <w:r w:rsidRPr="00FC1414">
              <w:rPr>
                <w:rFonts w:ascii="Times New Roman" w:eastAsia="Calibri" w:hAnsi="Times New Roman" w:cs="Times New Roman"/>
                <w:b/>
                <w:bCs/>
                <w:lang w:eastAsia="zh-CN"/>
              </w:rPr>
              <w:t>Perkančiosios organizacijos (toliau PO) atsakymas, komentaras, informacija apie priimtus sprendimus:</w:t>
            </w:r>
          </w:p>
        </w:tc>
      </w:tr>
      <w:tr w:rsidR="003E3795" w:rsidRPr="00FC1414" w14:paraId="062C5180" w14:textId="77777777" w:rsidTr="00623F86">
        <w:tc>
          <w:tcPr>
            <w:tcW w:w="1246" w:type="dxa"/>
          </w:tcPr>
          <w:p w14:paraId="08CEA154" w14:textId="6ADF5E19" w:rsidR="00350C01" w:rsidRPr="00FC1414" w:rsidRDefault="00350C01" w:rsidP="00350C01">
            <w:pPr>
              <w:jc w:val="center"/>
              <w:rPr>
                <w:rFonts w:ascii="Times New Roman" w:hAnsi="Times New Roman" w:cs="Times New Roman"/>
              </w:rPr>
            </w:pPr>
            <w:r w:rsidRPr="00FC1414">
              <w:rPr>
                <w:rFonts w:ascii="Times New Roman" w:hAnsi="Times New Roman" w:cs="Times New Roman"/>
              </w:rPr>
              <w:t>2.</w:t>
            </w:r>
          </w:p>
        </w:tc>
        <w:tc>
          <w:tcPr>
            <w:tcW w:w="4642" w:type="dxa"/>
          </w:tcPr>
          <w:p w14:paraId="3BE2029C" w14:textId="77777777" w:rsidR="00170A34" w:rsidRPr="00FC1414" w:rsidRDefault="00170A34" w:rsidP="00FC1414">
            <w:pPr>
              <w:jc w:val="both"/>
              <w:rPr>
                <w:rFonts w:ascii="Times New Roman" w:eastAsia="Times New Roman" w:hAnsi="Times New Roman" w:cs="Times New Roman"/>
                <w:color w:val="000000"/>
                <w:lang w:eastAsia="lt-LT"/>
              </w:rPr>
            </w:pPr>
            <w:r w:rsidRPr="00FC1414">
              <w:rPr>
                <w:rFonts w:ascii="Times New Roman" w:eastAsia="Times New Roman" w:hAnsi="Times New Roman" w:cs="Times New Roman"/>
                <w:color w:val="000000"/>
                <w:lang w:eastAsia="lt-LT"/>
              </w:rPr>
              <w:t>Rekomenduojame reikalavimą keisti taip:</w:t>
            </w:r>
          </w:p>
          <w:p w14:paraId="688AE48D" w14:textId="77777777" w:rsidR="00170A34" w:rsidRPr="00FC1414" w:rsidRDefault="00170A34" w:rsidP="00FC1414">
            <w:pPr>
              <w:jc w:val="both"/>
              <w:rPr>
                <w:rFonts w:ascii="Times New Roman" w:eastAsia="Times New Roman" w:hAnsi="Times New Roman" w:cs="Times New Roman"/>
                <w:i/>
                <w:iCs/>
                <w:lang w:eastAsia="lt-LT"/>
              </w:rPr>
            </w:pPr>
            <w:r w:rsidRPr="00FC1414">
              <w:rPr>
                <w:rFonts w:ascii="Times New Roman" w:eastAsia="Times New Roman" w:hAnsi="Times New Roman" w:cs="Times New Roman"/>
                <w:i/>
                <w:iCs/>
                <w:lang w:eastAsia="lt-LT"/>
              </w:rPr>
              <w:t>„Nugaros atlošas reguliuojamas elektriniu būdu arba dujinės spyruoklės pagalba – būtina“</w:t>
            </w:r>
          </w:p>
          <w:p w14:paraId="7A0FD54D" w14:textId="336ED2CF" w:rsidR="00350C01" w:rsidRPr="00FC1414" w:rsidRDefault="00170A34" w:rsidP="00FC1414">
            <w:pPr>
              <w:jc w:val="both"/>
              <w:rPr>
                <w:rFonts w:ascii="Times New Roman" w:hAnsi="Times New Roman" w:cs="Times New Roman"/>
              </w:rPr>
            </w:pPr>
            <w:r w:rsidRPr="00FC1414">
              <w:rPr>
                <w:rFonts w:ascii="Times New Roman" w:eastAsia="Times New Roman" w:hAnsi="Times New Roman" w:cs="Times New Roman"/>
                <w:lang w:eastAsia="lt-LT"/>
              </w:rPr>
              <w:t>Tai užtikrins ženkliai patogesnį ir fiziškai lengvesnį darbą personalui.</w:t>
            </w:r>
          </w:p>
        </w:tc>
        <w:tc>
          <w:tcPr>
            <w:tcW w:w="4744" w:type="dxa"/>
          </w:tcPr>
          <w:p w14:paraId="7AE1FD2B" w14:textId="77777777" w:rsidR="00843545" w:rsidRPr="00FC1414" w:rsidRDefault="00843545" w:rsidP="00BD279B">
            <w:pPr>
              <w:rPr>
                <w:rFonts w:ascii="Times New Roman" w:eastAsia="Times New Roman" w:hAnsi="Times New Roman" w:cs="Times New Roman"/>
                <w:i/>
                <w:iCs/>
                <w:lang w:eastAsia="lt-LT"/>
              </w:rPr>
            </w:pPr>
            <w:r>
              <w:rPr>
                <w:rFonts w:ascii="Times New Roman" w:hAnsi="Times New Roman" w:cs="Times New Roman"/>
              </w:rPr>
              <w:t xml:space="preserve">Bus papildyta </w:t>
            </w:r>
            <w:r w:rsidRPr="00FC1414">
              <w:rPr>
                <w:rFonts w:ascii="Times New Roman" w:eastAsia="Times New Roman" w:hAnsi="Times New Roman" w:cs="Times New Roman"/>
                <w:i/>
                <w:iCs/>
                <w:lang w:eastAsia="lt-LT"/>
              </w:rPr>
              <w:t>„Nugaros atlošas reguliuojamas elektriniu būdu arba dujinės spyruoklės pagalba – būtina“</w:t>
            </w:r>
          </w:p>
          <w:p w14:paraId="4C76D73E" w14:textId="4ABA6025" w:rsidR="00350C01" w:rsidRPr="00FC1414" w:rsidRDefault="00350C01" w:rsidP="00BD279B">
            <w:pPr>
              <w:rPr>
                <w:rFonts w:ascii="Times New Roman" w:hAnsi="Times New Roman" w:cs="Times New Roman"/>
              </w:rPr>
            </w:pPr>
          </w:p>
        </w:tc>
      </w:tr>
      <w:tr w:rsidR="003E3795" w:rsidRPr="00FC1414" w14:paraId="1084D7DF" w14:textId="77777777" w:rsidTr="00623F86">
        <w:tc>
          <w:tcPr>
            <w:tcW w:w="1246" w:type="dxa"/>
          </w:tcPr>
          <w:p w14:paraId="412E3906" w14:textId="4A75B8DC" w:rsidR="00350C01" w:rsidRPr="00FC1414" w:rsidRDefault="00170A34" w:rsidP="00350C01">
            <w:pPr>
              <w:jc w:val="center"/>
              <w:rPr>
                <w:rFonts w:ascii="Times New Roman" w:hAnsi="Times New Roman" w:cs="Times New Roman"/>
              </w:rPr>
            </w:pPr>
            <w:r w:rsidRPr="00FC1414">
              <w:rPr>
                <w:rFonts w:ascii="Times New Roman" w:hAnsi="Times New Roman" w:cs="Times New Roman"/>
              </w:rPr>
              <w:t>7.</w:t>
            </w:r>
          </w:p>
        </w:tc>
        <w:tc>
          <w:tcPr>
            <w:tcW w:w="4642" w:type="dxa"/>
          </w:tcPr>
          <w:p w14:paraId="64171A00" w14:textId="77777777" w:rsidR="00FC1414" w:rsidRPr="00FC1414" w:rsidRDefault="00FC1414" w:rsidP="00FC1414">
            <w:pPr>
              <w:jc w:val="both"/>
              <w:rPr>
                <w:rFonts w:ascii="Times New Roman" w:hAnsi="Times New Roman" w:cs="Times New Roman"/>
              </w:rPr>
            </w:pPr>
            <w:r w:rsidRPr="00FC1414">
              <w:rPr>
                <w:rFonts w:ascii="Times New Roman" w:hAnsi="Times New Roman" w:cs="Times New Roman"/>
              </w:rPr>
              <w:t xml:space="preserve">Prašome koreguoti į </w:t>
            </w:r>
            <w:r w:rsidRPr="00FC1414">
              <w:rPr>
                <w:rFonts w:ascii="Times New Roman" w:hAnsi="Times New Roman" w:cs="Times New Roman"/>
                <w:b/>
                <w:bCs/>
              </w:rPr>
              <w:t>Sėdimos dalies plotis 55 cm ± 5 cm.</w:t>
            </w:r>
            <w:r w:rsidRPr="00FC1414">
              <w:rPr>
                <w:rFonts w:ascii="Times New Roman" w:hAnsi="Times New Roman" w:cs="Times New Roman"/>
              </w:rPr>
              <w:t xml:space="preserve"> </w:t>
            </w:r>
          </w:p>
          <w:p w14:paraId="254E6536" w14:textId="78B8C980" w:rsidR="00350C01" w:rsidRPr="00FC1414" w:rsidRDefault="00FC1414" w:rsidP="00FC1414">
            <w:pPr>
              <w:jc w:val="both"/>
              <w:rPr>
                <w:rFonts w:ascii="Times New Roman" w:hAnsi="Times New Roman" w:cs="Times New Roman"/>
              </w:rPr>
            </w:pPr>
            <w:r w:rsidRPr="00FC1414">
              <w:rPr>
                <w:rFonts w:ascii="Times New Roman" w:hAnsi="Times New Roman" w:cs="Times New Roman"/>
              </w:rPr>
              <w:t>55± 5 cm pločio kėdė yra patogi ir tinkama absoliučiai daugumai donorų. Platesnė kėdė, ypač jei donoras yra smulkesnio sudėjimo, gali atrodyti per didelė ir netgi būti nepatogi. Platesnė kėdė užima daugiau vietos, tad 55± 5 cm pločio kėdė padeda efektyviau išnaudoti patalpos plotą. Didelė tikimybė, kad 55 ± 5 cm pločio kėdė yra pigesnė nei 60 ± 5 cm.</w:t>
            </w:r>
          </w:p>
        </w:tc>
        <w:tc>
          <w:tcPr>
            <w:tcW w:w="4744" w:type="dxa"/>
          </w:tcPr>
          <w:p w14:paraId="4B8D8DC7" w14:textId="4E720209" w:rsidR="00350C01" w:rsidRPr="00FC1414" w:rsidRDefault="00843545" w:rsidP="00BD279B">
            <w:pPr>
              <w:rPr>
                <w:rFonts w:ascii="Times New Roman" w:hAnsi="Times New Roman" w:cs="Times New Roman"/>
              </w:rPr>
            </w:pPr>
            <w:r>
              <w:rPr>
                <w:rFonts w:ascii="Times New Roman" w:hAnsi="Times New Roman" w:cs="Times New Roman"/>
              </w:rPr>
              <w:t>Šio parametro keisti negalime, nes kėdė turi tikti visokio sudėjimo žmonėms, stambiems taip pat.</w:t>
            </w:r>
          </w:p>
        </w:tc>
      </w:tr>
      <w:tr w:rsidR="00FC1414" w:rsidRPr="00FC1414" w14:paraId="7260BEB8" w14:textId="77777777" w:rsidTr="00F30BF0">
        <w:tc>
          <w:tcPr>
            <w:tcW w:w="1246" w:type="dxa"/>
            <w:vMerge w:val="restart"/>
          </w:tcPr>
          <w:p w14:paraId="60E5C846" w14:textId="2EE80160" w:rsidR="00FC1414" w:rsidRPr="00FC1414" w:rsidRDefault="00FC1414" w:rsidP="00FC1414">
            <w:pPr>
              <w:jc w:val="center"/>
              <w:rPr>
                <w:rFonts w:ascii="Times New Roman" w:hAnsi="Times New Roman" w:cs="Times New Roman"/>
              </w:rPr>
            </w:pPr>
            <w:r w:rsidRPr="00FC1414">
              <w:rPr>
                <w:rFonts w:ascii="Times New Roman" w:hAnsi="Times New Roman" w:cs="Times New Roman"/>
              </w:rPr>
              <w:t>10.</w:t>
            </w:r>
          </w:p>
        </w:tc>
        <w:tc>
          <w:tcPr>
            <w:tcW w:w="4642" w:type="dxa"/>
            <w:vAlign w:val="center"/>
          </w:tcPr>
          <w:p w14:paraId="2F2EE1B1" w14:textId="77777777" w:rsidR="00FC1414" w:rsidRPr="00FC1414" w:rsidRDefault="00FC1414" w:rsidP="00FC1414">
            <w:pPr>
              <w:jc w:val="both"/>
              <w:rPr>
                <w:rFonts w:ascii="Times New Roman" w:eastAsia="Times New Roman" w:hAnsi="Times New Roman" w:cs="Times New Roman"/>
                <w:color w:val="000000"/>
                <w:lang w:eastAsia="lt-LT"/>
              </w:rPr>
            </w:pPr>
            <w:r w:rsidRPr="00FC1414">
              <w:rPr>
                <w:rFonts w:ascii="Times New Roman" w:eastAsia="Times New Roman" w:hAnsi="Times New Roman" w:cs="Times New Roman"/>
                <w:color w:val="000000"/>
                <w:lang w:eastAsia="lt-LT"/>
              </w:rPr>
              <w:t>Rekomenduojame reikalavimą keisti taip:</w:t>
            </w:r>
          </w:p>
          <w:p w14:paraId="349501D4" w14:textId="77777777" w:rsidR="00FC1414" w:rsidRPr="00FC1414" w:rsidRDefault="00FC1414" w:rsidP="00FC1414">
            <w:pPr>
              <w:jc w:val="both"/>
              <w:rPr>
                <w:rFonts w:ascii="Times New Roman" w:eastAsia="Times New Roman" w:hAnsi="Times New Roman" w:cs="Times New Roman"/>
                <w:i/>
                <w:iCs/>
                <w:lang w:eastAsia="lt-LT"/>
              </w:rPr>
            </w:pPr>
            <w:r w:rsidRPr="00FC1414">
              <w:rPr>
                <w:rFonts w:ascii="Times New Roman" w:eastAsia="Times New Roman" w:hAnsi="Times New Roman" w:cs="Times New Roman"/>
                <w:i/>
                <w:iCs/>
                <w:color w:val="000000"/>
                <w:lang w:eastAsia="lt-LT"/>
              </w:rPr>
              <w:t>„</w:t>
            </w:r>
            <w:r w:rsidRPr="00FC1414">
              <w:rPr>
                <w:rFonts w:ascii="Times New Roman" w:eastAsia="Times New Roman" w:hAnsi="Times New Roman" w:cs="Times New Roman"/>
                <w:i/>
                <w:iCs/>
                <w:lang w:eastAsia="lt-LT"/>
              </w:rPr>
              <w:t>Leidžiama apkrova ne mažiau 180 kg“</w:t>
            </w:r>
          </w:p>
          <w:p w14:paraId="6A412062" w14:textId="5373FEE3" w:rsidR="00FC1414" w:rsidRPr="00FC1414" w:rsidRDefault="00FC1414" w:rsidP="00FC1414">
            <w:pPr>
              <w:jc w:val="both"/>
              <w:rPr>
                <w:rFonts w:ascii="Times New Roman" w:hAnsi="Times New Roman" w:cs="Times New Roman"/>
              </w:rPr>
            </w:pPr>
            <w:r w:rsidRPr="00FC1414">
              <w:rPr>
                <w:rFonts w:ascii="Times New Roman" w:eastAsia="Times New Roman" w:hAnsi="Times New Roman" w:cs="Times New Roman"/>
                <w:color w:val="000000"/>
                <w:lang w:eastAsia="lt-LT"/>
              </w:rPr>
              <w:t>Tokiu būdų procedūrinė kėdė bus patvaresnės, ilgaamžiškesnės konstrukcijos, taip pat, bus ženkliai universalesnė ir tiks net itin sunkiems pacientams.</w:t>
            </w:r>
          </w:p>
        </w:tc>
        <w:tc>
          <w:tcPr>
            <w:tcW w:w="4744" w:type="dxa"/>
          </w:tcPr>
          <w:p w14:paraId="5F845293" w14:textId="7C96A76C" w:rsidR="00FC1414" w:rsidRPr="00843545" w:rsidRDefault="00843545" w:rsidP="00BD279B">
            <w:pPr>
              <w:rPr>
                <w:rFonts w:ascii="Times New Roman" w:hAnsi="Times New Roman" w:cs="Times New Roman"/>
                <w:lang w:val="en-US"/>
              </w:rPr>
            </w:pPr>
            <w:r>
              <w:rPr>
                <w:rFonts w:ascii="Times New Roman" w:hAnsi="Times New Roman" w:cs="Times New Roman"/>
              </w:rPr>
              <w:t xml:space="preserve">Šio parametro keisti negalime, nes remiantis praktika, žemiausia riba </w:t>
            </w:r>
            <w:r>
              <w:rPr>
                <w:rFonts w:ascii="Times New Roman" w:hAnsi="Times New Roman" w:cs="Times New Roman"/>
                <w:lang w:val="en-US"/>
              </w:rPr>
              <w:t xml:space="preserve">150 kg </w:t>
            </w:r>
            <w:proofErr w:type="spellStart"/>
            <w:r>
              <w:rPr>
                <w:rFonts w:ascii="Times New Roman" w:hAnsi="Times New Roman" w:cs="Times New Roman"/>
                <w:lang w:val="en-US"/>
              </w:rPr>
              <w:t>yra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pakankama</w:t>
            </w:r>
            <w:proofErr w:type="spellEnd"/>
            <w:r>
              <w:rPr>
                <w:rFonts w:ascii="Times New Roman" w:hAnsi="Times New Roman" w:cs="Times New Roman"/>
                <w:lang w:val="en-US"/>
              </w:rPr>
              <w:t>.</w:t>
            </w:r>
          </w:p>
        </w:tc>
      </w:tr>
      <w:tr w:rsidR="00FC1414" w:rsidRPr="00FC1414" w14:paraId="5DC8D6AD" w14:textId="77777777" w:rsidTr="00F30BF0">
        <w:tc>
          <w:tcPr>
            <w:tcW w:w="1246" w:type="dxa"/>
            <w:vMerge/>
          </w:tcPr>
          <w:p w14:paraId="05C8B309" w14:textId="77777777" w:rsidR="00FC1414" w:rsidRPr="00FC1414" w:rsidRDefault="00FC1414" w:rsidP="00FC1414">
            <w:pPr>
              <w:jc w:val="center"/>
              <w:rPr>
                <w:rFonts w:ascii="Times New Roman" w:hAnsi="Times New Roman" w:cs="Times New Roman"/>
              </w:rPr>
            </w:pPr>
          </w:p>
        </w:tc>
        <w:tc>
          <w:tcPr>
            <w:tcW w:w="4642" w:type="dxa"/>
            <w:vAlign w:val="center"/>
          </w:tcPr>
          <w:p w14:paraId="72426364" w14:textId="77777777" w:rsidR="00FC1414" w:rsidRPr="00FC1414" w:rsidRDefault="00FC1414" w:rsidP="00FC1414">
            <w:pPr>
              <w:pStyle w:val="prastasiniatinklio"/>
              <w:jc w:val="both"/>
              <w:rPr>
                <w:sz w:val="22"/>
                <w:szCs w:val="22"/>
              </w:rPr>
            </w:pPr>
            <w:r w:rsidRPr="00FC1414">
              <w:rPr>
                <w:color w:val="000000"/>
                <w:sz w:val="22"/>
                <w:szCs w:val="22"/>
              </w:rPr>
              <w:t> </w:t>
            </w:r>
            <w:r w:rsidRPr="00FC1414">
              <w:rPr>
                <w:rStyle w:val="Grietas"/>
                <w:sz w:val="22"/>
                <w:szCs w:val="22"/>
              </w:rPr>
              <w:t>Prašome patikslinti techninės specifikacijos reikalavimą „Leidžiama apkrova nemažiau 150 kg“ ir pakeisti į „Leidžiama apkrova nemažiau 135 kg“.</w:t>
            </w:r>
          </w:p>
          <w:p w14:paraId="77EBEA3C" w14:textId="77777777" w:rsidR="00FC1414" w:rsidRPr="00FC1414" w:rsidRDefault="00FC1414" w:rsidP="00FC1414">
            <w:pPr>
              <w:pStyle w:val="prastasiniatinklio"/>
              <w:numPr>
                <w:ilvl w:val="0"/>
                <w:numId w:val="3"/>
              </w:numPr>
              <w:ind w:left="0"/>
              <w:jc w:val="both"/>
              <w:rPr>
                <w:sz w:val="22"/>
                <w:szCs w:val="22"/>
              </w:rPr>
            </w:pPr>
            <w:r w:rsidRPr="00FC1414">
              <w:rPr>
                <w:sz w:val="22"/>
                <w:szCs w:val="22"/>
              </w:rPr>
              <w:t>Procedūrinėse kėdėse dažniausiai aptarnaujami pacientai, kurių svoris neviršija 120–130 kg. Apkrovos riba ≥135 kg pilnai užtikrina įprastą klinikinę praktiką, paciento saugumą ir įrangos patikimumą.</w:t>
            </w:r>
          </w:p>
          <w:p w14:paraId="30860A31" w14:textId="77777777" w:rsidR="00FC1414" w:rsidRPr="00FC1414" w:rsidRDefault="00FC1414" w:rsidP="00FC1414">
            <w:pPr>
              <w:pStyle w:val="prastasiniatinklio"/>
              <w:numPr>
                <w:ilvl w:val="0"/>
                <w:numId w:val="3"/>
              </w:numPr>
              <w:ind w:left="0"/>
              <w:jc w:val="both"/>
              <w:rPr>
                <w:sz w:val="22"/>
                <w:szCs w:val="22"/>
              </w:rPr>
            </w:pPr>
            <w:r w:rsidRPr="00FC1414">
              <w:rPr>
                <w:sz w:val="22"/>
                <w:szCs w:val="22"/>
              </w:rPr>
              <w:t>Nustatant ≥150 kg ribą, nepagrįstai eliminuojama dalis gamintojų, siūlančių kokybišką ir CE ženklu pažymėtą įrangą, atitinkančią visus saugos reikalavimus.</w:t>
            </w:r>
          </w:p>
          <w:p w14:paraId="7F890D00" w14:textId="2141C029" w:rsidR="00FC1414" w:rsidRPr="00FC1414" w:rsidRDefault="00FC1414" w:rsidP="00FC1414">
            <w:pPr>
              <w:jc w:val="both"/>
              <w:rPr>
                <w:rFonts w:ascii="Times New Roman" w:eastAsia="Times New Roman" w:hAnsi="Times New Roman" w:cs="Times New Roman"/>
                <w:color w:val="000000"/>
                <w:lang w:eastAsia="lt-LT"/>
              </w:rPr>
            </w:pPr>
            <w:r w:rsidRPr="00FC1414">
              <w:rPr>
                <w:rStyle w:val="Grietas"/>
                <w:rFonts w:ascii="Times New Roman" w:hAnsi="Times New Roman" w:cs="Times New Roman"/>
              </w:rPr>
              <w:t>Ekonominė nauda.</w:t>
            </w:r>
            <w:r w:rsidRPr="00FC1414">
              <w:rPr>
                <w:rFonts w:ascii="Times New Roman" w:hAnsi="Times New Roman" w:cs="Times New Roman"/>
              </w:rPr>
              <w:t xml:space="preserve"> Plačiau prieinamų modelių (≥135 kg apkrova) pasiūlymai leistų pritraukti daugiau tiekėjų, didintų konkurenciją ir sudarytų galimybę pasiūlyti ekonomiškai naudingiausią kainą.</w:t>
            </w:r>
          </w:p>
        </w:tc>
        <w:tc>
          <w:tcPr>
            <w:tcW w:w="4744" w:type="dxa"/>
          </w:tcPr>
          <w:p w14:paraId="47C4A3B3" w14:textId="65D0234A" w:rsidR="00FC1414" w:rsidRPr="00843545" w:rsidRDefault="00843545" w:rsidP="00BD279B">
            <w:pPr>
              <w:rPr>
                <w:rFonts w:ascii="Times New Roman" w:hAnsi="Times New Roman" w:cs="Times New Roman"/>
                <w:lang w:val="en-US"/>
              </w:rPr>
            </w:pPr>
            <w:r>
              <w:rPr>
                <w:rFonts w:ascii="Times New Roman" w:hAnsi="Times New Roman" w:cs="Times New Roman"/>
              </w:rPr>
              <w:t xml:space="preserve">Šio parametro keisti negalime, nes ši procedūrinio kėdė bus naudojama suaugusiems pacientams, kurių svoris (ypač aukštų vyrų) dažnai būna daugiau nei </w:t>
            </w:r>
            <w:r>
              <w:rPr>
                <w:rFonts w:ascii="Times New Roman" w:hAnsi="Times New Roman" w:cs="Times New Roman"/>
                <w:lang w:val="en-US"/>
              </w:rPr>
              <w:t>135 kg.</w:t>
            </w:r>
          </w:p>
        </w:tc>
      </w:tr>
      <w:tr w:rsidR="00FC1414" w:rsidRPr="00FC1414" w14:paraId="3CF768D8" w14:textId="77777777" w:rsidTr="00BD279B">
        <w:trPr>
          <w:trHeight w:val="1552"/>
        </w:trPr>
        <w:tc>
          <w:tcPr>
            <w:tcW w:w="1246" w:type="dxa"/>
            <w:vMerge w:val="restart"/>
          </w:tcPr>
          <w:p w14:paraId="46FEE887" w14:textId="77777777" w:rsidR="00FC1414" w:rsidRPr="00FC1414" w:rsidRDefault="00FC1414" w:rsidP="00FC1414">
            <w:pPr>
              <w:jc w:val="center"/>
              <w:rPr>
                <w:rFonts w:ascii="Times New Roman" w:hAnsi="Times New Roman" w:cs="Times New Roman"/>
              </w:rPr>
            </w:pPr>
            <w:r w:rsidRPr="00FC1414">
              <w:rPr>
                <w:rFonts w:ascii="Times New Roman" w:hAnsi="Times New Roman" w:cs="Times New Roman"/>
              </w:rPr>
              <w:lastRenderedPageBreak/>
              <w:t>Kiti siūlymai/</w:t>
            </w:r>
          </w:p>
          <w:p w14:paraId="6F3A594C" w14:textId="72B93A4F" w:rsidR="00FC1414" w:rsidRPr="00FC1414" w:rsidRDefault="00FC1414" w:rsidP="00FC1414">
            <w:pPr>
              <w:jc w:val="center"/>
              <w:rPr>
                <w:rFonts w:ascii="Times New Roman" w:hAnsi="Times New Roman" w:cs="Times New Roman"/>
              </w:rPr>
            </w:pPr>
            <w:r w:rsidRPr="00FC1414">
              <w:rPr>
                <w:rFonts w:ascii="Times New Roman" w:hAnsi="Times New Roman" w:cs="Times New Roman"/>
              </w:rPr>
              <w:t>pastabos</w:t>
            </w:r>
          </w:p>
        </w:tc>
        <w:tc>
          <w:tcPr>
            <w:tcW w:w="4642" w:type="dxa"/>
          </w:tcPr>
          <w:p w14:paraId="7D30FC1D" w14:textId="77777777" w:rsidR="00FC1414" w:rsidRPr="00FC1414" w:rsidRDefault="00FC1414" w:rsidP="00FC1414">
            <w:pPr>
              <w:jc w:val="both"/>
              <w:rPr>
                <w:rFonts w:ascii="Times New Roman" w:eastAsia="Times New Roman" w:hAnsi="Times New Roman" w:cs="Times New Roman"/>
                <w:i/>
                <w:iCs/>
                <w:color w:val="000000"/>
                <w:lang w:eastAsia="lt-LT"/>
              </w:rPr>
            </w:pPr>
            <w:r w:rsidRPr="00FC1414">
              <w:rPr>
                <w:rFonts w:ascii="Times New Roman" w:eastAsia="Times New Roman" w:hAnsi="Times New Roman" w:cs="Times New Roman"/>
                <w:i/>
                <w:iCs/>
                <w:color w:val="000000"/>
                <w:lang w:eastAsia="lt-LT"/>
              </w:rPr>
              <w:t>Rekomenduojame įtraukti šį parametrą, jis labai svarbus kai reikia greitai padidinti kraujo patekimą į paciento galvą (pvz. pacientui nualpus):</w:t>
            </w:r>
          </w:p>
          <w:p w14:paraId="2C80ABDA" w14:textId="3FD076E3" w:rsidR="00FC1414" w:rsidRPr="00FC1414" w:rsidRDefault="00FC1414" w:rsidP="00FC1414">
            <w:pPr>
              <w:jc w:val="both"/>
              <w:rPr>
                <w:rFonts w:ascii="Times New Roman" w:hAnsi="Times New Roman" w:cs="Times New Roman"/>
                <w:b/>
                <w:bCs/>
              </w:rPr>
            </w:pPr>
            <w:proofErr w:type="spellStart"/>
            <w:r w:rsidRPr="00FC1414">
              <w:rPr>
                <w:rFonts w:ascii="Times New Roman" w:eastAsia="Times New Roman" w:hAnsi="Times New Roman" w:cs="Times New Roman"/>
                <w:b/>
                <w:bCs/>
                <w:i/>
                <w:iCs/>
                <w:lang w:eastAsia="lt-LT"/>
              </w:rPr>
              <w:t>Trendelenburgo</w:t>
            </w:r>
            <w:proofErr w:type="spellEnd"/>
            <w:r w:rsidRPr="00FC1414">
              <w:rPr>
                <w:rFonts w:ascii="Times New Roman" w:eastAsia="Times New Roman" w:hAnsi="Times New Roman" w:cs="Times New Roman"/>
                <w:b/>
                <w:bCs/>
                <w:i/>
                <w:iCs/>
                <w:lang w:eastAsia="lt-LT"/>
              </w:rPr>
              <w:t xml:space="preserve"> pozicija reguliuojama ne siauresniame diapazone nei nuo 0° iki 10°</w:t>
            </w:r>
          </w:p>
        </w:tc>
        <w:tc>
          <w:tcPr>
            <w:tcW w:w="4744" w:type="dxa"/>
          </w:tcPr>
          <w:p w14:paraId="23DEEBC7" w14:textId="5F7AE1B9" w:rsidR="00FC1414" w:rsidRPr="00AB2648" w:rsidRDefault="00AB2648" w:rsidP="00BD279B">
            <w:pPr>
              <w:rPr>
                <w:rFonts w:ascii="Times New Roman" w:hAnsi="Times New Roman" w:cs="Times New Roman"/>
              </w:rPr>
            </w:pPr>
            <w:r>
              <w:rPr>
                <w:rFonts w:ascii="Times New Roman" w:hAnsi="Times New Roman" w:cs="Times New Roman"/>
              </w:rPr>
              <w:t xml:space="preserve">Įtrauksime </w:t>
            </w:r>
            <w:proofErr w:type="spellStart"/>
            <w:r w:rsidRPr="00AB2648">
              <w:rPr>
                <w:rFonts w:ascii="Times New Roman" w:eastAsia="Times New Roman" w:hAnsi="Times New Roman" w:cs="Times New Roman"/>
                <w:i/>
                <w:iCs/>
                <w:lang w:eastAsia="lt-LT"/>
              </w:rPr>
              <w:t>Trendelenburgo</w:t>
            </w:r>
            <w:proofErr w:type="spellEnd"/>
            <w:r w:rsidRPr="00AB2648">
              <w:rPr>
                <w:rFonts w:ascii="Times New Roman" w:eastAsia="Times New Roman" w:hAnsi="Times New Roman" w:cs="Times New Roman"/>
                <w:i/>
                <w:iCs/>
                <w:lang w:eastAsia="lt-LT"/>
              </w:rPr>
              <w:t xml:space="preserve"> pozicija reguliuojama ne siauresniame diapazone nei nuo 0° iki 10°</w:t>
            </w:r>
          </w:p>
          <w:p w14:paraId="5F4D8BC2" w14:textId="3204F185" w:rsidR="00AB2648" w:rsidRPr="00FC1414" w:rsidRDefault="00AB2648" w:rsidP="00BD279B">
            <w:pPr>
              <w:rPr>
                <w:rFonts w:ascii="Times New Roman" w:hAnsi="Times New Roman" w:cs="Times New Roman"/>
              </w:rPr>
            </w:pPr>
          </w:p>
        </w:tc>
      </w:tr>
      <w:tr w:rsidR="00FC1414" w:rsidRPr="00FC1414" w14:paraId="4264BFA6" w14:textId="77777777" w:rsidTr="00623F86">
        <w:tc>
          <w:tcPr>
            <w:tcW w:w="1246" w:type="dxa"/>
            <w:vMerge/>
          </w:tcPr>
          <w:p w14:paraId="7A7DF85D" w14:textId="77777777" w:rsidR="00FC1414" w:rsidRPr="00FC1414" w:rsidRDefault="00FC1414" w:rsidP="00FC1414">
            <w:pPr>
              <w:jc w:val="center"/>
              <w:rPr>
                <w:rFonts w:ascii="Times New Roman" w:hAnsi="Times New Roman" w:cs="Times New Roman"/>
              </w:rPr>
            </w:pPr>
          </w:p>
        </w:tc>
        <w:tc>
          <w:tcPr>
            <w:tcW w:w="4642" w:type="dxa"/>
          </w:tcPr>
          <w:p w14:paraId="20CF50E2" w14:textId="77777777" w:rsidR="00FC1414" w:rsidRPr="00FC1414" w:rsidRDefault="00FC1414" w:rsidP="00FC1414">
            <w:pPr>
              <w:jc w:val="both"/>
              <w:rPr>
                <w:rFonts w:ascii="Times New Roman" w:hAnsi="Times New Roman" w:cs="Times New Roman"/>
              </w:rPr>
            </w:pPr>
            <w:r w:rsidRPr="00FC1414">
              <w:rPr>
                <w:rFonts w:ascii="Times New Roman" w:hAnsi="Times New Roman" w:cs="Times New Roman"/>
              </w:rPr>
              <w:t>Rekomenduojame rinktis šį aplinkosauginį reikalavimą:</w:t>
            </w:r>
          </w:p>
          <w:p w14:paraId="4C5EB090" w14:textId="77777777" w:rsidR="00FC1414" w:rsidRPr="00FC1414" w:rsidRDefault="00FC1414" w:rsidP="00FC1414">
            <w:pPr>
              <w:jc w:val="both"/>
              <w:rPr>
                <w:rFonts w:ascii="Times New Roman" w:hAnsi="Times New Roman" w:cs="Times New Roman"/>
              </w:rPr>
            </w:pPr>
            <w:r w:rsidRPr="00FC1414">
              <w:rPr>
                <w:rFonts w:ascii="Times New Roman" w:hAnsi="Times New Roman" w:cs="Times New Roma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4DADF614" w14:textId="67A86292" w:rsidR="00FC1414" w:rsidRPr="00FC1414" w:rsidRDefault="00FC1414" w:rsidP="00FC1414">
            <w:pPr>
              <w:jc w:val="both"/>
              <w:rPr>
                <w:rFonts w:ascii="Times New Roman" w:hAnsi="Times New Roman" w:cs="Times New Roman"/>
              </w:rPr>
            </w:pPr>
            <w:r w:rsidRPr="00FC1414">
              <w:rPr>
                <w:rFonts w:ascii="Times New Roman" w:hAnsi="Times New Roman" w:cs="Times New Roman"/>
              </w:rPr>
              <w:t>Pastaba: Reikalavimas taikomas vadovaujantis Lietuvos Respublikos aplinkos ministro 2022 m. gruodžio 13 d. įsakymu Nr. D1-401 patvirtinto aplinkos apsaugos kriterijų taikymo, vykdant žaliuosius pirkimus, tvarkos aprašo II skyriaus 4.4.4.4 punktu.</w:t>
            </w:r>
          </w:p>
        </w:tc>
        <w:tc>
          <w:tcPr>
            <w:tcW w:w="4744" w:type="dxa"/>
          </w:tcPr>
          <w:p w14:paraId="25C6457E" w14:textId="5146FCE7" w:rsidR="00FC1414" w:rsidRPr="00FC1414" w:rsidRDefault="00BD279B" w:rsidP="00BD279B">
            <w:pPr>
              <w:rPr>
                <w:rFonts w:ascii="Times New Roman" w:hAnsi="Times New Roman" w:cs="Times New Roman"/>
              </w:rPr>
            </w:pPr>
            <w:r w:rsidRPr="00BD279B">
              <w:rPr>
                <w:rFonts w:ascii="Times New Roman" w:hAnsi="Times New Roman" w:cs="Times New Roman"/>
              </w:rPr>
              <w:t>rekomendacija bus apsvarstyta</w:t>
            </w:r>
          </w:p>
        </w:tc>
      </w:tr>
      <w:tr w:rsidR="00FC1414" w:rsidRPr="00FC1414" w14:paraId="026ED07E" w14:textId="77777777" w:rsidTr="00350C01">
        <w:trPr>
          <w:trHeight w:val="1555"/>
        </w:trPr>
        <w:tc>
          <w:tcPr>
            <w:tcW w:w="10632" w:type="dxa"/>
            <w:gridSpan w:val="3"/>
          </w:tcPr>
          <w:p w14:paraId="00777922" w14:textId="55C1E702" w:rsidR="00FC1414" w:rsidRPr="00FC1414" w:rsidRDefault="00FC1414" w:rsidP="00FC1414">
            <w:pPr>
              <w:jc w:val="both"/>
              <w:rPr>
                <w:rFonts w:ascii="Times New Roman" w:hAnsi="Times New Roman" w:cs="Times New Roman"/>
                <w:i/>
                <w:iCs/>
                <w:color w:val="FF0000"/>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2" w15:restartNumberingAfterBreak="0">
    <w:nsid w:val="4B694D15"/>
    <w:multiLevelType w:val="multilevel"/>
    <w:tmpl w:val="B356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975442">
    <w:abstractNumId w:val="0"/>
  </w:num>
  <w:num w:numId="2" w16cid:durableId="1459296692">
    <w:abstractNumId w:val="1"/>
  </w:num>
  <w:num w:numId="3" w16cid:durableId="1405449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170A34"/>
    <w:rsid w:val="002045D4"/>
    <w:rsid w:val="00350C01"/>
    <w:rsid w:val="00377D94"/>
    <w:rsid w:val="003A771E"/>
    <w:rsid w:val="003E3795"/>
    <w:rsid w:val="00475106"/>
    <w:rsid w:val="00623F86"/>
    <w:rsid w:val="00843545"/>
    <w:rsid w:val="008B5D75"/>
    <w:rsid w:val="00915585"/>
    <w:rsid w:val="00A9060B"/>
    <w:rsid w:val="00AB2648"/>
    <w:rsid w:val="00B21FD3"/>
    <w:rsid w:val="00BD279B"/>
    <w:rsid w:val="00F150D6"/>
    <w:rsid w:val="00F37801"/>
    <w:rsid w:val="00FC14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C1414"/>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character" w:styleId="Grietas">
    <w:name w:val="Strong"/>
    <w:basedOn w:val="Numatytasispastraiposriftas"/>
    <w:uiPriority w:val="22"/>
    <w:qFormat/>
    <w:rsid w:val="00FC1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2262</Words>
  <Characters>1290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3</cp:revision>
  <dcterms:created xsi:type="dcterms:W3CDTF">2025-09-18T07:16:00Z</dcterms:created>
  <dcterms:modified xsi:type="dcterms:W3CDTF">2025-09-18T12:12:00Z</dcterms:modified>
</cp:coreProperties>
</file>