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48A" w:rsidRPr="001357E9" w:rsidRDefault="0033048A" w:rsidP="0033048A">
      <w:pPr>
        <w:spacing w:line="240" w:lineRule="auto"/>
        <w:jc w:val="center"/>
        <w:rPr>
          <w:b/>
        </w:rPr>
      </w:pPr>
      <w:r>
        <w:rPr>
          <w:b/>
        </w:rPr>
        <w:t>KRETINGOS RAJONO</w:t>
      </w:r>
      <w:r w:rsidRPr="001357E9">
        <w:rPr>
          <w:b/>
        </w:rPr>
        <w:t xml:space="preserve"> SAVIVALDYBĖS ADMINISTRACIJA</w:t>
      </w:r>
    </w:p>
    <w:p w:rsidR="0033048A" w:rsidRDefault="0033048A" w:rsidP="0033048A">
      <w:pPr>
        <w:spacing w:line="240" w:lineRule="auto"/>
        <w:jc w:val="center"/>
        <w:rPr>
          <w:b/>
          <w:szCs w:val="24"/>
        </w:rPr>
      </w:pPr>
    </w:p>
    <w:p w:rsidR="0033048A" w:rsidRDefault="0033048A" w:rsidP="0033048A">
      <w:pPr>
        <w:spacing w:line="240" w:lineRule="auto"/>
        <w:jc w:val="center"/>
        <w:rPr>
          <w:b/>
          <w:szCs w:val="24"/>
        </w:rPr>
      </w:pPr>
      <w:r w:rsidRPr="000119A6">
        <w:rPr>
          <w:b/>
          <w:szCs w:val="24"/>
        </w:rPr>
        <w:t xml:space="preserve">RINKOS KONSULTACIJOS </w:t>
      </w:r>
      <w:r>
        <w:rPr>
          <w:b/>
          <w:szCs w:val="24"/>
        </w:rPr>
        <w:t>ATASKAITA</w:t>
      </w:r>
    </w:p>
    <w:p w:rsidR="0033048A" w:rsidRDefault="0033048A" w:rsidP="0033048A">
      <w:pPr>
        <w:spacing w:line="240" w:lineRule="auto"/>
        <w:jc w:val="center"/>
        <w:rPr>
          <w:b/>
          <w:szCs w:val="24"/>
        </w:rPr>
      </w:pPr>
    </w:p>
    <w:tbl>
      <w:tblPr>
        <w:tblStyle w:val="Lentelstinklelis"/>
        <w:tblW w:w="0" w:type="auto"/>
        <w:tblLook w:val="04A0" w:firstRow="1" w:lastRow="0" w:firstColumn="1" w:lastColumn="0" w:noHBand="0" w:noVBand="1"/>
      </w:tblPr>
      <w:tblGrid>
        <w:gridCol w:w="5095"/>
        <w:gridCol w:w="3921"/>
      </w:tblGrid>
      <w:tr w:rsidR="0033048A" w:rsidTr="006D460F">
        <w:tc>
          <w:tcPr>
            <w:tcW w:w="5095" w:type="dxa"/>
          </w:tcPr>
          <w:p w:rsidR="0033048A" w:rsidRPr="0070095A" w:rsidRDefault="0033048A" w:rsidP="006D460F">
            <w:pPr>
              <w:spacing w:line="240" w:lineRule="auto"/>
              <w:rPr>
                <w:b/>
                <w:szCs w:val="24"/>
              </w:rPr>
            </w:pPr>
            <w:r w:rsidRPr="0070095A">
              <w:rPr>
                <w:b/>
                <w:szCs w:val="24"/>
              </w:rPr>
              <w:t>Pirkimo objekto pavadinimas</w:t>
            </w:r>
          </w:p>
        </w:tc>
        <w:tc>
          <w:tcPr>
            <w:tcW w:w="3921" w:type="dxa"/>
          </w:tcPr>
          <w:p w:rsidR="0033048A" w:rsidRPr="00AC2475" w:rsidRDefault="00BB70F6" w:rsidP="008C0C02">
            <w:pPr>
              <w:spacing w:line="240" w:lineRule="auto"/>
              <w:rPr>
                <w:b/>
                <w:szCs w:val="24"/>
              </w:rPr>
            </w:pPr>
            <w:r>
              <w:rPr>
                <w:b/>
              </w:rPr>
              <w:t>O</w:t>
            </w:r>
            <w:r w:rsidRPr="00E37144">
              <w:rPr>
                <w:b/>
              </w:rPr>
              <w:t xml:space="preserve">ptinio </w:t>
            </w:r>
            <w:proofErr w:type="spellStart"/>
            <w:r w:rsidRPr="00E37144">
              <w:rPr>
                <w:b/>
              </w:rPr>
              <w:t>koherentinio</w:t>
            </w:r>
            <w:proofErr w:type="spellEnd"/>
            <w:r w:rsidRPr="00E37144">
              <w:rPr>
                <w:b/>
              </w:rPr>
              <w:t xml:space="preserve"> tomografo</w:t>
            </w:r>
            <w:r>
              <w:rPr>
                <w:b/>
              </w:rPr>
              <w:t xml:space="preserve"> pirkimas</w:t>
            </w:r>
          </w:p>
        </w:tc>
      </w:tr>
      <w:tr w:rsidR="009C6385" w:rsidTr="006D460F">
        <w:tc>
          <w:tcPr>
            <w:tcW w:w="5095" w:type="dxa"/>
          </w:tcPr>
          <w:p w:rsidR="009C6385" w:rsidRPr="0033048A" w:rsidRDefault="009C6385" w:rsidP="009C6385">
            <w:pPr>
              <w:spacing w:line="240" w:lineRule="auto"/>
              <w:rPr>
                <w:szCs w:val="24"/>
              </w:rPr>
            </w:pPr>
            <w:r>
              <w:rPr>
                <w:szCs w:val="24"/>
              </w:rPr>
              <w:t>Rinkos konsultacija vykdyta</w:t>
            </w:r>
          </w:p>
        </w:tc>
        <w:tc>
          <w:tcPr>
            <w:tcW w:w="3921" w:type="dxa"/>
          </w:tcPr>
          <w:p w:rsidR="009C6385" w:rsidRDefault="009C6385" w:rsidP="0033048A">
            <w:pPr>
              <w:spacing w:line="240" w:lineRule="auto"/>
              <w:jc w:val="center"/>
              <w:rPr>
                <w:szCs w:val="24"/>
                <w:shd w:val="clear" w:color="auto" w:fill="FFFFFF"/>
              </w:rPr>
            </w:pPr>
          </w:p>
        </w:tc>
      </w:tr>
      <w:tr w:rsidR="0033048A" w:rsidTr="006D460F">
        <w:tc>
          <w:tcPr>
            <w:tcW w:w="5095" w:type="dxa"/>
          </w:tcPr>
          <w:p w:rsidR="0033048A" w:rsidRPr="0033048A" w:rsidRDefault="009C6385" w:rsidP="009C6385">
            <w:pPr>
              <w:spacing w:line="240" w:lineRule="auto"/>
              <w:rPr>
                <w:szCs w:val="24"/>
              </w:rPr>
            </w:pPr>
            <w:r>
              <w:rPr>
                <w:szCs w:val="24"/>
              </w:rPr>
              <w:t>Rinkos konsultacijos paskelbimo data ir numeris</w:t>
            </w:r>
          </w:p>
        </w:tc>
        <w:tc>
          <w:tcPr>
            <w:tcW w:w="3921" w:type="dxa"/>
          </w:tcPr>
          <w:p w:rsidR="0033048A" w:rsidRDefault="001D1335" w:rsidP="007063D6">
            <w:pPr>
              <w:spacing w:line="240" w:lineRule="auto"/>
              <w:jc w:val="center"/>
              <w:rPr>
                <w:szCs w:val="24"/>
                <w:shd w:val="clear" w:color="auto" w:fill="FFFFFF"/>
              </w:rPr>
            </w:pPr>
            <w:r>
              <w:rPr>
                <w:szCs w:val="24"/>
                <w:shd w:val="clear" w:color="auto" w:fill="FFFFFF"/>
              </w:rPr>
              <w:t>2025-0</w:t>
            </w:r>
            <w:r w:rsidR="007063D6">
              <w:rPr>
                <w:szCs w:val="24"/>
                <w:shd w:val="clear" w:color="auto" w:fill="FFFFFF"/>
              </w:rPr>
              <w:t>8</w:t>
            </w:r>
            <w:r>
              <w:rPr>
                <w:szCs w:val="24"/>
                <w:shd w:val="clear" w:color="auto" w:fill="FFFFFF"/>
              </w:rPr>
              <w:t>-</w:t>
            </w:r>
            <w:r w:rsidR="00BB70F6">
              <w:rPr>
                <w:szCs w:val="24"/>
                <w:shd w:val="clear" w:color="auto" w:fill="FFFFFF"/>
              </w:rPr>
              <w:t>18</w:t>
            </w:r>
            <w:r w:rsidR="009C6385">
              <w:rPr>
                <w:szCs w:val="24"/>
                <w:shd w:val="clear" w:color="auto" w:fill="FFFFFF"/>
              </w:rPr>
              <w:t xml:space="preserve"> Nr</w:t>
            </w:r>
            <w:r w:rsidR="009C6385" w:rsidRPr="007063D6">
              <w:rPr>
                <w:rFonts w:cs="Times New Roman"/>
                <w:szCs w:val="24"/>
                <w:shd w:val="clear" w:color="auto" w:fill="FFFFFF"/>
              </w:rPr>
              <w:t xml:space="preserve">. </w:t>
            </w:r>
            <w:r w:rsidR="00BB70F6">
              <w:rPr>
                <w:rFonts w:cs="Times New Roman"/>
                <w:color w:val="00241A"/>
                <w:szCs w:val="24"/>
                <w:shd w:val="clear" w:color="auto" w:fill="FFFFFF"/>
              </w:rPr>
              <w:t>4131822</w:t>
            </w:r>
          </w:p>
        </w:tc>
      </w:tr>
      <w:tr w:rsidR="0033048A" w:rsidTr="006D460F">
        <w:tc>
          <w:tcPr>
            <w:tcW w:w="5095" w:type="dxa"/>
          </w:tcPr>
          <w:p w:rsidR="0033048A" w:rsidRPr="0033048A" w:rsidRDefault="0033048A" w:rsidP="0033048A">
            <w:pPr>
              <w:spacing w:line="240" w:lineRule="auto"/>
              <w:rPr>
                <w:szCs w:val="24"/>
              </w:rPr>
            </w:pPr>
            <w:r>
              <w:rPr>
                <w:szCs w:val="24"/>
              </w:rPr>
              <w:t>Rinkos konsultacijos vykdymo laikotarpis</w:t>
            </w:r>
          </w:p>
        </w:tc>
        <w:tc>
          <w:tcPr>
            <w:tcW w:w="3921" w:type="dxa"/>
          </w:tcPr>
          <w:p w:rsidR="0033048A" w:rsidRPr="0033048A" w:rsidRDefault="009C6385" w:rsidP="007063D6">
            <w:pPr>
              <w:spacing w:line="240" w:lineRule="auto"/>
              <w:jc w:val="center"/>
              <w:rPr>
                <w:szCs w:val="24"/>
              </w:rPr>
            </w:pPr>
            <w:r>
              <w:rPr>
                <w:szCs w:val="24"/>
              </w:rPr>
              <w:t>202</w:t>
            </w:r>
            <w:r w:rsidR="001D1335">
              <w:rPr>
                <w:szCs w:val="24"/>
              </w:rPr>
              <w:t>5</w:t>
            </w:r>
            <w:r>
              <w:rPr>
                <w:szCs w:val="24"/>
              </w:rPr>
              <w:t>-0</w:t>
            </w:r>
            <w:r w:rsidR="007063D6">
              <w:rPr>
                <w:szCs w:val="24"/>
              </w:rPr>
              <w:t>8</w:t>
            </w:r>
            <w:r>
              <w:rPr>
                <w:szCs w:val="24"/>
              </w:rPr>
              <w:t>-</w:t>
            </w:r>
            <w:r w:rsidR="00BB70F6">
              <w:rPr>
                <w:szCs w:val="24"/>
              </w:rPr>
              <w:t>1</w:t>
            </w:r>
            <w:r w:rsidR="007063D6">
              <w:rPr>
                <w:szCs w:val="24"/>
              </w:rPr>
              <w:t>8</w:t>
            </w:r>
            <w:r w:rsidR="001D1335">
              <w:rPr>
                <w:szCs w:val="24"/>
              </w:rPr>
              <w:t xml:space="preserve"> – 2025</w:t>
            </w:r>
            <w:r>
              <w:rPr>
                <w:szCs w:val="24"/>
              </w:rPr>
              <w:t>-0</w:t>
            </w:r>
            <w:r w:rsidR="007063D6">
              <w:rPr>
                <w:szCs w:val="24"/>
              </w:rPr>
              <w:t>8</w:t>
            </w:r>
            <w:r w:rsidR="008C0C02">
              <w:rPr>
                <w:szCs w:val="24"/>
              </w:rPr>
              <w:t>-</w:t>
            </w:r>
            <w:r w:rsidR="00BB70F6">
              <w:rPr>
                <w:szCs w:val="24"/>
              </w:rPr>
              <w:t>25</w:t>
            </w:r>
          </w:p>
        </w:tc>
      </w:tr>
      <w:tr w:rsidR="0033048A" w:rsidTr="006D460F">
        <w:tc>
          <w:tcPr>
            <w:tcW w:w="5095" w:type="dxa"/>
          </w:tcPr>
          <w:p w:rsidR="00D05523" w:rsidRPr="0033048A" w:rsidRDefault="00D05523" w:rsidP="00D05523">
            <w:pPr>
              <w:spacing w:line="240" w:lineRule="auto"/>
              <w:rPr>
                <w:szCs w:val="24"/>
              </w:rPr>
            </w:pPr>
            <w:r>
              <w:rPr>
                <w:szCs w:val="24"/>
              </w:rPr>
              <w:t>Klausimų, pasiūlymų ar pastabų pateikusių dalyvių skaičius</w:t>
            </w:r>
          </w:p>
        </w:tc>
        <w:tc>
          <w:tcPr>
            <w:tcW w:w="3921" w:type="dxa"/>
          </w:tcPr>
          <w:p w:rsidR="0033048A" w:rsidRPr="0033048A" w:rsidRDefault="00B70D3A" w:rsidP="0033048A">
            <w:pPr>
              <w:spacing w:line="240" w:lineRule="auto"/>
              <w:jc w:val="center"/>
              <w:rPr>
                <w:szCs w:val="24"/>
              </w:rPr>
            </w:pPr>
            <w:r>
              <w:rPr>
                <w:szCs w:val="24"/>
              </w:rPr>
              <w:t>3</w:t>
            </w:r>
          </w:p>
        </w:tc>
      </w:tr>
      <w:tr w:rsidR="0033048A" w:rsidTr="006D460F">
        <w:tc>
          <w:tcPr>
            <w:tcW w:w="5095" w:type="dxa"/>
          </w:tcPr>
          <w:p w:rsidR="0033048A" w:rsidRPr="0070095A" w:rsidRDefault="00D05523" w:rsidP="0033048A">
            <w:pPr>
              <w:spacing w:line="240" w:lineRule="auto"/>
              <w:jc w:val="center"/>
              <w:rPr>
                <w:b/>
                <w:szCs w:val="24"/>
              </w:rPr>
            </w:pPr>
            <w:r w:rsidRPr="0070095A">
              <w:rPr>
                <w:b/>
                <w:szCs w:val="24"/>
              </w:rPr>
              <w:t>Klausimai, pasiūlymai ar pastabos</w:t>
            </w:r>
          </w:p>
        </w:tc>
        <w:tc>
          <w:tcPr>
            <w:tcW w:w="3921" w:type="dxa"/>
          </w:tcPr>
          <w:p w:rsidR="0033048A" w:rsidRPr="0070095A" w:rsidRDefault="00D05523" w:rsidP="0033048A">
            <w:pPr>
              <w:spacing w:line="240" w:lineRule="auto"/>
              <w:jc w:val="center"/>
              <w:rPr>
                <w:b/>
                <w:szCs w:val="24"/>
              </w:rPr>
            </w:pPr>
            <w:r w:rsidRPr="0070095A">
              <w:rPr>
                <w:b/>
                <w:szCs w:val="24"/>
              </w:rPr>
              <w:t>Perkančiosios organizacijos atsakymai</w:t>
            </w:r>
          </w:p>
        </w:tc>
      </w:tr>
      <w:tr w:rsidR="00FC3E34" w:rsidTr="00380E34">
        <w:trPr>
          <w:trHeight w:val="3300"/>
        </w:trPr>
        <w:tc>
          <w:tcPr>
            <w:tcW w:w="5095" w:type="dxa"/>
          </w:tcPr>
          <w:p w:rsidR="00FC3E34" w:rsidRDefault="00FC3E34" w:rsidP="00380E34">
            <w:pPr>
              <w:rPr>
                <w:rFonts w:cs="Times New Roman"/>
                <w:szCs w:val="24"/>
              </w:rPr>
            </w:pPr>
            <w:r>
              <w:rPr>
                <w:rFonts w:cs="Times New Roman"/>
                <w:szCs w:val="24"/>
              </w:rPr>
              <w:t xml:space="preserve">11. </w:t>
            </w:r>
            <w:r w:rsidRPr="00DC2401">
              <w:rPr>
                <w:rFonts w:cs="Times New Roman"/>
                <w:szCs w:val="24"/>
              </w:rPr>
              <w:t>Akies dugno fotografijų tipai</w:t>
            </w:r>
            <w:r>
              <w:rPr>
                <w:rFonts w:cs="Times New Roman"/>
                <w:szCs w:val="24"/>
              </w:rPr>
              <w:t xml:space="preserve"> </w:t>
            </w:r>
            <w:r w:rsidRPr="00DC2401">
              <w:rPr>
                <w:rFonts w:cs="Times New Roman"/>
                <w:szCs w:val="24"/>
              </w:rPr>
              <w:t xml:space="preserve">Spalvota ir </w:t>
            </w:r>
            <w:proofErr w:type="spellStart"/>
            <w:r w:rsidRPr="00DC2401">
              <w:rPr>
                <w:rFonts w:cs="Times New Roman"/>
                <w:szCs w:val="24"/>
              </w:rPr>
              <w:t>beraudė</w:t>
            </w:r>
            <w:proofErr w:type="spellEnd"/>
            <w:r w:rsidRPr="00DC2401">
              <w:rPr>
                <w:rFonts w:cs="Times New Roman"/>
                <w:szCs w:val="24"/>
              </w:rPr>
              <w:t xml:space="preserve"> (</w:t>
            </w:r>
            <w:proofErr w:type="spellStart"/>
            <w:r w:rsidRPr="00DC2401">
              <w:rPr>
                <w:rFonts w:cs="Times New Roman"/>
                <w:szCs w:val="24"/>
              </w:rPr>
              <w:t>Red-free</w:t>
            </w:r>
            <w:proofErr w:type="spellEnd"/>
            <w:r w:rsidRPr="00DC2401">
              <w:rPr>
                <w:rFonts w:cs="Times New Roman"/>
                <w:szCs w:val="24"/>
              </w:rPr>
              <w:t>), arba jiems lygiaverčiai dugno atvaizdavimo tipai.</w:t>
            </w:r>
          </w:p>
          <w:p w:rsidR="00FC3E34" w:rsidRPr="00DC2401" w:rsidRDefault="00FC3E34" w:rsidP="00380E34">
            <w:pPr>
              <w:rPr>
                <w:rFonts w:cs="Times New Roman"/>
                <w:i/>
                <w:iCs/>
                <w:szCs w:val="24"/>
              </w:rPr>
            </w:pPr>
            <w:r w:rsidRPr="00DC2401">
              <w:rPr>
                <w:rFonts w:cs="Times New Roman"/>
                <w:i/>
                <w:iCs/>
                <w:szCs w:val="24"/>
              </w:rPr>
              <w:t>Kad būtų užtikrintas konkurencingumas, siūlome reikalavimą Keisti į:</w:t>
            </w:r>
          </w:p>
          <w:p w:rsidR="00FC3E34" w:rsidRPr="00DC2401" w:rsidRDefault="00FC3E34" w:rsidP="00380E34">
            <w:pPr>
              <w:rPr>
                <w:rFonts w:cs="Times New Roman"/>
                <w:i/>
                <w:iCs/>
                <w:szCs w:val="24"/>
              </w:rPr>
            </w:pPr>
            <w:r w:rsidRPr="00DC2401">
              <w:rPr>
                <w:rFonts w:cs="Times New Roman"/>
                <w:i/>
                <w:iCs/>
                <w:szCs w:val="24"/>
              </w:rPr>
              <w:t xml:space="preserve">Spalvota ir/arba </w:t>
            </w:r>
            <w:proofErr w:type="spellStart"/>
            <w:r w:rsidRPr="00DC2401">
              <w:rPr>
                <w:rFonts w:cs="Times New Roman"/>
                <w:i/>
                <w:iCs/>
                <w:szCs w:val="24"/>
              </w:rPr>
              <w:t>beraudė</w:t>
            </w:r>
            <w:proofErr w:type="spellEnd"/>
            <w:r w:rsidRPr="00DC2401">
              <w:rPr>
                <w:rFonts w:cs="Times New Roman"/>
                <w:i/>
                <w:iCs/>
                <w:szCs w:val="24"/>
              </w:rPr>
              <w:t xml:space="preserve"> (</w:t>
            </w:r>
            <w:proofErr w:type="spellStart"/>
            <w:r w:rsidRPr="00DC2401">
              <w:rPr>
                <w:rFonts w:cs="Times New Roman"/>
                <w:i/>
                <w:iCs/>
                <w:szCs w:val="24"/>
              </w:rPr>
              <w:t>Red-free</w:t>
            </w:r>
            <w:proofErr w:type="spellEnd"/>
            <w:r w:rsidRPr="00DC2401">
              <w:rPr>
                <w:rFonts w:cs="Times New Roman"/>
                <w:i/>
                <w:iCs/>
                <w:szCs w:val="24"/>
              </w:rPr>
              <w:t>) arba lygiavertis dugno atvaizdavimo tipas</w:t>
            </w:r>
          </w:p>
          <w:p w:rsidR="00FC3E34" w:rsidRDefault="00FC3E34" w:rsidP="00380E34">
            <w:pPr>
              <w:rPr>
                <w:rFonts w:cs="Times New Roman"/>
                <w:szCs w:val="24"/>
              </w:rPr>
            </w:pPr>
          </w:p>
          <w:p w:rsidR="00FC3E34" w:rsidRDefault="00FC3E34" w:rsidP="00380E34">
            <w:pPr>
              <w:rPr>
                <w:rFonts w:cs="Times New Roman"/>
                <w:szCs w:val="24"/>
              </w:rPr>
            </w:pPr>
          </w:p>
          <w:p w:rsidR="00FC3E34" w:rsidRPr="006E1DC3" w:rsidRDefault="00FC3E34" w:rsidP="00380E34">
            <w:pPr>
              <w:rPr>
                <w:rFonts w:cs="Times New Roman"/>
                <w:szCs w:val="24"/>
              </w:rPr>
            </w:pPr>
          </w:p>
        </w:tc>
        <w:tc>
          <w:tcPr>
            <w:tcW w:w="3921" w:type="dxa"/>
          </w:tcPr>
          <w:p w:rsidR="00FC3E34" w:rsidRPr="0033048A" w:rsidRDefault="00FC3E34" w:rsidP="00C84FD9">
            <w:pPr>
              <w:tabs>
                <w:tab w:val="left" w:pos="993"/>
              </w:tabs>
              <w:suppressAutoHyphens/>
              <w:ind w:firstLine="57"/>
              <w:rPr>
                <w:szCs w:val="24"/>
              </w:rPr>
            </w:pPr>
            <w:r>
              <w:rPr>
                <w:rFonts w:cs="Times New Roman"/>
                <w:szCs w:val="24"/>
              </w:rPr>
              <w:t xml:space="preserve">Priimtas spendimas </w:t>
            </w:r>
            <w:r w:rsidR="00380E34">
              <w:rPr>
                <w:rFonts w:cs="Times New Roman"/>
                <w:szCs w:val="24"/>
              </w:rPr>
              <w:t>reikalavimo netenkinti</w:t>
            </w:r>
            <w:r w:rsidRPr="00B70D3A">
              <w:rPr>
                <w:rFonts w:cs="Times New Roman"/>
                <w:szCs w:val="24"/>
              </w:rPr>
              <w:t xml:space="preserve">, nes spalvota ir </w:t>
            </w:r>
            <w:proofErr w:type="spellStart"/>
            <w:r w:rsidRPr="00B70D3A">
              <w:rPr>
                <w:rFonts w:cs="Times New Roman"/>
                <w:szCs w:val="24"/>
              </w:rPr>
              <w:t>beraudė</w:t>
            </w:r>
            <w:proofErr w:type="spellEnd"/>
            <w:r w:rsidRPr="00B70D3A">
              <w:rPr>
                <w:rFonts w:cs="Times New Roman"/>
                <w:szCs w:val="24"/>
              </w:rPr>
              <w:t xml:space="preserve"> (</w:t>
            </w:r>
            <w:proofErr w:type="spellStart"/>
            <w:r w:rsidRPr="00B70D3A">
              <w:rPr>
                <w:rFonts w:cs="Times New Roman"/>
                <w:szCs w:val="24"/>
              </w:rPr>
              <w:t>Red-free</w:t>
            </w:r>
            <w:proofErr w:type="spellEnd"/>
            <w:r w:rsidRPr="00B70D3A">
              <w:rPr>
                <w:rFonts w:cs="Times New Roman"/>
                <w:szCs w:val="24"/>
              </w:rPr>
              <w:t xml:space="preserve">) akių dugno fotografijos yra standartiniai vienas kitą papildantys tyrimai. Spalvotoje fotografijoje vertinama akių dugno spalva ir struktūros esant maksimaliai natūraliam apšvietimui, tuo tarpu </w:t>
            </w:r>
            <w:proofErr w:type="spellStart"/>
            <w:r w:rsidRPr="00B70D3A">
              <w:rPr>
                <w:rFonts w:cs="Times New Roman"/>
                <w:szCs w:val="24"/>
              </w:rPr>
              <w:t>beraudėje</w:t>
            </w:r>
            <w:proofErr w:type="spellEnd"/>
            <w:r w:rsidRPr="00B70D3A">
              <w:rPr>
                <w:rFonts w:cs="Times New Roman"/>
                <w:szCs w:val="24"/>
              </w:rPr>
              <w:t xml:space="preserve"> fotografijoje vertinamos kraujagyslės ir jų pakitimai.</w:t>
            </w:r>
          </w:p>
        </w:tc>
      </w:tr>
      <w:tr w:rsidR="00FC3E34" w:rsidTr="00380E34">
        <w:trPr>
          <w:trHeight w:val="3300"/>
        </w:trPr>
        <w:tc>
          <w:tcPr>
            <w:tcW w:w="5095" w:type="dxa"/>
          </w:tcPr>
          <w:p w:rsidR="00FC3E34" w:rsidRDefault="00FC3E34" w:rsidP="00FC3E34">
            <w:pPr>
              <w:rPr>
                <w:rFonts w:cs="Times New Roman"/>
                <w:szCs w:val="24"/>
                <w:lang w:val="pt-PT"/>
              </w:rPr>
            </w:pPr>
            <w:r>
              <w:rPr>
                <w:rFonts w:cs="Times New Roman"/>
                <w:szCs w:val="24"/>
                <w:lang w:val="pt-PT"/>
              </w:rPr>
              <w:t xml:space="preserve">13. </w:t>
            </w:r>
            <w:r w:rsidRPr="00DC2401">
              <w:rPr>
                <w:rFonts w:cs="Times New Roman"/>
                <w:szCs w:val="24"/>
                <w:lang w:val="pt-PT"/>
              </w:rPr>
              <w:t>OKT ir spalvotos fotografijos tyrimų atlikimas</w:t>
            </w:r>
            <w:r>
              <w:rPr>
                <w:rFonts w:cs="Times New Roman"/>
                <w:szCs w:val="24"/>
                <w:lang w:val="pt-PT"/>
              </w:rPr>
              <w:t xml:space="preserve"> </w:t>
            </w:r>
            <w:r w:rsidRPr="00DC2401">
              <w:rPr>
                <w:rFonts w:cs="Times New Roman"/>
                <w:szCs w:val="24"/>
                <w:lang w:val="pt-PT"/>
              </w:rPr>
              <w:t>Pilnai automatinis (vienu mygtuko paspaudimu)</w:t>
            </w:r>
          </w:p>
          <w:p w:rsidR="00FC3E34" w:rsidRDefault="00FC3E34" w:rsidP="00FC3E34">
            <w:pPr>
              <w:rPr>
                <w:rFonts w:cs="Times New Roman"/>
                <w:szCs w:val="24"/>
                <w:lang w:val="pt-PT"/>
              </w:rPr>
            </w:pPr>
          </w:p>
          <w:p w:rsidR="00FC3E34" w:rsidRPr="00DC2401" w:rsidRDefault="00FC3E34" w:rsidP="00FC3E34">
            <w:pPr>
              <w:rPr>
                <w:rFonts w:cs="Times New Roman"/>
                <w:i/>
                <w:iCs/>
                <w:szCs w:val="24"/>
                <w:lang w:val="pt-PT"/>
              </w:rPr>
            </w:pPr>
            <w:r w:rsidRPr="00DC2401">
              <w:rPr>
                <w:rFonts w:cs="Times New Roman"/>
                <w:i/>
                <w:iCs/>
                <w:szCs w:val="24"/>
                <w:lang w:val="pt-PT"/>
              </w:rPr>
              <w:t>Kad būtų užtikrintas konkurencingumas, siūlome reikalavimą keisti į:</w:t>
            </w:r>
          </w:p>
          <w:p w:rsidR="00FC3E34" w:rsidRPr="006E1DC3" w:rsidRDefault="00FC3E34" w:rsidP="000028AE">
            <w:pPr>
              <w:rPr>
                <w:rFonts w:cs="Times New Roman"/>
                <w:szCs w:val="24"/>
              </w:rPr>
            </w:pPr>
            <w:r w:rsidRPr="00DC2401">
              <w:rPr>
                <w:rFonts w:cs="Times New Roman"/>
                <w:i/>
                <w:iCs/>
                <w:szCs w:val="24"/>
                <w:lang w:val="pt-PT"/>
              </w:rPr>
              <w:t>Su automatiniu fokusavimu ir automatiniu atlikimu arba pilnai automatinis (vieno mygtuko paspaudimu).</w:t>
            </w:r>
          </w:p>
        </w:tc>
        <w:tc>
          <w:tcPr>
            <w:tcW w:w="3921" w:type="dxa"/>
          </w:tcPr>
          <w:p w:rsidR="00FC3E34" w:rsidRPr="0033048A" w:rsidRDefault="00FC3E34" w:rsidP="00380E34">
            <w:pPr>
              <w:rPr>
                <w:szCs w:val="24"/>
              </w:rPr>
            </w:pPr>
            <w:r>
              <w:rPr>
                <w:rFonts w:cs="Times New Roman"/>
                <w:szCs w:val="24"/>
              </w:rPr>
              <w:t>Priimtas spendimas reikalavim</w:t>
            </w:r>
            <w:r w:rsidR="00380E34">
              <w:rPr>
                <w:rFonts w:cs="Times New Roman"/>
                <w:szCs w:val="24"/>
              </w:rPr>
              <w:t>o</w:t>
            </w:r>
            <w:r>
              <w:rPr>
                <w:rFonts w:cs="Times New Roman"/>
                <w:szCs w:val="24"/>
              </w:rPr>
              <w:t xml:space="preserve"> ne</w:t>
            </w:r>
            <w:r w:rsidR="00380E34">
              <w:rPr>
                <w:rFonts w:cs="Times New Roman"/>
                <w:szCs w:val="24"/>
              </w:rPr>
              <w:t>tenkinti</w:t>
            </w:r>
            <w:r>
              <w:rPr>
                <w:rFonts w:cs="Times New Roman"/>
                <w:szCs w:val="24"/>
              </w:rPr>
              <w:t>. R</w:t>
            </w:r>
            <w:r w:rsidRPr="00B70D3A">
              <w:rPr>
                <w:rFonts w:cs="Times New Roman"/>
                <w:szCs w:val="24"/>
              </w:rPr>
              <w:t xml:space="preserve">eikalavimas apima pagrindinių tyrimų atlikimo automatizavimo lygį. Pilnai automatinis tyrimo atlikimas pagreitina tyrimo atlikimą, sumažina rezultatų priklausomybę nuo tiriančiojo įgūdžių ir taip padidina diagnostinį tikslumą. </w:t>
            </w:r>
          </w:p>
        </w:tc>
      </w:tr>
      <w:tr w:rsidR="00FC3E34" w:rsidTr="00FC3E34">
        <w:trPr>
          <w:trHeight w:val="699"/>
        </w:trPr>
        <w:tc>
          <w:tcPr>
            <w:tcW w:w="5095" w:type="dxa"/>
          </w:tcPr>
          <w:p w:rsidR="00FC3E34" w:rsidRDefault="00FC3E34" w:rsidP="00FC3E34">
            <w:pPr>
              <w:rPr>
                <w:rFonts w:cs="Times New Roman"/>
                <w:szCs w:val="24"/>
                <w:lang w:val="pt-PT"/>
              </w:rPr>
            </w:pPr>
            <w:r>
              <w:rPr>
                <w:rFonts w:cs="Times New Roman"/>
                <w:szCs w:val="24"/>
                <w:lang w:val="pt-PT"/>
              </w:rPr>
              <w:t xml:space="preserve">15. </w:t>
            </w:r>
            <w:r w:rsidRPr="00DC2401">
              <w:rPr>
                <w:rFonts w:cs="Times New Roman"/>
                <w:szCs w:val="24"/>
                <w:lang w:val="pt-PT"/>
              </w:rPr>
              <w:t>Automatinė skenavimo pozicijos korekcija pacientams su katarakta, skenuojant per skaidresnius lęšiuko sluoksnius</w:t>
            </w:r>
            <w:r>
              <w:rPr>
                <w:rFonts w:cs="Times New Roman"/>
                <w:szCs w:val="24"/>
                <w:lang w:val="pt-PT"/>
              </w:rPr>
              <w:t xml:space="preserve"> </w:t>
            </w:r>
            <w:r w:rsidRPr="00DC2401">
              <w:rPr>
                <w:rFonts w:cs="Times New Roman"/>
                <w:szCs w:val="24"/>
                <w:lang w:val="pt-PT"/>
              </w:rPr>
              <w:t>Būtina</w:t>
            </w:r>
          </w:p>
          <w:p w:rsidR="00FC3E34" w:rsidRDefault="00FC3E34" w:rsidP="00FC3E34">
            <w:pPr>
              <w:rPr>
                <w:rFonts w:cs="Times New Roman"/>
                <w:szCs w:val="24"/>
                <w:lang w:val="pt-PT"/>
              </w:rPr>
            </w:pPr>
          </w:p>
          <w:p w:rsidR="00FC3E34" w:rsidRPr="00DC2401" w:rsidRDefault="00FC3E34" w:rsidP="00FC3E34">
            <w:pPr>
              <w:rPr>
                <w:rFonts w:cs="Times New Roman"/>
                <w:i/>
                <w:iCs/>
                <w:szCs w:val="24"/>
                <w:lang w:val="pt-PT"/>
              </w:rPr>
            </w:pPr>
            <w:r w:rsidRPr="00DC2401">
              <w:rPr>
                <w:rFonts w:cs="Times New Roman"/>
                <w:i/>
                <w:iCs/>
                <w:szCs w:val="24"/>
                <w:lang w:val="pt-PT"/>
              </w:rPr>
              <w:t>Kad būtų užtikrintas konkurencingumas, siūlome reikalavimą keisti į:</w:t>
            </w:r>
          </w:p>
          <w:p w:rsidR="00FC3E34" w:rsidRPr="00DC2401" w:rsidRDefault="00FC3E34" w:rsidP="00FC3E34">
            <w:pPr>
              <w:rPr>
                <w:rFonts w:cs="Times New Roman"/>
                <w:i/>
                <w:iCs/>
                <w:szCs w:val="24"/>
                <w:lang w:val="pt-PT"/>
              </w:rPr>
            </w:pPr>
            <w:r w:rsidRPr="00DC2401">
              <w:rPr>
                <w:rFonts w:cs="Times New Roman"/>
                <w:i/>
                <w:iCs/>
                <w:szCs w:val="24"/>
                <w:lang w:val="pt-PT"/>
              </w:rPr>
              <w:t>Specialus režimas pacientams su katarakta</w:t>
            </w:r>
          </w:p>
          <w:p w:rsidR="00FC3E34" w:rsidRPr="00DC2401" w:rsidRDefault="00FC3E34" w:rsidP="00FC3E34">
            <w:pPr>
              <w:rPr>
                <w:rFonts w:cs="Times New Roman"/>
                <w:szCs w:val="24"/>
                <w:lang w:val="pt-PT"/>
              </w:rPr>
            </w:pPr>
          </w:p>
          <w:p w:rsidR="00FC3E34" w:rsidRPr="006E1DC3" w:rsidRDefault="00FC3E34" w:rsidP="00FC3E34">
            <w:pPr>
              <w:rPr>
                <w:rFonts w:cs="Times New Roman"/>
                <w:szCs w:val="24"/>
              </w:rPr>
            </w:pPr>
            <w:r w:rsidRPr="00DC2401">
              <w:rPr>
                <w:rFonts w:cs="Times New Roman"/>
                <w:szCs w:val="24"/>
                <w:lang w:val="pt-PT"/>
              </w:rPr>
              <w:t>* Kai kurių gamintojų įrenginiai vietoj automatinės korekcijos taiko specializuotus kataraktai skirtus skenavimo režimus, kurie leidžia pasiekti tą patį ar net geresnį rezultatą. Dabartinė formuluotė apriboja tokių gamintojų dalyvavimą.</w:t>
            </w:r>
          </w:p>
        </w:tc>
        <w:tc>
          <w:tcPr>
            <w:tcW w:w="3921" w:type="dxa"/>
          </w:tcPr>
          <w:p w:rsidR="00FC3E34" w:rsidRPr="0033048A" w:rsidRDefault="00380E34" w:rsidP="00380E34">
            <w:pPr>
              <w:rPr>
                <w:szCs w:val="24"/>
              </w:rPr>
            </w:pPr>
            <w:r>
              <w:rPr>
                <w:rFonts w:cs="Times New Roman"/>
                <w:szCs w:val="24"/>
              </w:rPr>
              <w:t>Priimtas spendimas reikalavimo netenkinti</w:t>
            </w:r>
            <w:r>
              <w:rPr>
                <w:szCs w:val="24"/>
              </w:rPr>
              <w:t>.</w:t>
            </w:r>
            <w:r w:rsidR="00FC3E34" w:rsidRPr="00B70D3A">
              <w:rPr>
                <w:rFonts w:cs="Times New Roman"/>
                <w:szCs w:val="24"/>
              </w:rPr>
              <w:t xml:space="preserve"> </w:t>
            </w:r>
            <w:r>
              <w:rPr>
                <w:rFonts w:cs="Times New Roman"/>
                <w:szCs w:val="24"/>
              </w:rPr>
              <w:t>D</w:t>
            </w:r>
            <w:r w:rsidR="00FC3E34" w:rsidRPr="00B70D3A">
              <w:rPr>
                <w:rFonts w:cs="Times New Roman"/>
                <w:szCs w:val="24"/>
              </w:rPr>
              <w:t>auguma tiriamųjų pacientų yra vyresnio amžiaus ir neretai turintys ne vieną patologiją, kataraktos buvimas labai apsunkina akių dugno įvertinimą glaukomos ar AGDD ligų atvejais. Automatinė skenavimo pozicijos korekcija pacientams su katarakta pagreitina tyrimo atlikimą, sumažina rezultatų priklausomybę nuo tiriančiojo įgūdžių ir taip padidina diagnostinį tikslumą.</w:t>
            </w:r>
            <w:r w:rsidR="00FC3E34">
              <w:rPr>
                <w:rFonts w:cs="Times New Roman"/>
                <w:szCs w:val="24"/>
              </w:rPr>
              <w:t xml:space="preserve"> </w:t>
            </w:r>
          </w:p>
        </w:tc>
      </w:tr>
      <w:tr w:rsidR="00FC3E34" w:rsidTr="00FC3E34">
        <w:trPr>
          <w:trHeight w:val="4536"/>
        </w:trPr>
        <w:tc>
          <w:tcPr>
            <w:tcW w:w="5095" w:type="dxa"/>
          </w:tcPr>
          <w:p w:rsidR="00FC3E34" w:rsidRDefault="00FC3E34" w:rsidP="00FC3E34">
            <w:pPr>
              <w:rPr>
                <w:rFonts w:cs="Times New Roman"/>
                <w:szCs w:val="24"/>
              </w:rPr>
            </w:pPr>
            <w:r>
              <w:rPr>
                <w:rFonts w:cs="Times New Roman"/>
                <w:szCs w:val="24"/>
                <w:lang w:val="pt-PT"/>
              </w:rPr>
              <w:t>17.</w:t>
            </w:r>
            <w:r>
              <w:t xml:space="preserve"> </w:t>
            </w:r>
            <w:r w:rsidRPr="00DC2401">
              <w:rPr>
                <w:rFonts w:cs="Times New Roman"/>
                <w:szCs w:val="24"/>
                <w:lang w:val="pt-PT"/>
              </w:rPr>
              <w:t xml:space="preserve">2. </w:t>
            </w:r>
            <w:proofErr w:type="spellStart"/>
            <w:r w:rsidRPr="00DC2401">
              <w:rPr>
                <w:rFonts w:cs="Times New Roman"/>
                <w:szCs w:val="24"/>
              </w:rPr>
              <w:t>Ganglinių</w:t>
            </w:r>
            <w:proofErr w:type="spellEnd"/>
            <w:r w:rsidRPr="00DC2401">
              <w:rPr>
                <w:rFonts w:cs="Times New Roman"/>
                <w:szCs w:val="24"/>
              </w:rPr>
              <w:t xml:space="preserve"> ląstelių sluoksnio (</w:t>
            </w:r>
            <w:r w:rsidRPr="00DC2401">
              <w:rPr>
                <w:rFonts w:cs="Times New Roman"/>
                <w:i/>
                <w:szCs w:val="24"/>
              </w:rPr>
              <w:t>angliškai: GCL+, GCL++</w:t>
            </w:r>
            <w:r w:rsidRPr="00DC2401">
              <w:rPr>
                <w:rFonts w:cs="Times New Roman"/>
                <w:szCs w:val="24"/>
              </w:rPr>
              <w:t xml:space="preserve">) storio </w:t>
            </w:r>
            <w:proofErr w:type="spellStart"/>
            <w:r w:rsidRPr="00DC2401">
              <w:rPr>
                <w:rFonts w:cs="Times New Roman"/>
                <w:szCs w:val="24"/>
              </w:rPr>
              <w:t>makuloje</w:t>
            </w:r>
            <w:proofErr w:type="spellEnd"/>
            <w:r w:rsidRPr="00DC2401">
              <w:rPr>
                <w:rFonts w:cs="Times New Roman"/>
                <w:szCs w:val="24"/>
              </w:rPr>
              <w:t xml:space="preserve"> nustatymas, palyginimas su normatyvine duomenų baze.</w:t>
            </w:r>
          </w:p>
          <w:p w:rsidR="00FC3E34" w:rsidRDefault="00FC3E34" w:rsidP="00FC3E34">
            <w:pPr>
              <w:rPr>
                <w:rFonts w:cs="Times New Roman"/>
                <w:szCs w:val="24"/>
              </w:rPr>
            </w:pPr>
          </w:p>
          <w:p w:rsidR="00FC3E34" w:rsidRPr="00DC2401" w:rsidRDefault="00FC3E34" w:rsidP="00FC3E34">
            <w:pPr>
              <w:rPr>
                <w:rFonts w:cs="Times New Roman"/>
                <w:i/>
                <w:iCs/>
                <w:szCs w:val="24"/>
              </w:rPr>
            </w:pPr>
            <w:r w:rsidRPr="00DC2401">
              <w:rPr>
                <w:rFonts w:cs="Times New Roman"/>
                <w:i/>
                <w:iCs/>
                <w:szCs w:val="24"/>
              </w:rPr>
              <w:t>Kad būtų užtikrintas konkurencingumas, siūlome reikalavimą keisti į:</w:t>
            </w:r>
          </w:p>
          <w:p w:rsidR="00FC3E34" w:rsidRPr="00DC2401" w:rsidRDefault="00FC3E34" w:rsidP="00FC3E34">
            <w:pPr>
              <w:rPr>
                <w:rFonts w:cs="Times New Roman"/>
                <w:i/>
                <w:iCs/>
                <w:szCs w:val="24"/>
              </w:rPr>
            </w:pPr>
            <w:proofErr w:type="spellStart"/>
            <w:r w:rsidRPr="00DC2401">
              <w:rPr>
                <w:rFonts w:cs="Times New Roman"/>
                <w:i/>
                <w:iCs/>
                <w:szCs w:val="24"/>
              </w:rPr>
              <w:t>Ganglinių</w:t>
            </w:r>
            <w:proofErr w:type="spellEnd"/>
            <w:r w:rsidRPr="00DC2401">
              <w:rPr>
                <w:rFonts w:cs="Times New Roman"/>
                <w:i/>
                <w:iCs/>
                <w:szCs w:val="24"/>
              </w:rPr>
              <w:t xml:space="preserve"> ląstelių sluoksnio storio </w:t>
            </w:r>
            <w:proofErr w:type="spellStart"/>
            <w:r w:rsidRPr="00DC2401">
              <w:rPr>
                <w:rFonts w:cs="Times New Roman"/>
                <w:i/>
                <w:iCs/>
                <w:szCs w:val="24"/>
              </w:rPr>
              <w:t>makuloje</w:t>
            </w:r>
            <w:proofErr w:type="spellEnd"/>
            <w:r w:rsidRPr="00DC2401">
              <w:rPr>
                <w:rFonts w:cs="Times New Roman"/>
                <w:i/>
                <w:iCs/>
                <w:szCs w:val="24"/>
              </w:rPr>
              <w:t xml:space="preserve"> nustatymas, palyginimas su normatyvine duomenų baze</w:t>
            </w:r>
          </w:p>
          <w:p w:rsidR="00FC3E34" w:rsidRPr="006E1DC3" w:rsidRDefault="00FC3E34" w:rsidP="00FC3E34">
            <w:pPr>
              <w:rPr>
                <w:rFonts w:cs="Times New Roman"/>
                <w:szCs w:val="24"/>
              </w:rPr>
            </w:pPr>
            <w:r>
              <w:rPr>
                <w:rFonts w:cs="Times New Roman"/>
                <w:szCs w:val="24"/>
                <w:vertAlign w:val="superscript"/>
                <w:lang w:val="pt-PT"/>
              </w:rPr>
              <w:t>*</w:t>
            </w:r>
            <w:r w:rsidRPr="00DC2401">
              <w:rPr>
                <w:rFonts w:cs="Times New Roman"/>
                <w:szCs w:val="24"/>
                <w:lang w:val="pt-PT"/>
              </w:rPr>
              <w:t>Esami terminai yra specifiniai vienam gamintojui. Siekiant technologinio neutralumo, siūlome juos apibendrinti. Tai leistų dalyvauti platesniam ratui tiekėjų, užtikrinant kokybišką glaukomos diagnostiką.</w:t>
            </w:r>
          </w:p>
        </w:tc>
        <w:tc>
          <w:tcPr>
            <w:tcW w:w="3921" w:type="dxa"/>
          </w:tcPr>
          <w:p w:rsidR="00FC3E34" w:rsidRPr="00B70D3A" w:rsidRDefault="00380E34" w:rsidP="00FC3E34">
            <w:pPr>
              <w:rPr>
                <w:rFonts w:cs="Times New Roman"/>
                <w:szCs w:val="24"/>
                <w:lang w:val="pt-PT"/>
              </w:rPr>
            </w:pPr>
            <w:r>
              <w:rPr>
                <w:rFonts w:cs="Times New Roman"/>
                <w:szCs w:val="24"/>
                <w:lang w:val="pt-PT"/>
              </w:rPr>
              <w:t>Priimtas sprendima reikalavimą tenkinti</w:t>
            </w:r>
            <w:r w:rsidR="00FC3E34" w:rsidRPr="00B70D3A">
              <w:rPr>
                <w:rFonts w:cs="Times New Roman"/>
                <w:szCs w:val="24"/>
                <w:lang w:val="pt-PT"/>
              </w:rPr>
              <w:t xml:space="preserve"> – </w:t>
            </w:r>
            <w:r>
              <w:rPr>
                <w:rFonts w:cs="Times New Roman"/>
                <w:szCs w:val="24"/>
                <w:lang w:val="pt-PT"/>
              </w:rPr>
              <w:t>keisti</w:t>
            </w:r>
            <w:r w:rsidR="00FC3E34" w:rsidRPr="00B70D3A">
              <w:rPr>
                <w:rFonts w:cs="Times New Roman"/>
                <w:szCs w:val="24"/>
                <w:lang w:val="pt-PT"/>
              </w:rPr>
              <w:t xml:space="preserve"> į:</w:t>
            </w:r>
          </w:p>
          <w:p w:rsidR="00FC3E34" w:rsidRDefault="00FC3E34" w:rsidP="00FC3E34">
            <w:pPr>
              <w:rPr>
                <w:rFonts w:cs="Times New Roman"/>
                <w:szCs w:val="24"/>
              </w:rPr>
            </w:pPr>
            <w:proofErr w:type="spellStart"/>
            <w:r w:rsidRPr="00B70D3A">
              <w:rPr>
                <w:rFonts w:cs="Times New Roman"/>
                <w:szCs w:val="24"/>
              </w:rPr>
              <w:t>Ganglinių</w:t>
            </w:r>
            <w:proofErr w:type="spellEnd"/>
            <w:r w:rsidRPr="00B70D3A">
              <w:rPr>
                <w:rFonts w:cs="Times New Roman"/>
                <w:szCs w:val="24"/>
              </w:rPr>
              <w:t xml:space="preserve"> ląstelių sluoksnio storio </w:t>
            </w:r>
            <w:proofErr w:type="spellStart"/>
            <w:r w:rsidRPr="00B70D3A">
              <w:rPr>
                <w:rFonts w:cs="Times New Roman"/>
                <w:szCs w:val="24"/>
              </w:rPr>
              <w:t>makuloje</w:t>
            </w:r>
            <w:proofErr w:type="spellEnd"/>
            <w:r w:rsidRPr="00B70D3A">
              <w:rPr>
                <w:rFonts w:cs="Times New Roman"/>
                <w:szCs w:val="24"/>
              </w:rPr>
              <w:t xml:space="preserve"> nustatymas, palyginimas su normatyvine duomenų baze.</w:t>
            </w:r>
          </w:p>
          <w:p w:rsidR="00FC3E34" w:rsidRPr="0033048A" w:rsidRDefault="00FC3E34" w:rsidP="00380E34">
            <w:pPr>
              <w:tabs>
                <w:tab w:val="left" w:pos="993"/>
              </w:tabs>
              <w:suppressAutoHyphens/>
              <w:ind w:firstLine="57"/>
              <w:rPr>
                <w:szCs w:val="24"/>
              </w:rPr>
            </w:pPr>
          </w:p>
        </w:tc>
      </w:tr>
      <w:tr w:rsidR="00FC3E34" w:rsidTr="00380E34">
        <w:trPr>
          <w:trHeight w:val="3300"/>
        </w:trPr>
        <w:tc>
          <w:tcPr>
            <w:tcW w:w="5095" w:type="dxa"/>
          </w:tcPr>
          <w:p w:rsidR="00FC3E34" w:rsidRDefault="00FC3E34" w:rsidP="00FC3E34">
            <w:pPr>
              <w:rPr>
                <w:rFonts w:cs="Times New Roman"/>
                <w:szCs w:val="24"/>
              </w:rPr>
            </w:pPr>
            <w:r w:rsidRPr="000C417A">
              <w:rPr>
                <w:rFonts w:eastAsia="Calibri" w:cs="Times New Roman"/>
                <w:b/>
                <w:bCs/>
                <w:szCs w:val="24"/>
              </w:rPr>
              <w:t xml:space="preserve">6 punktas- </w:t>
            </w:r>
            <w:r w:rsidRPr="000C417A">
              <w:rPr>
                <w:rFonts w:cs="Times New Roman"/>
                <w:szCs w:val="24"/>
              </w:rPr>
              <w:t>OKT skenavimo ašinė rezoliucija</w:t>
            </w:r>
            <w:r w:rsidRPr="000C417A">
              <w:rPr>
                <w:rFonts w:eastAsia="Calibri" w:cs="Times New Roman"/>
                <w:b/>
                <w:bCs/>
                <w:szCs w:val="24"/>
              </w:rPr>
              <w:t xml:space="preserve"> </w:t>
            </w:r>
            <w:r w:rsidRPr="000C417A">
              <w:rPr>
                <w:rFonts w:cs="Times New Roman"/>
                <w:szCs w:val="24"/>
              </w:rPr>
              <w:t>ne daugiau 6 µm</w:t>
            </w:r>
          </w:p>
          <w:p w:rsidR="00FC3E34" w:rsidRPr="000C417A" w:rsidRDefault="00FC3E34" w:rsidP="00FC3E34">
            <w:pPr>
              <w:rPr>
                <w:rFonts w:cs="Times New Roman"/>
                <w:szCs w:val="24"/>
              </w:rPr>
            </w:pPr>
            <w:r w:rsidRPr="000C417A">
              <w:rPr>
                <w:rFonts w:cs="Times New Roman"/>
                <w:b/>
                <w:bCs/>
                <w:szCs w:val="24"/>
              </w:rPr>
              <w:t xml:space="preserve">Siūlymas/pastaba: </w:t>
            </w:r>
            <w:r w:rsidRPr="000C417A">
              <w:rPr>
                <w:rFonts w:cs="Times New Roman"/>
                <w:szCs w:val="24"/>
              </w:rPr>
              <w:t>OKT skenavimo ašinė rezoliucija</w:t>
            </w:r>
            <w:r w:rsidRPr="000C417A">
              <w:rPr>
                <w:rFonts w:eastAsia="Calibri" w:cs="Times New Roman"/>
                <w:b/>
                <w:bCs/>
                <w:szCs w:val="24"/>
              </w:rPr>
              <w:t xml:space="preserve"> </w:t>
            </w:r>
            <w:r w:rsidRPr="000C417A">
              <w:rPr>
                <w:rFonts w:cs="Times New Roman"/>
                <w:szCs w:val="24"/>
              </w:rPr>
              <w:t>ne daugiau 7 µm.</w:t>
            </w:r>
          </w:p>
          <w:p w:rsidR="00FC3E34" w:rsidRPr="000C417A" w:rsidRDefault="00FC3E34" w:rsidP="00FC3E34">
            <w:pPr>
              <w:rPr>
                <w:rFonts w:cs="Times New Roman"/>
                <w:szCs w:val="24"/>
              </w:rPr>
            </w:pPr>
            <w:r w:rsidRPr="000C417A">
              <w:rPr>
                <w:rFonts w:cs="Times New Roman"/>
                <w:szCs w:val="24"/>
              </w:rPr>
              <w:t xml:space="preserve">Skirtumas tarp 6 µm ir 7 µm ašinės rezoliucijos yra kliniškai nereikšmingas – abi vertės užtikrina aukštą vaizdo kokybę ir leidžia tiksliai diagnozuoti tinklainės struktūras, įskaitant </w:t>
            </w:r>
            <w:proofErr w:type="spellStart"/>
            <w:r w:rsidRPr="000C417A">
              <w:rPr>
                <w:rFonts w:cs="Times New Roman"/>
                <w:szCs w:val="24"/>
              </w:rPr>
              <w:t>makulą</w:t>
            </w:r>
            <w:proofErr w:type="spellEnd"/>
            <w:r w:rsidRPr="000C417A">
              <w:rPr>
                <w:rFonts w:cs="Times New Roman"/>
                <w:szCs w:val="24"/>
              </w:rPr>
              <w:t>, regos nervo ir tinklainės sluoksnius. Dauguma rinkoje esančių modernių OKT įrenginių veikia 6–7 µm ašinės rezoliucijos ribose, todėl griežtas reikalavimas ne didesnei kaip 6 µm rezoliucijai neproporcingai riboja konkurenciją ir gali būti vertinamas kaip perteklinis. Šio reikalavimo koregavimas užtikrintų konkurenciją ir leistų dalyvauti rinkoje esantiems kokybiškiems įrenginiams.</w:t>
            </w:r>
          </w:p>
          <w:p w:rsidR="00FC3E34" w:rsidRPr="006E1DC3" w:rsidRDefault="00FC3E34" w:rsidP="00380E34">
            <w:pPr>
              <w:rPr>
                <w:rFonts w:cs="Times New Roman"/>
                <w:szCs w:val="24"/>
              </w:rPr>
            </w:pPr>
            <w:bookmarkStart w:id="0" w:name="_GoBack"/>
            <w:bookmarkEnd w:id="0"/>
          </w:p>
        </w:tc>
        <w:tc>
          <w:tcPr>
            <w:tcW w:w="3921" w:type="dxa"/>
          </w:tcPr>
          <w:p w:rsidR="00FC3E34" w:rsidRPr="00B70D3A" w:rsidRDefault="00380E34" w:rsidP="00FC3E34">
            <w:pPr>
              <w:rPr>
                <w:rFonts w:cs="Times New Roman"/>
                <w:szCs w:val="24"/>
              </w:rPr>
            </w:pPr>
            <w:r>
              <w:rPr>
                <w:rFonts w:cs="Times New Roman"/>
                <w:szCs w:val="24"/>
              </w:rPr>
              <w:t>Priimtas spendimas reikalavimo netenkinti. S</w:t>
            </w:r>
            <w:r w:rsidR="00FC3E34" w:rsidRPr="00B70D3A">
              <w:rPr>
                <w:rFonts w:cs="Times New Roman"/>
                <w:szCs w:val="24"/>
              </w:rPr>
              <w:t>iekiant aukšto diagnostinio tikslumo. ≤</w:t>
            </w:r>
            <w:r w:rsidR="00FC3E34" w:rsidRPr="00B70D3A">
              <w:rPr>
                <w:rFonts w:cs="Times New Roman"/>
                <w:szCs w:val="24"/>
                <w:lang w:val="en-GB"/>
              </w:rPr>
              <w:t>6</w:t>
            </w:r>
            <w:r w:rsidR="00FC3E34" w:rsidRPr="00B70D3A">
              <w:rPr>
                <w:rFonts w:cs="Times New Roman"/>
                <w:szCs w:val="24"/>
              </w:rPr>
              <w:t xml:space="preserve"> µm ašinė rezoliucija leidžia aiškiai matyti atskirus tinklainės sluoksnius ir aptikti ankstyvus pokyčius, susijusius su glaukomos ar geltonosios dėmės degeneracijos pradžia. Klinikinėje praktikoje smulkesni pakitimai matomi anksčiau, todėl gydymas tampa efektyvesnis ir pacientų rezultatai geresni.</w:t>
            </w:r>
          </w:p>
          <w:p w:rsidR="00FC3E34" w:rsidRPr="0033048A" w:rsidRDefault="00FC3E34" w:rsidP="000028AE">
            <w:pPr>
              <w:rPr>
                <w:szCs w:val="24"/>
              </w:rPr>
            </w:pPr>
            <w:r w:rsidRPr="00B70D3A">
              <w:rPr>
                <w:rFonts w:cs="Times New Roman"/>
                <w:szCs w:val="24"/>
              </w:rPr>
              <w:t>Konkurencija neapribojama. Šiuolaikiniai įrenginiai rinkoje užtikrina tokį ar dar geresnį tikslumą, todėl šis reikalavimas nepažeidžia sąžiningos konkurencijos principo.</w:t>
            </w:r>
          </w:p>
        </w:tc>
      </w:tr>
      <w:tr w:rsidR="00FC3E34" w:rsidTr="00380E34">
        <w:trPr>
          <w:trHeight w:val="3300"/>
        </w:trPr>
        <w:tc>
          <w:tcPr>
            <w:tcW w:w="5095" w:type="dxa"/>
          </w:tcPr>
          <w:p w:rsidR="00FC3E34" w:rsidRPr="000C417A" w:rsidRDefault="00FC3E34" w:rsidP="00FC3E34">
            <w:pPr>
              <w:rPr>
                <w:rFonts w:eastAsia="Calibri" w:cs="Times New Roman"/>
                <w:szCs w:val="24"/>
              </w:rPr>
            </w:pPr>
            <w:r w:rsidRPr="000C417A">
              <w:rPr>
                <w:rFonts w:eastAsia="Calibri" w:cs="Times New Roman"/>
                <w:b/>
                <w:bCs/>
                <w:szCs w:val="24"/>
              </w:rPr>
              <w:t>13 punktas</w:t>
            </w:r>
            <w:r w:rsidRPr="000C417A">
              <w:rPr>
                <w:rFonts w:eastAsia="Calibri" w:cs="Times New Roman"/>
                <w:szCs w:val="24"/>
              </w:rPr>
              <w:t xml:space="preserve">- OKT ir spalvotos fotografijos tyrimų atlikimas pilnai automatinis (vieno mygtuko paspaudimu). </w:t>
            </w:r>
          </w:p>
          <w:p w:rsidR="00FC3E34" w:rsidRPr="000C417A" w:rsidRDefault="00FC3E34" w:rsidP="00FC3E34">
            <w:pPr>
              <w:rPr>
                <w:rFonts w:eastAsia="Calibri" w:cs="Times New Roman"/>
                <w:szCs w:val="24"/>
              </w:rPr>
            </w:pPr>
            <w:r w:rsidRPr="000C417A">
              <w:rPr>
                <w:rFonts w:eastAsia="Calibri" w:cs="Times New Roman"/>
                <w:szCs w:val="24"/>
              </w:rPr>
              <w:t>Formuluotė „pilnai automatinis (vieno mygtuko paspaudimu)“ gali būti suprantama taip, kad net akies pasirinkimas (dešinė / kairė) turi būti automatizuotas. Tačiau toks reikalavimas nėra būtinas diagnostinei kokybei ar tyrimo tikslumui užtikrinti.</w:t>
            </w:r>
          </w:p>
          <w:p w:rsidR="00FC3E34" w:rsidRPr="000C417A" w:rsidRDefault="00FC3E34" w:rsidP="00FC3E34">
            <w:pPr>
              <w:rPr>
                <w:rFonts w:eastAsia="Calibri" w:cs="Times New Roman"/>
                <w:szCs w:val="24"/>
              </w:rPr>
            </w:pPr>
            <w:r w:rsidRPr="000C417A">
              <w:rPr>
                <w:rFonts w:eastAsia="Calibri" w:cs="Times New Roman"/>
                <w:szCs w:val="24"/>
              </w:rPr>
              <w:t>Siūlomas įrenginys turi užtikrinti pilnai automatizuotą tyrimo atlikimą, įskaitant fokusavimą, skenavimą ir duomenų fiksavimą. Akies pasirinkimas (dešinė / kairė) gali būti atliekamas ir naudotojo pagalba, nes tai nesumažina diagnostinės kokybės ir nesukuria papildomos klaidų tikimybės.</w:t>
            </w:r>
          </w:p>
          <w:p w:rsidR="00FC3E34" w:rsidRPr="000C417A" w:rsidRDefault="00FC3E34" w:rsidP="00FC3E34">
            <w:pPr>
              <w:rPr>
                <w:rFonts w:eastAsia="Calibri" w:cs="Times New Roman"/>
                <w:szCs w:val="24"/>
              </w:rPr>
            </w:pPr>
            <w:r w:rsidRPr="000C417A">
              <w:rPr>
                <w:rFonts w:eastAsia="Calibri" w:cs="Times New Roman"/>
                <w:szCs w:val="24"/>
              </w:rPr>
              <w:t xml:space="preserve">Toks perteklinis reikalavimas (automatizuotas akies pasirinkimas) dirbtinai riboja konkurenciją, nes jį gali įvykdyti tik ribotas skaičius įrenginių, dažnai susijusių su konkrečiu gamintoju ar modeliu. </w:t>
            </w:r>
          </w:p>
          <w:p w:rsidR="00FC3E34" w:rsidRPr="006E1DC3" w:rsidRDefault="00FC3E34" w:rsidP="00FC3E34">
            <w:pPr>
              <w:rPr>
                <w:rFonts w:cs="Times New Roman"/>
                <w:szCs w:val="24"/>
              </w:rPr>
            </w:pPr>
            <w:r w:rsidRPr="000C417A">
              <w:rPr>
                <w:rFonts w:cs="Times New Roman"/>
                <w:b/>
                <w:bCs/>
                <w:szCs w:val="24"/>
              </w:rPr>
              <w:t>Siūlymas/pastaba</w:t>
            </w:r>
            <w:r w:rsidRPr="000C417A">
              <w:rPr>
                <w:rFonts w:eastAsia="Calibri" w:cs="Times New Roman"/>
                <w:szCs w:val="24"/>
              </w:rPr>
              <w:t>: įrenginys turi užtikrinti automatinį matavimų atlikimą – fokusavimą, skenavimą ir duomenų fiksavimą.</w:t>
            </w:r>
          </w:p>
        </w:tc>
        <w:tc>
          <w:tcPr>
            <w:tcW w:w="3921" w:type="dxa"/>
          </w:tcPr>
          <w:p w:rsidR="00380E34" w:rsidRPr="000C417A" w:rsidRDefault="00380E34" w:rsidP="00380E34">
            <w:pPr>
              <w:rPr>
                <w:rFonts w:cs="Times New Roman"/>
                <w:szCs w:val="24"/>
              </w:rPr>
            </w:pPr>
            <w:r>
              <w:rPr>
                <w:rFonts w:cs="Times New Roman"/>
                <w:szCs w:val="24"/>
              </w:rPr>
              <w:t>Priimtas spendimas reikalavimo netenkinti</w:t>
            </w:r>
            <w:r>
              <w:rPr>
                <w:szCs w:val="24"/>
              </w:rPr>
              <w:t>.</w:t>
            </w:r>
            <w:r w:rsidRPr="00B70D3A">
              <w:rPr>
                <w:rFonts w:cs="Times New Roman"/>
                <w:szCs w:val="24"/>
              </w:rPr>
              <w:t xml:space="preserve"> </w:t>
            </w:r>
            <w:r>
              <w:rPr>
                <w:rFonts w:cs="Times New Roman"/>
                <w:szCs w:val="24"/>
              </w:rPr>
              <w:t>R</w:t>
            </w:r>
            <w:r w:rsidRPr="00380E34">
              <w:rPr>
                <w:rFonts w:cs="Times New Roman"/>
                <w:szCs w:val="24"/>
              </w:rPr>
              <w:t>eikalavimas apima pagrindinių tyrimų atlikimo automatizavimo lygį, nekalbant apie atskiras akis. Pilnai automatinis tyrimo atlikimas pagreitina tyrimo atlikimą, sumažina rezultatų priklausomybę nuo tiriančiojo įgūdžių ir taip padidina diagnostinį tikslumą.</w:t>
            </w:r>
            <w:r>
              <w:rPr>
                <w:rFonts w:cs="Times New Roman"/>
                <w:szCs w:val="24"/>
              </w:rPr>
              <w:t xml:space="preserve"> </w:t>
            </w:r>
          </w:p>
          <w:p w:rsidR="00FC3E34" w:rsidRPr="0033048A" w:rsidRDefault="00FC3E34" w:rsidP="00FC3E34">
            <w:pPr>
              <w:tabs>
                <w:tab w:val="left" w:pos="993"/>
              </w:tabs>
              <w:suppressAutoHyphens/>
              <w:ind w:firstLine="57"/>
              <w:rPr>
                <w:szCs w:val="24"/>
              </w:rPr>
            </w:pPr>
          </w:p>
        </w:tc>
      </w:tr>
      <w:tr w:rsidR="00FC3E34" w:rsidTr="00380E34">
        <w:trPr>
          <w:trHeight w:val="3300"/>
        </w:trPr>
        <w:tc>
          <w:tcPr>
            <w:tcW w:w="5095" w:type="dxa"/>
          </w:tcPr>
          <w:p w:rsidR="00FC3E34" w:rsidRDefault="00FC3E34" w:rsidP="00FC3E34">
            <w:pPr>
              <w:rPr>
                <w:rFonts w:cs="Times New Roman"/>
                <w:szCs w:val="24"/>
              </w:rPr>
            </w:pPr>
            <w:r w:rsidRPr="000C417A">
              <w:rPr>
                <w:rFonts w:eastAsia="Calibri" w:cs="Times New Roman"/>
                <w:b/>
                <w:bCs/>
                <w:szCs w:val="24"/>
              </w:rPr>
              <w:t xml:space="preserve">15 punktas- </w:t>
            </w:r>
            <w:r w:rsidRPr="000C417A">
              <w:rPr>
                <w:rFonts w:eastAsia="Calibri" w:cs="Times New Roman"/>
                <w:szCs w:val="24"/>
              </w:rPr>
              <w:t xml:space="preserve">būtina automatinė skenavimo pozicijos korekcija pacientams su katarakta, skenuojant per skaidresnius lęšiuko sluoksnius. </w:t>
            </w:r>
            <w:r w:rsidRPr="000C417A">
              <w:rPr>
                <w:rFonts w:cs="Times New Roman"/>
                <w:b/>
                <w:bCs/>
                <w:szCs w:val="24"/>
              </w:rPr>
              <w:t>Siūlymas/pastaba-</w:t>
            </w:r>
            <w:r w:rsidRPr="000C417A">
              <w:rPr>
                <w:rFonts w:cs="Times New Roman"/>
                <w:szCs w:val="24"/>
              </w:rPr>
              <w:t xml:space="preserve"> specialus režimas pacientams su katarakt</w:t>
            </w:r>
            <w:r>
              <w:rPr>
                <w:rFonts w:cs="Times New Roman"/>
                <w:szCs w:val="24"/>
              </w:rPr>
              <w:t>a.</w:t>
            </w:r>
          </w:p>
          <w:p w:rsidR="00FC3E34" w:rsidRPr="000C417A" w:rsidRDefault="00FC3E34" w:rsidP="00FC3E34">
            <w:pPr>
              <w:rPr>
                <w:rFonts w:eastAsia="Calibri" w:cs="Times New Roman"/>
                <w:szCs w:val="24"/>
              </w:rPr>
            </w:pPr>
            <w:r w:rsidRPr="000C417A">
              <w:rPr>
                <w:rFonts w:eastAsia="Calibri" w:cs="Times New Roman"/>
                <w:szCs w:val="24"/>
              </w:rPr>
              <w:t>Reikalavimas „automatinė skenavimo pozicijos korekcija pacientams su katarakta“ nėra esminis šio tipo įrenginio funkcionalumas ir tyrimo tikslas, todėl vertintinas kaip perteklinis ir galintis nepagrįstai apriboti konkurenciją.</w:t>
            </w:r>
          </w:p>
          <w:p w:rsidR="00FC3E34" w:rsidRPr="006E1DC3" w:rsidRDefault="00FC3E34" w:rsidP="00FC3E34">
            <w:pPr>
              <w:rPr>
                <w:rFonts w:cs="Times New Roman"/>
                <w:szCs w:val="24"/>
              </w:rPr>
            </w:pPr>
            <w:r w:rsidRPr="000C417A">
              <w:rPr>
                <w:rFonts w:eastAsia="Calibri" w:cs="Times New Roman"/>
                <w:szCs w:val="24"/>
              </w:rPr>
              <w:t>Įrenginiai, neturintys konkrečios „automatinės pozicijos korekcijos per skaidresnius lęšiuko sluoksnius“, vis tiek gali užtikrinti reikiamą tyrimo kokybę, pasitelkdami padidintą jautrumą, rankinį fokuso reguliavimą, programinę triukšmo filtraciją ir vaizdo apdorojimą.</w:t>
            </w:r>
          </w:p>
        </w:tc>
        <w:tc>
          <w:tcPr>
            <w:tcW w:w="3921" w:type="dxa"/>
          </w:tcPr>
          <w:p w:rsidR="00FC3E34" w:rsidRPr="000C417A" w:rsidRDefault="00380E34" w:rsidP="00FC3E34">
            <w:pPr>
              <w:rPr>
                <w:rFonts w:cs="Times New Roman"/>
                <w:szCs w:val="24"/>
              </w:rPr>
            </w:pPr>
            <w:r>
              <w:rPr>
                <w:rFonts w:cs="Times New Roman"/>
                <w:szCs w:val="24"/>
              </w:rPr>
              <w:t>Priimtas spendimas reikalavimo netenkinti</w:t>
            </w:r>
            <w:r>
              <w:rPr>
                <w:szCs w:val="24"/>
              </w:rPr>
              <w:t>.</w:t>
            </w:r>
            <w:r w:rsidRPr="00B70D3A">
              <w:rPr>
                <w:rFonts w:cs="Times New Roman"/>
                <w:szCs w:val="24"/>
              </w:rPr>
              <w:t xml:space="preserve"> </w:t>
            </w:r>
            <w:r>
              <w:rPr>
                <w:rFonts w:cs="Times New Roman"/>
                <w:szCs w:val="24"/>
              </w:rPr>
              <w:t>D</w:t>
            </w:r>
            <w:r w:rsidR="00FC3E34" w:rsidRPr="00B70D3A">
              <w:rPr>
                <w:rFonts w:cs="Times New Roman"/>
                <w:szCs w:val="24"/>
              </w:rPr>
              <w:t>auguma tiriamųjų pacientų yra vyresnio amžiaus ir neretai turintys ne vieną patologiją, kataraktos buvimas labai apsunkina akių dugno įvertinimą glaukomos ar AGDD ligų atvejais. Automatinė skenavimo pozicijos korekcija pacientams su katarakta pagreitina tyrimo atlikimą, sumažina rezultatų priklausomybę nuo tiriančiojo įgūdžių ir taip padidina diagnostinį tikslumą.</w:t>
            </w:r>
            <w:r w:rsidR="00FC3E34">
              <w:rPr>
                <w:rFonts w:cs="Times New Roman"/>
                <w:szCs w:val="24"/>
              </w:rPr>
              <w:t xml:space="preserve"> </w:t>
            </w:r>
          </w:p>
          <w:p w:rsidR="00FC3E34" w:rsidRPr="00783992" w:rsidRDefault="00FC3E34" w:rsidP="00FC3E34">
            <w:pPr>
              <w:rPr>
                <w:rFonts w:cs="Times New Roman"/>
                <w:szCs w:val="24"/>
              </w:rPr>
            </w:pPr>
          </w:p>
          <w:p w:rsidR="00FC3E34" w:rsidRPr="0033048A" w:rsidRDefault="00FC3E34" w:rsidP="00380E34">
            <w:pPr>
              <w:tabs>
                <w:tab w:val="left" w:pos="993"/>
              </w:tabs>
              <w:suppressAutoHyphens/>
              <w:ind w:firstLine="57"/>
              <w:rPr>
                <w:szCs w:val="24"/>
              </w:rPr>
            </w:pPr>
          </w:p>
        </w:tc>
      </w:tr>
      <w:tr w:rsidR="00D32278" w:rsidTr="001D1335">
        <w:tc>
          <w:tcPr>
            <w:tcW w:w="9016" w:type="dxa"/>
            <w:gridSpan w:val="2"/>
          </w:tcPr>
          <w:p w:rsidR="00D32278" w:rsidRPr="0070095A" w:rsidRDefault="00D32278" w:rsidP="00D32278">
            <w:pPr>
              <w:pStyle w:val="Sraopastraipa"/>
              <w:ind w:left="0"/>
              <w:jc w:val="both"/>
              <w:rPr>
                <w:b/>
                <w:szCs w:val="24"/>
              </w:rPr>
            </w:pPr>
            <w:r w:rsidRPr="0070095A">
              <w:rPr>
                <w:rFonts w:eastAsiaTheme="minorHAnsi"/>
                <w:b/>
                <w:bCs/>
                <w:color w:val="000000"/>
                <w:szCs w:val="24"/>
              </w:rPr>
              <w:t>Rinkos konsultacijos metu surinkta informacija susijusi su:</w:t>
            </w:r>
          </w:p>
        </w:tc>
      </w:tr>
      <w:tr w:rsidR="00D32278" w:rsidTr="006D460F">
        <w:tc>
          <w:tcPr>
            <w:tcW w:w="5095" w:type="dxa"/>
          </w:tcPr>
          <w:p w:rsidR="00D32278" w:rsidRPr="006D460F" w:rsidRDefault="00D32278" w:rsidP="00D32278">
            <w:pPr>
              <w:rPr>
                <w:rFonts w:cs="Times New Roman"/>
                <w:bCs/>
                <w:color w:val="000000"/>
                <w:szCs w:val="24"/>
              </w:rPr>
            </w:pPr>
            <w:r w:rsidRPr="006D460F">
              <w:rPr>
                <w:rFonts w:cs="Times New Roman"/>
                <w:bCs/>
                <w:color w:val="000000"/>
                <w:szCs w:val="24"/>
              </w:rPr>
              <w:t>Pirkimo objektu</w:t>
            </w:r>
          </w:p>
        </w:tc>
        <w:tc>
          <w:tcPr>
            <w:tcW w:w="3921" w:type="dxa"/>
          </w:tcPr>
          <w:p w:rsidR="00D32278" w:rsidRDefault="00D32278" w:rsidP="00D32278">
            <w:pPr>
              <w:pStyle w:val="Sraopastraipa"/>
              <w:ind w:left="0"/>
              <w:jc w:val="both"/>
            </w:pPr>
            <w:r>
              <w:t>Taip</w:t>
            </w:r>
          </w:p>
        </w:tc>
      </w:tr>
      <w:tr w:rsidR="00D32278" w:rsidTr="006D460F">
        <w:tc>
          <w:tcPr>
            <w:tcW w:w="5095" w:type="dxa"/>
          </w:tcPr>
          <w:p w:rsidR="00D32278" w:rsidRPr="006D460F" w:rsidRDefault="00D32278" w:rsidP="00D32278">
            <w:pPr>
              <w:rPr>
                <w:rFonts w:cs="Times New Roman"/>
                <w:bCs/>
                <w:color w:val="000000"/>
                <w:szCs w:val="24"/>
              </w:rPr>
            </w:pPr>
            <w:r>
              <w:rPr>
                <w:rFonts w:cs="Times New Roman"/>
                <w:bCs/>
                <w:color w:val="000000"/>
                <w:szCs w:val="24"/>
              </w:rPr>
              <w:t>Kvalifikacijos reikalavimais</w:t>
            </w:r>
          </w:p>
        </w:tc>
        <w:tc>
          <w:tcPr>
            <w:tcW w:w="3921" w:type="dxa"/>
          </w:tcPr>
          <w:p w:rsidR="00D32278" w:rsidRDefault="00D32278" w:rsidP="00D32278">
            <w:pPr>
              <w:pStyle w:val="Sraopastraipa"/>
              <w:ind w:left="0"/>
              <w:jc w:val="both"/>
            </w:pPr>
            <w:r>
              <w:t>Ne</w:t>
            </w:r>
          </w:p>
        </w:tc>
      </w:tr>
      <w:tr w:rsidR="00D32278" w:rsidTr="006D460F">
        <w:tc>
          <w:tcPr>
            <w:tcW w:w="5095" w:type="dxa"/>
          </w:tcPr>
          <w:p w:rsidR="00D32278" w:rsidRPr="006D460F" w:rsidRDefault="000028AE" w:rsidP="00D32278">
            <w:pPr>
              <w:rPr>
                <w:rFonts w:cs="Times New Roman"/>
                <w:bCs/>
                <w:color w:val="000000"/>
                <w:szCs w:val="24"/>
              </w:rPr>
            </w:pPr>
            <w:r>
              <w:rPr>
                <w:rFonts w:cs="Times New Roman"/>
                <w:bCs/>
                <w:color w:val="000000"/>
                <w:szCs w:val="24"/>
              </w:rPr>
              <w:t>P</w:t>
            </w:r>
            <w:r w:rsidR="00D32278">
              <w:rPr>
                <w:rFonts w:cs="Times New Roman"/>
                <w:bCs/>
                <w:color w:val="000000"/>
                <w:szCs w:val="24"/>
              </w:rPr>
              <w:t>asiūlymo vertinimo kriterijais</w:t>
            </w:r>
          </w:p>
        </w:tc>
        <w:tc>
          <w:tcPr>
            <w:tcW w:w="3921" w:type="dxa"/>
          </w:tcPr>
          <w:p w:rsidR="00D32278" w:rsidRDefault="00D32278" w:rsidP="00D32278">
            <w:pPr>
              <w:pStyle w:val="Sraopastraipa"/>
              <w:ind w:left="0"/>
              <w:jc w:val="both"/>
            </w:pPr>
            <w:r>
              <w:t>Ne</w:t>
            </w:r>
          </w:p>
        </w:tc>
      </w:tr>
      <w:tr w:rsidR="00D32278" w:rsidTr="006D460F">
        <w:tc>
          <w:tcPr>
            <w:tcW w:w="5095" w:type="dxa"/>
          </w:tcPr>
          <w:p w:rsidR="00D32278" w:rsidRPr="006D460F" w:rsidRDefault="00D32278" w:rsidP="00D32278">
            <w:pPr>
              <w:rPr>
                <w:rFonts w:cs="Times New Roman"/>
                <w:bCs/>
                <w:color w:val="000000"/>
                <w:szCs w:val="24"/>
              </w:rPr>
            </w:pPr>
            <w:r>
              <w:rPr>
                <w:rFonts w:cs="Times New Roman"/>
                <w:bCs/>
                <w:color w:val="000000"/>
                <w:szCs w:val="24"/>
              </w:rPr>
              <w:t>Sutarties vykdymo sąlygomis</w:t>
            </w:r>
          </w:p>
        </w:tc>
        <w:tc>
          <w:tcPr>
            <w:tcW w:w="3921" w:type="dxa"/>
          </w:tcPr>
          <w:p w:rsidR="00D32278" w:rsidRDefault="00D32278" w:rsidP="00D32278">
            <w:pPr>
              <w:pStyle w:val="Sraopastraipa"/>
              <w:ind w:left="0"/>
              <w:jc w:val="both"/>
            </w:pPr>
            <w:r>
              <w:t>Taip</w:t>
            </w:r>
          </w:p>
        </w:tc>
      </w:tr>
      <w:tr w:rsidR="00D32278" w:rsidTr="006D460F">
        <w:tc>
          <w:tcPr>
            <w:tcW w:w="5095" w:type="dxa"/>
          </w:tcPr>
          <w:p w:rsidR="00D32278" w:rsidRPr="006D460F" w:rsidRDefault="00D32278" w:rsidP="00D32278">
            <w:pPr>
              <w:rPr>
                <w:rFonts w:cs="Times New Roman"/>
                <w:bCs/>
                <w:color w:val="000000"/>
                <w:szCs w:val="24"/>
              </w:rPr>
            </w:pPr>
            <w:r>
              <w:rPr>
                <w:rFonts w:cs="Times New Roman"/>
                <w:bCs/>
                <w:color w:val="000000"/>
                <w:szCs w:val="24"/>
              </w:rPr>
              <w:t>Kaina</w:t>
            </w:r>
          </w:p>
        </w:tc>
        <w:tc>
          <w:tcPr>
            <w:tcW w:w="3921" w:type="dxa"/>
          </w:tcPr>
          <w:p w:rsidR="00D32278" w:rsidRDefault="00D32278" w:rsidP="00D32278">
            <w:pPr>
              <w:pStyle w:val="Sraopastraipa"/>
              <w:ind w:left="0"/>
              <w:jc w:val="both"/>
            </w:pPr>
            <w:r>
              <w:t>Taip</w:t>
            </w:r>
          </w:p>
        </w:tc>
      </w:tr>
    </w:tbl>
    <w:p w:rsidR="0033048A" w:rsidRPr="000119A6" w:rsidRDefault="0033048A" w:rsidP="0033048A">
      <w:pPr>
        <w:spacing w:line="240" w:lineRule="auto"/>
        <w:jc w:val="center"/>
        <w:rPr>
          <w:b/>
          <w:szCs w:val="24"/>
        </w:rPr>
      </w:pPr>
    </w:p>
    <w:p w:rsidR="0033048A" w:rsidRDefault="0033048A"/>
    <w:sectPr w:rsidR="0033048A" w:rsidSect="000028AE">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670DA"/>
    <w:multiLevelType w:val="hybridMultilevel"/>
    <w:tmpl w:val="D1EE1A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88915C5"/>
    <w:multiLevelType w:val="hybridMultilevel"/>
    <w:tmpl w:val="EF2878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48A"/>
    <w:rsid w:val="000028AE"/>
    <w:rsid w:val="00195C3E"/>
    <w:rsid w:val="001D1335"/>
    <w:rsid w:val="001D340A"/>
    <w:rsid w:val="0033048A"/>
    <w:rsid w:val="00380E34"/>
    <w:rsid w:val="003939CA"/>
    <w:rsid w:val="0063270C"/>
    <w:rsid w:val="006C2911"/>
    <w:rsid w:val="006D460F"/>
    <w:rsid w:val="006E3D6A"/>
    <w:rsid w:val="0070095A"/>
    <w:rsid w:val="007063D6"/>
    <w:rsid w:val="007C01D3"/>
    <w:rsid w:val="008C0C02"/>
    <w:rsid w:val="00917199"/>
    <w:rsid w:val="009667B6"/>
    <w:rsid w:val="009C6385"/>
    <w:rsid w:val="00AC2475"/>
    <w:rsid w:val="00B70D3A"/>
    <w:rsid w:val="00BB70F6"/>
    <w:rsid w:val="00C05BD1"/>
    <w:rsid w:val="00C84FD9"/>
    <w:rsid w:val="00D05523"/>
    <w:rsid w:val="00D32278"/>
    <w:rsid w:val="00EA674F"/>
    <w:rsid w:val="00FC3E34"/>
    <w:rsid w:val="00FE5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A3E0"/>
  <w15:chartTrackingRefBased/>
  <w15:docId w15:val="{AD75DCD5-6D59-4EB3-8D55-30349278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048A"/>
    <w:pPr>
      <w:spacing w:after="0" w:line="276" w:lineRule="auto"/>
      <w:jc w:val="both"/>
    </w:pPr>
    <w:rPr>
      <w:rFonts w:ascii="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30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C01D3"/>
    <w:pPr>
      <w:spacing w:line="240" w:lineRule="auto"/>
      <w:ind w:left="720"/>
      <w:contextualSpacing/>
      <w:jc w:val="left"/>
    </w:pPr>
    <w:rPr>
      <w:rFonts w:eastAsia="Times New Roman" w:cs="Times New Roman"/>
      <w:szCs w:val="20"/>
    </w:rPr>
  </w:style>
  <w:style w:type="paragraph" w:styleId="Debesliotekstas">
    <w:name w:val="Balloon Text"/>
    <w:basedOn w:val="prastasis"/>
    <w:link w:val="DebesliotekstasDiagrama"/>
    <w:uiPriority w:val="99"/>
    <w:semiHidden/>
    <w:unhideWhenUsed/>
    <w:rsid w:val="006D460F"/>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460F"/>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E23A13ED</Template>
  <TotalTime>29</TotalTime>
  <Pages>3</Pages>
  <Words>4438</Words>
  <Characters>2531</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7</cp:revision>
  <cp:lastPrinted>2025-02-19T11:33:00Z</cp:lastPrinted>
  <dcterms:created xsi:type="dcterms:W3CDTF">2025-09-16T08:48:00Z</dcterms:created>
  <dcterms:modified xsi:type="dcterms:W3CDTF">2025-09-18T07:24:00Z</dcterms:modified>
</cp:coreProperties>
</file>