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7B58F117" w:rsidR="00027B83" w:rsidRPr="009E1EEC" w:rsidRDefault="00E50C31" w:rsidP="00E91E82">
      <w:pPr>
        <w:widowControl w:val="0"/>
        <w:pBdr>
          <w:top w:val="nil"/>
          <w:left w:val="nil"/>
          <w:bottom w:val="nil"/>
          <w:right w:val="nil"/>
          <w:between w:val="nil"/>
        </w:pBdr>
        <w:tabs>
          <w:tab w:val="left" w:pos="567"/>
          <w:tab w:val="left" w:pos="851"/>
        </w:tabs>
        <w:jc w:val="center"/>
        <w:rPr>
          <w:b/>
          <w:bCs/>
          <w:caps/>
          <w:color w:val="000000" w:themeColor="text1"/>
          <w:szCs w:val="24"/>
        </w:rPr>
      </w:pPr>
      <w:r w:rsidRPr="00E50C31">
        <w:rPr>
          <w:b/>
          <w:caps/>
          <w:color w:val="000000" w:themeColor="text1"/>
        </w:rPr>
        <w:t xml:space="preserve">Visuomeninio pastato, sporto paskirties (sporto salės) Trakų r. sav., Senųjų Trakų sen., Senųjų Trakų k., Trakų g. 39A, statybos projekto, projektinių pasiūlymų ir techninio darbo projekto parengimo ir projekto vykdymo priežiūros </w:t>
      </w:r>
      <w:r w:rsidR="000B0897" w:rsidRPr="009E1EEC">
        <w:rPr>
          <w:b/>
          <w:bCs/>
          <w:caps/>
          <w:color w:val="000000" w:themeColor="text1"/>
          <w:szCs w:val="24"/>
        </w:rPr>
        <w:t>paslaugų 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149E1AA7" w:rsidR="00027B83" w:rsidRPr="009E1EEC" w:rsidRDefault="00E50C31">
            <w:pPr>
              <w:jc w:val="both"/>
              <w:rPr>
                <w:color w:val="000000" w:themeColor="text1"/>
                <w:kern w:val="2"/>
                <w:szCs w:val="24"/>
              </w:rPr>
            </w:pPr>
            <w:r w:rsidRPr="00E50C31">
              <w:rPr>
                <w:szCs w:val="24"/>
                <w:lang w:val="lt" w:eastAsia="lt-LT"/>
              </w:rPr>
              <w:t>Visuomeninio pastato, sporto paskirties (sporto salės) Trakų r. sav., Senųjų Trakų sen., Senųjų Trakų k., Trakų g. 39A, statybos projekto, projektinių pasiūlymų ir techninio darbo 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r w:rsidRPr="00CA2437">
              <w:rPr>
                <w:kern w:val="2"/>
                <w:szCs w:val="24"/>
              </w:rPr>
              <w:t>Luminor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5EF76FEC"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tel. (0 528) 41024, el. p. natalja.ivanova@trakai.lt</w:t>
            </w:r>
            <w:r w:rsidRPr="00230794">
              <w:rPr>
                <w:rFonts w:asciiTheme="majorBidi" w:hAnsiTheme="majorBidi" w:cstheme="majorBidi"/>
              </w:rPr>
              <w:t>)</w:t>
            </w:r>
          </w:p>
          <w:p w14:paraId="240D98E7" w14:textId="04E55354"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tel. (0 528) 41024, el. p. natalja.ivanova@trakai.lt</w:t>
            </w:r>
            <w:r w:rsidRPr="00230794">
              <w:rPr>
                <w:rFonts w:asciiTheme="majorBidi" w:hAnsiTheme="majorBidi" w:cstheme="majorBidi"/>
              </w:rPr>
              <w:t>)</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A97B570" w:rsidR="00027B83" w:rsidRDefault="000B0897">
            <w:pPr>
              <w:rPr>
                <w:color w:val="000000"/>
                <w:kern w:val="2"/>
                <w:szCs w:val="24"/>
              </w:rPr>
            </w:pPr>
            <w:r>
              <w:rPr>
                <w:kern w:val="2"/>
                <w:szCs w:val="24"/>
              </w:rPr>
              <w:t xml:space="preserve">Tiekėjas įsipareigoja Sutartyje numatytomis sąlygomis suteikti Pirkėjui </w:t>
            </w:r>
            <w:r w:rsidR="00191897" w:rsidRPr="00191897">
              <w:rPr>
                <w:lang w:val="lt"/>
              </w:rPr>
              <w:t xml:space="preserve">Visuomeninio pastato, sporto paskirties (sporto salės) Trakų r. sav., Senųjų Trakų sen., Senųjų Trakų k., Trakų g. 39A, statybos projekto, projektinių pasiūlymų ir techninio darbo projekto parengimo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ir projekto vykdymo priežiūros</w:t>
            </w:r>
            <w:r w:rsidR="00AD103B" w:rsidRPr="008D4124">
              <w:rPr>
                <w:kern w:val="2"/>
                <w:szCs w:val="24"/>
              </w:rPr>
              <w:t xml:space="preserve"> </w:t>
            </w:r>
            <w:r w:rsidR="00CA2437" w:rsidRPr="00CA2437">
              <w:rPr>
                <w:kern w:val="2"/>
                <w:szCs w:val="24"/>
              </w:rPr>
              <w:t>paslaug</w:t>
            </w:r>
            <w:r w:rsidR="00CA2437">
              <w:rPr>
                <w:kern w:val="2"/>
                <w:szCs w:val="24"/>
              </w:rPr>
              <w:t>a</w:t>
            </w:r>
            <w:r w:rsidR="00CA2437" w:rsidRPr="00CA2437">
              <w:rPr>
                <w:kern w:val="2"/>
                <w:szCs w:val="24"/>
              </w:rPr>
              <w:t>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Pr="00E817AB" w:rsidRDefault="00AD103B">
            <w:pPr>
              <w:rPr>
                <w:kern w:val="2"/>
                <w:szCs w:val="24"/>
              </w:rPr>
            </w:pPr>
            <w:r>
              <w:rPr>
                <w:color w:val="000000"/>
                <w:kern w:val="2"/>
                <w:szCs w:val="24"/>
              </w:rPr>
              <w:t xml:space="preserve"> </w:t>
            </w:r>
          </w:p>
          <w:p w14:paraId="0B57BE31" w14:textId="77777777" w:rsidR="00782003" w:rsidRPr="00E817AB" w:rsidRDefault="00782003" w:rsidP="00782003">
            <w:pPr>
              <w:jc w:val="both"/>
              <w:rPr>
                <w:bCs/>
                <w:iCs/>
                <w:szCs w:val="24"/>
              </w:rPr>
            </w:pPr>
            <w:r w:rsidRPr="00E817AB">
              <w:rPr>
                <w:bCs/>
                <w:iCs/>
                <w:szCs w:val="24"/>
              </w:rPr>
              <w:t>Statinio projektas rengiamas dviem etapais: pirma rengiami projektiniai pasiūlymai, pagal kuriuos išduodamas statybą leidžiantis dokumentas, vėliau – techninis darbo projektas,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6D29E2E4" w14:textId="787CD269" w:rsidR="00AD103B" w:rsidRDefault="00E836F0">
            <w:pPr>
              <w:rPr>
                <w:kern w:val="2"/>
                <w:szCs w:val="24"/>
              </w:rPr>
            </w:pPr>
            <w:r w:rsidRPr="00E836F0">
              <w:rPr>
                <w:lang w:val="lt"/>
              </w:rPr>
              <w:t>Visuomeninio pastato, sporto paskirties (sporto salės) Trakų r. sav., Senųjų Trakų sen., Senųjų Trakų k., Trakų g. 39A, statybos projekto, projektinių pasiūlymų ir techninio darbo projekto</w:t>
            </w:r>
            <w:r>
              <w:rPr>
                <w:lang w:val="lt"/>
              </w:rPr>
              <w:t xml:space="preserve"> </w:t>
            </w:r>
            <w:r w:rsidR="00AD103B" w:rsidRPr="009E1EEC">
              <w:rPr>
                <w:color w:val="000000" w:themeColor="text1"/>
                <w:lang w:val="lt"/>
              </w:rPr>
              <w:t>parengimo ir projekto vykdymo priežiūros</w:t>
            </w:r>
            <w:r w:rsidR="00AD103B" w:rsidRPr="009E1EEC">
              <w:rPr>
                <w:lang w:val="lt"/>
              </w:rPr>
              <w:t xml:space="preserve"> paslaugos</w:t>
            </w:r>
            <w:r w:rsidR="00AD103B" w:rsidRPr="00BA7312">
              <w:rPr>
                <w:kern w:val="2"/>
                <w:szCs w:val="24"/>
              </w:rPr>
              <w:t xml:space="preserve"> </w:t>
            </w:r>
          </w:p>
          <w:p w14:paraId="1CD74DF2" w14:textId="5B55299A" w:rsidR="00096A1D" w:rsidRDefault="00096A1D">
            <w:pPr>
              <w:rPr>
                <w:kern w:val="2"/>
                <w:szCs w:val="24"/>
              </w:rPr>
            </w:pPr>
            <w:r w:rsidRPr="00BA7312">
              <w:rPr>
                <w:kern w:val="2"/>
                <w:szCs w:val="24"/>
              </w:rPr>
              <w:t>ID</w:t>
            </w:r>
            <w:r w:rsidRPr="00E836F0">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115AAB5" w:rsidR="00027B83" w:rsidRPr="00E07FEA" w:rsidRDefault="00F53B05" w:rsidP="00E07FEA">
            <w:pPr>
              <w:jc w:val="both"/>
              <w:rPr>
                <w:iCs/>
                <w:szCs w:val="24"/>
                <w:lang w:eastAsia="lt-LT"/>
              </w:rPr>
            </w:pPr>
            <w:r>
              <w:rPr>
                <w:iCs/>
                <w:szCs w:val="24"/>
                <w:lang w:eastAsia="lt-LT"/>
              </w:rPr>
              <w:t>Savivaldybės biudžeto lėšos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14FA4548"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00F53B05">
              <w:rPr>
                <w:b/>
                <w:bCs/>
                <w:szCs w:val="24"/>
              </w:rPr>
              <w:t>9</w:t>
            </w:r>
            <w:r w:rsidRPr="008176A1">
              <w:rPr>
                <w:b/>
                <w:bCs/>
                <w:szCs w:val="24"/>
              </w:rPr>
              <w:t xml:space="preserve"> (</w:t>
            </w:r>
            <w:r w:rsidR="00F53B05">
              <w:rPr>
                <w:b/>
                <w:bCs/>
                <w:szCs w:val="24"/>
              </w:rPr>
              <w:t>devynis</w:t>
            </w:r>
            <w:r w:rsidRPr="008176A1">
              <w:rPr>
                <w:b/>
                <w:bCs/>
                <w:szCs w:val="24"/>
              </w:rPr>
              <w:t>) mėnesi</w:t>
            </w:r>
            <w:r w:rsidR="00F53B05">
              <w:rPr>
                <w:b/>
                <w:bCs/>
                <w:szCs w:val="24"/>
              </w:rPr>
              <w:t>us</w:t>
            </w:r>
            <w:r w:rsidRPr="008176A1">
              <w:rPr>
                <w:szCs w:val="24"/>
              </w:rPr>
              <w:t xml:space="preserve"> nuo Sutarties įsigaliojimo dienos ir  </w:t>
            </w:r>
            <w:r w:rsidRPr="008176A1">
              <w:rPr>
                <w:b/>
                <w:bCs/>
                <w:szCs w:val="24"/>
              </w:rPr>
              <w:t xml:space="preserve">nurodytais periodais: </w:t>
            </w:r>
          </w:p>
          <w:p w14:paraId="031682A8" w14:textId="080DE083" w:rsidR="00782003" w:rsidRPr="008176A1" w:rsidRDefault="00782003" w:rsidP="00A37E3D">
            <w:pPr>
              <w:jc w:val="both"/>
              <w:rPr>
                <w:szCs w:val="24"/>
              </w:rPr>
            </w:pPr>
            <w:r w:rsidRPr="008176A1">
              <w:rPr>
                <w:szCs w:val="24"/>
              </w:rPr>
              <w:t>6 mėnesių terminas numatytas - statybą leidžiančio dokumento gavimui, įskaitant statybą leidžiančio dokumento gavimą, už kurio gavimą sumoka Užsakovas;</w:t>
            </w:r>
            <w:r w:rsidR="00104874" w:rsidRPr="008176A1">
              <w:rPr>
                <w:szCs w:val="24"/>
              </w:rPr>
              <w:t xml:space="preserve"> </w:t>
            </w:r>
          </w:p>
          <w:p w14:paraId="119F0D2C" w14:textId="46694968" w:rsidR="00782003" w:rsidRPr="008176A1" w:rsidRDefault="00782003" w:rsidP="00A37E3D">
            <w:pPr>
              <w:jc w:val="both"/>
              <w:rPr>
                <w:szCs w:val="24"/>
              </w:rPr>
            </w:pPr>
            <w:r w:rsidRPr="008176A1">
              <w:rPr>
                <w:szCs w:val="24"/>
              </w:rPr>
              <w:t xml:space="preserve">techniniam darbo projektui </w:t>
            </w:r>
            <w:r w:rsidR="001031AC">
              <w:rPr>
                <w:szCs w:val="24"/>
              </w:rPr>
              <w:t xml:space="preserve">parengti </w:t>
            </w:r>
            <w:r w:rsidRPr="008176A1">
              <w:rPr>
                <w:szCs w:val="24"/>
              </w:rPr>
              <w:t xml:space="preserve">numatomas - </w:t>
            </w:r>
            <w:r w:rsidR="00F53B05">
              <w:rPr>
                <w:szCs w:val="24"/>
              </w:rPr>
              <w:t>3</w:t>
            </w:r>
            <w:r w:rsidRPr="008176A1">
              <w:rPr>
                <w:szCs w:val="24"/>
              </w:rPr>
              <w:t xml:space="preserve"> mėnesių terminas. </w:t>
            </w:r>
          </w:p>
          <w:p w14:paraId="1DC915EC" w14:textId="77777777"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1F1B0638" w14:textId="77777777" w:rsidR="00ED35E6" w:rsidRDefault="00782003" w:rsidP="00A37E3D">
            <w:pPr>
              <w:jc w:val="both"/>
            </w:pPr>
            <w:r w:rsidRPr="008176A1">
              <w:rPr>
                <w:szCs w:val="24"/>
              </w:rPr>
              <w:t>PVP atliekama per visą statybos darbų vykdymo laikotarpį iki objekto atidavimo naudojimui. Darbų atlikimo terminas planuojamas 1</w:t>
            </w:r>
            <w:r>
              <w:rPr>
                <w:szCs w:val="24"/>
              </w:rPr>
              <w:t>8</w:t>
            </w:r>
            <w:r w:rsidRPr="008176A1">
              <w:rPr>
                <w:szCs w:val="24"/>
              </w:rPr>
              <w:t xml:space="preserve"> mėnesių nuo rangos darbų pradžios.</w:t>
            </w:r>
            <w:r w:rsidR="002864DF">
              <w:t xml:space="preserve"> </w:t>
            </w:r>
          </w:p>
          <w:p w14:paraId="69C6AE54" w14:textId="02C372E2" w:rsidR="00C57473" w:rsidRPr="00782003" w:rsidRDefault="002864DF" w:rsidP="00A37E3D">
            <w:pPr>
              <w:jc w:val="both"/>
              <w:rPr>
                <w:szCs w:val="24"/>
              </w:rPr>
            </w:pPr>
            <w:r w:rsidRPr="002864DF">
              <w:rPr>
                <w:szCs w:val="24"/>
              </w:rPr>
              <w:t>Bendras sutarties terminas, įskaitant rangos darbų organizavimą –  36 mėnesiai.</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795AAF2D" w:rsidR="00027B83" w:rsidRPr="00C020E9" w:rsidRDefault="0060185F" w:rsidP="00A37E3D">
            <w:pPr>
              <w:jc w:val="both"/>
              <w:rPr>
                <w:color w:val="000000" w:themeColor="text1"/>
                <w:szCs w:val="24"/>
              </w:rPr>
            </w:pPr>
            <w:r>
              <w:rPr>
                <w:kern w:val="2"/>
                <w:szCs w:val="24"/>
              </w:rPr>
              <w:t>Netaikoma</w:t>
            </w:r>
            <w:r w:rsidR="00C57473" w:rsidRPr="00C57473">
              <w:rPr>
                <w:color w:val="000000" w:themeColor="text1"/>
                <w:szCs w:val="24"/>
              </w:rPr>
              <w:t xml:space="preserve">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34480BFF"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Pr="008176A1"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498C1F4E" w14:textId="0C205EDB" w:rsidR="00E91E82" w:rsidRPr="009E1EEC" w:rsidRDefault="00644EB4" w:rsidP="00E91E82">
            <w:pPr>
              <w:jc w:val="both"/>
              <w:rPr>
                <w:color w:val="000000" w:themeColor="text1"/>
                <w:kern w:val="2"/>
                <w:szCs w:val="24"/>
              </w:rPr>
            </w:pPr>
            <w:r>
              <w:rPr>
                <w:color w:val="000000" w:themeColor="text1"/>
                <w:kern w:val="2"/>
                <w:szCs w:val="24"/>
              </w:rPr>
              <w:t>V</w:t>
            </w:r>
            <w:r w:rsidRPr="00644EB4">
              <w:rPr>
                <w:color w:val="000000" w:themeColor="text1"/>
                <w:kern w:val="2"/>
                <w:szCs w:val="24"/>
              </w:rPr>
              <w:t xml:space="preserve">isuomeninio pastato, sporto paskirties (sporto salės) </w:t>
            </w:r>
            <w:r w:rsidR="007D1E17">
              <w:rPr>
                <w:color w:val="000000" w:themeColor="text1"/>
                <w:kern w:val="2"/>
                <w:szCs w:val="24"/>
              </w:rPr>
              <w:t>T</w:t>
            </w:r>
            <w:r w:rsidRPr="00644EB4">
              <w:rPr>
                <w:color w:val="000000" w:themeColor="text1"/>
                <w:kern w:val="2"/>
                <w:szCs w:val="24"/>
              </w:rPr>
              <w:t xml:space="preserve">rakų r. sav., </w:t>
            </w:r>
            <w:r w:rsidR="007D1E17">
              <w:rPr>
                <w:color w:val="000000" w:themeColor="text1"/>
                <w:kern w:val="2"/>
                <w:szCs w:val="24"/>
              </w:rPr>
              <w:t>S</w:t>
            </w:r>
            <w:r w:rsidRPr="00644EB4">
              <w:rPr>
                <w:color w:val="000000" w:themeColor="text1"/>
                <w:kern w:val="2"/>
                <w:szCs w:val="24"/>
              </w:rPr>
              <w:t xml:space="preserve">enųjų </w:t>
            </w:r>
            <w:r w:rsidR="007D1E17">
              <w:rPr>
                <w:color w:val="000000" w:themeColor="text1"/>
                <w:kern w:val="2"/>
                <w:szCs w:val="24"/>
              </w:rPr>
              <w:t>T</w:t>
            </w:r>
            <w:r w:rsidRPr="00644EB4">
              <w:rPr>
                <w:color w:val="000000" w:themeColor="text1"/>
                <w:kern w:val="2"/>
                <w:szCs w:val="24"/>
              </w:rPr>
              <w:t xml:space="preserve">rakų sen., </w:t>
            </w:r>
            <w:r w:rsidR="007D1E17">
              <w:rPr>
                <w:color w:val="000000" w:themeColor="text1"/>
                <w:kern w:val="2"/>
                <w:szCs w:val="24"/>
              </w:rPr>
              <w:t>S</w:t>
            </w:r>
            <w:r w:rsidRPr="00644EB4">
              <w:rPr>
                <w:color w:val="000000" w:themeColor="text1"/>
                <w:kern w:val="2"/>
                <w:szCs w:val="24"/>
              </w:rPr>
              <w:t xml:space="preserve">enųjų </w:t>
            </w:r>
            <w:r w:rsidR="007D1E17">
              <w:rPr>
                <w:color w:val="000000" w:themeColor="text1"/>
                <w:kern w:val="2"/>
                <w:szCs w:val="24"/>
              </w:rPr>
              <w:t>T</w:t>
            </w:r>
            <w:r w:rsidRPr="00644EB4">
              <w:rPr>
                <w:color w:val="000000" w:themeColor="text1"/>
                <w:kern w:val="2"/>
                <w:szCs w:val="24"/>
              </w:rPr>
              <w:t xml:space="preserve">rakų k., </w:t>
            </w:r>
            <w:r w:rsidR="007D1E17">
              <w:rPr>
                <w:color w:val="000000" w:themeColor="text1"/>
                <w:kern w:val="2"/>
                <w:szCs w:val="24"/>
              </w:rPr>
              <w:t>T</w:t>
            </w:r>
            <w:r w:rsidRPr="00644EB4">
              <w:rPr>
                <w:color w:val="000000" w:themeColor="text1"/>
                <w:kern w:val="2"/>
                <w:szCs w:val="24"/>
              </w:rPr>
              <w:t>rakų g. 39a, statybos projekto, projektinių pasiūlymų ir techninio darbo projekto parengim</w:t>
            </w:r>
            <w:r w:rsidR="009E1573">
              <w:rPr>
                <w:color w:val="000000" w:themeColor="text1"/>
                <w:kern w:val="2"/>
                <w:szCs w:val="24"/>
              </w:rPr>
              <w:t>as</w:t>
            </w:r>
            <w:r w:rsidRPr="00644EB4">
              <w:rPr>
                <w:color w:val="000000" w:themeColor="text1"/>
                <w:kern w:val="2"/>
                <w:szCs w:val="24"/>
              </w:rPr>
              <w:t xml:space="preserve"> </w:t>
            </w:r>
            <w:r w:rsidR="00E91E82" w:rsidRPr="009E1EEC">
              <w:rPr>
                <w:color w:val="000000" w:themeColor="text1"/>
                <w:kern w:val="2"/>
                <w:szCs w:val="24"/>
              </w:rPr>
              <w:t>(Projektas):</w:t>
            </w:r>
          </w:p>
          <w:p w14:paraId="1F99DA4A" w14:textId="77777777" w:rsidR="00E91E82" w:rsidRPr="009E1EEC" w:rsidRDefault="00E91E82" w:rsidP="00E91E82">
            <w:pPr>
              <w:jc w:val="both"/>
              <w:rPr>
                <w:color w:val="000000" w:themeColor="text1"/>
                <w:szCs w:val="24"/>
              </w:rPr>
            </w:pPr>
            <w:r w:rsidRPr="009E1EEC">
              <w:rPr>
                <w:color w:val="000000" w:themeColor="text1"/>
                <w:kern w:val="2"/>
                <w:szCs w:val="24"/>
              </w:rPr>
              <w:t>(</w:t>
            </w:r>
            <w:r w:rsidRPr="009E1573">
              <w:rPr>
                <w:color w:val="0070C0"/>
                <w:kern w:val="2"/>
                <w:szCs w:val="24"/>
              </w:rPr>
              <w:t>nurodyti sumą skaičiais</w:t>
            </w:r>
            <w:r w:rsidRPr="009E1EEC">
              <w:rPr>
                <w:color w:val="000000" w:themeColor="text1"/>
                <w:kern w:val="2"/>
                <w:szCs w:val="24"/>
              </w:rPr>
              <w:t>) Eur (</w:t>
            </w:r>
            <w:r w:rsidRPr="009E1573">
              <w:rPr>
                <w:color w:val="0070C0"/>
                <w:kern w:val="2"/>
                <w:szCs w:val="24"/>
              </w:rPr>
              <w:t>nurodyti sumą žodžiais</w:t>
            </w:r>
            <w:r w:rsidRPr="009E1EEC">
              <w:rPr>
                <w:color w:val="000000" w:themeColor="text1"/>
                <w:kern w:val="2"/>
                <w:szCs w:val="24"/>
              </w:rPr>
              <w:t>) be PVM.</w:t>
            </w:r>
          </w:p>
          <w:p w14:paraId="6C581263" w14:textId="77777777" w:rsidR="00E91E82" w:rsidRPr="009E1EEC" w:rsidRDefault="00E91E82" w:rsidP="00E91E82">
            <w:pPr>
              <w:jc w:val="both"/>
              <w:rPr>
                <w:color w:val="000000" w:themeColor="text1"/>
                <w:szCs w:val="24"/>
              </w:rPr>
            </w:pPr>
            <w:r w:rsidRPr="009E1EEC">
              <w:rPr>
                <w:color w:val="000000" w:themeColor="text1"/>
                <w:kern w:val="2"/>
                <w:szCs w:val="24"/>
              </w:rPr>
              <w:lastRenderedPageBreak/>
              <w:t>PVM sudaro (</w:t>
            </w:r>
            <w:r w:rsidRPr="009E1573">
              <w:rPr>
                <w:color w:val="0070C0"/>
                <w:kern w:val="2"/>
                <w:szCs w:val="24"/>
              </w:rPr>
              <w:t>nurodyti sumą skaičiais</w:t>
            </w:r>
            <w:r w:rsidRPr="009E1EEC">
              <w:rPr>
                <w:color w:val="000000" w:themeColor="text1"/>
                <w:kern w:val="2"/>
                <w:szCs w:val="24"/>
              </w:rPr>
              <w:t>) Eur (</w:t>
            </w:r>
            <w:r w:rsidRPr="009E1573">
              <w:rPr>
                <w:color w:val="0070C0"/>
                <w:kern w:val="2"/>
                <w:szCs w:val="24"/>
              </w:rPr>
              <w:t>nurodyti sumą žodžiais</w:t>
            </w:r>
            <w:r w:rsidRPr="009E1EEC">
              <w:rPr>
                <w:color w:val="000000" w:themeColor="text1"/>
                <w:kern w:val="2"/>
                <w:szCs w:val="24"/>
              </w:rPr>
              <w:t>), kaina yra (</w:t>
            </w:r>
            <w:r w:rsidRPr="009E1573">
              <w:rPr>
                <w:color w:val="0070C0"/>
                <w:kern w:val="2"/>
                <w:szCs w:val="24"/>
              </w:rPr>
              <w:t>nurodyti sumą skaičiais</w:t>
            </w:r>
            <w:r w:rsidRPr="009E1EEC">
              <w:rPr>
                <w:color w:val="000000" w:themeColor="text1"/>
                <w:kern w:val="2"/>
                <w:szCs w:val="24"/>
              </w:rPr>
              <w:t>) Eur (</w:t>
            </w:r>
            <w:r w:rsidRPr="009E1573">
              <w:rPr>
                <w:color w:val="0070C0"/>
                <w:kern w:val="2"/>
                <w:szCs w:val="24"/>
              </w:rPr>
              <w:t>nurodyti sumą žodžiais</w:t>
            </w:r>
            <w:r w:rsidRPr="009E1EEC">
              <w:rPr>
                <w:color w:val="000000" w:themeColor="text1"/>
                <w:kern w:val="2"/>
                <w:szCs w:val="24"/>
              </w:rPr>
              <w:t>) su PVM.</w:t>
            </w:r>
          </w:p>
          <w:p w14:paraId="09C64113" w14:textId="77777777" w:rsidR="00E91E82" w:rsidRPr="009E1EEC" w:rsidRDefault="00E91E82" w:rsidP="00E91E82">
            <w:pPr>
              <w:jc w:val="both"/>
              <w:rPr>
                <w:color w:val="000000" w:themeColor="text1"/>
                <w:kern w:val="2"/>
                <w:szCs w:val="24"/>
              </w:rPr>
            </w:pPr>
            <w:r w:rsidRPr="009E1EEC">
              <w:rPr>
                <w:color w:val="000000" w:themeColor="text1"/>
                <w:kern w:val="2"/>
                <w:szCs w:val="24"/>
              </w:rPr>
              <w:t xml:space="preserve"> ir </w:t>
            </w:r>
          </w:p>
          <w:p w14:paraId="15BB38F7" w14:textId="1581F609" w:rsidR="00E91E82" w:rsidRPr="009E1EEC" w:rsidRDefault="007D1E17" w:rsidP="00E91E82">
            <w:pPr>
              <w:jc w:val="both"/>
              <w:rPr>
                <w:color w:val="000000" w:themeColor="text1"/>
                <w:kern w:val="2"/>
                <w:szCs w:val="24"/>
              </w:rPr>
            </w:pPr>
            <w:r w:rsidRPr="007D1E17">
              <w:rPr>
                <w:color w:val="000000" w:themeColor="text1"/>
                <w:kern w:val="2"/>
                <w:szCs w:val="24"/>
              </w:rPr>
              <w:t>Visuomeninio pastato, sporto paskirties (sporto salės) Trakų r. sav., Senųjų Trakų sen., Senųjų Trakų k., Trakų g. 39a</w:t>
            </w:r>
            <w:r w:rsidR="00644EB4" w:rsidRPr="00644EB4">
              <w:rPr>
                <w:color w:val="000000" w:themeColor="text1"/>
                <w:kern w:val="2"/>
                <w:szCs w:val="24"/>
              </w:rPr>
              <w:t xml:space="preserve">, statybos </w:t>
            </w:r>
            <w:r w:rsidR="00E91E82" w:rsidRPr="009E1EEC">
              <w:rPr>
                <w:color w:val="000000" w:themeColor="text1"/>
                <w:kern w:val="2"/>
                <w:szCs w:val="24"/>
              </w:rPr>
              <w:t>projekto vykdymo priežiūros paslaug</w:t>
            </w:r>
            <w:r w:rsidR="009E1573">
              <w:rPr>
                <w:color w:val="000000" w:themeColor="text1"/>
                <w:kern w:val="2"/>
                <w:szCs w:val="24"/>
              </w:rPr>
              <w:t xml:space="preserve">os </w:t>
            </w:r>
            <w:r w:rsidR="00E91E82" w:rsidRPr="009E1EEC">
              <w:rPr>
                <w:color w:val="000000" w:themeColor="text1"/>
                <w:kern w:val="2"/>
                <w:szCs w:val="24"/>
              </w:rPr>
              <w:t>(PVP):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(-as)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=Ind_naujausias/Ind_pradžia ×100-100, (proc.) kur</w:t>
            </w:r>
          </w:p>
          <w:p w14:paraId="14309EFA" w14:textId="77777777" w:rsidR="00E91E82" w:rsidRPr="00642EF3" w:rsidRDefault="00E91E82" w:rsidP="00E91E82">
            <w:pPr>
              <w:jc w:val="both"/>
              <w:rPr>
                <w:kern w:val="2"/>
                <w:szCs w:val="24"/>
              </w:rPr>
            </w:pPr>
            <w:r w:rsidRPr="00642EF3">
              <w:rPr>
                <w:kern w:val="2"/>
                <w:szCs w:val="24"/>
              </w:rPr>
              <w:t>Indnaujausias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r w:rsidRPr="00642EF3">
              <w:rPr>
                <w:kern w:val="2"/>
                <w:szCs w:val="24"/>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0" w:name="_Hlk200358290"/>
            <w:r>
              <w:rPr>
                <w:b/>
                <w:kern w:val="2"/>
                <w:szCs w:val="24"/>
              </w:rPr>
              <w:lastRenderedPageBreak/>
              <w:t>5.5. Atsiskaitymo su Tiekėju terminas ir tvarka</w:t>
            </w:r>
          </w:p>
        </w:tc>
        <w:tc>
          <w:tcPr>
            <w:tcW w:w="6441" w:type="dxa"/>
            <w:gridSpan w:val="2"/>
          </w:tcPr>
          <w:p w14:paraId="6CF82B44" w14:textId="7660CBBD" w:rsidR="00AE74A5" w:rsidRPr="00104874" w:rsidRDefault="00AE74A5" w:rsidP="00AE74A5">
            <w:pPr>
              <w:jc w:val="both"/>
              <w:rPr>
                <w:kern w:val="2"/>
                <w:szCs w:val="24"/>
              </w:rPr>
            </w:pPr>
            <w:r w:rsidRPr="00104874">
              <w:rPr>
                <w:kern w:val="2"/>
                <w:szCs w:val="24"/>
              </w:rPr>
              <w:t>5.5.1. Projektuotojui, parengus projektinius pasiūlymus, atlikus ir užbaigus visuomenės informavimą</w:t>
            </w:r>
            <w:r w:rsidR="00A37E3D" w:rsidRPr="00104874">
              <w:rPr>
                <w:kern w:val="2"/>
                <w:szCs w:val="24"/>
              </w:rPr>
              <w:t xml:space="preserve"> (pateikia ataskaitą ir protokolą)</w:t>
            </w:r>
            <w:r w:rsidRPr="00104874">
              <w:rPr>
                <w:kern w:val="2"/>
                <w:szCs w:val="24"/>
              </w:rPr>
              <w:t xml:space="preserve"> teisės aktų nustatyta tvarka, Užsakovas sumoka </w:t>
            </w:r>
            <w:r w:rsidRPr="00971FEF">
              <w:rPr>
                <w:b/>
                <w:bCs/>
                <w:kern w:val="2"/>
                <w:szCs w:val="24"/>
              </w:rPr>
              <w:t>20 (dvidešimt) proc.</w:t>
            </w:r>
            <w:r w:rsidRPr="00104874">
              <w:rPr>
                <w:kern w:val="2"/>
                <w:szCs w:val="24"/>
              </w:rPr>
              <w:t xml:space="preserve"> Sutarties kainos už </w:t>
            </w:r>
            <w:r w:rsidR="00A37E3D" w:rsidRPr="00104874">
              <w:rPr>
                <w:kern w:val="2"/>
                <w:szCs w:val="24"/>
              </w:rPr>
              <w:t xml:space="preserve">atliktą projektavimo etapą </w:t>
            </w:r>
            <w:r w:rsidRPr="00104874">
              <w:rPr>
                <w:kern w:val="2"/>
                <w:szCs w:val="24"/>
              </w:rPr>
              <w:t>per 30 (trisdešimt) kalendorinių dienų pagal Užsakovo ir Projektuotojo pasirašytas suteiktų Paslaugų pažymas (F–3), suteiktų Paslaugų aktus, ir sąskaitas - faktūras;</w:t>
            </w:r>
          </w:p>
          <w:p w14:paraId="07A0AEA4" w14:textId="073C76CE" w:rsidR="00AE74A5" w:rsidRPr="00104874" w:rsidRDefault="00AE74A5" w:rsidP="00AE74A5">
            <w:pPr>
              <w:jc w:val="both"/>
              <w:rPr>
                <w:kern w:val="2"/>
                <w:szCs w:val="24"/>
              </w:rPr>
            </w:pPr>
            <w:r w:rsidRPr="00104874">
              <w:rPr>
                <w:kern w:val="2"/>
                <w:szCs w:val="24"/>
              </w:rPr>
              <w:t xml:space="preserve">5.5.2. Projektuotojui gavus statybą leidžiantį dokumentą (įmoką už jį sumoka Užsakovas), Užsakovas sumoka </w:t>
            </w:r>
            <w:r w:rsidRPr="00971FEF">
              <w:rPr>
                <w:b/>
                <w:bCs/>
                <w:kern w:val="2"/>
                <w:szCs w:val="24"/>
              </w:rPr>
              <w:t>30 (trisdešimt) proc.</w:t>
            </w:r>
            <w:r w:rsidRPr="00104874">
              <w:rPr>
                <w:kern w:val="2"/>
                <w:szCs w:val="24"/>
              </w:rPr>
              <w:t xml:space="preserve"> Sutarties kainos </w:t>
            </w:r>
            <w:r w:rsidR="00A37E3D" w:rsidRPr="00104874">
              <w:rPr>
                <w:kern w:val="2"/>
                <w:szCs w:val="24"/>
              </w:rPr>
              <w:t xml:space="preserve">už atliktą projektavimo etapą </w:t>
            </w:r>
            <w:r w:rsidRPr="00104874">
              <w:rPr>
                <w:kern w:val="2"/>
                <w:szCs w:val="24"/>
              </w:rPr>
              <w:t>per 30 (trisdešimt) kalendorinių dienų pagal Užsakovo ir Projektuotojo pasirašytas suteiktų Paslaugų pažymas (F–3), suteiktų paslaugų aktus, ir sąskaitas faktūras;</w:t>
            </w:r>
          </w:p>
          <w:p w14:paraId="3A588273" w14:textId="0ED9B365" w:rsidR="00AE74A5" w:rsidRPr="00104874" w:rsidRDefault="00AE74A5" w:rsidP="00AE74A5">
            <w:pPr>
              <w:jc w:val="both"/>
              <w:rPr>
                <w:kern w:val="2"/>
                <w:szCs w:val="24"/>
              </w:rPr>
            </w:pPr>
            <w:r w:rsidRPr="00104874">
              <w:rPr>
                <w:kern w:val="2"/>
                <w:szCs w:val="24"/>
              </w:rPr>
              <w:t xml:space="preserve">5.5.3. Techniniam darbo projektui gavus teigiamą privalomosios Projekto ekspertizės išvadą (ekspertizę atliks Užsakovo viešojo pirkimo būdu parinkta įmonė, už ekspertizės paslaugas moka Užsakovas), Užsakovas sumoka </w:t>
            </w:r>
            <w:r w:rsidRPr="00971FEF">
              <w:rPr>
                <w:b/>
                <w:bCs/>
                <w:kern w:val="2"/>
                <w:szCs w:val="24"/>
              </w:rPr>
              <w:t>50 (penkiasdešimt) proc</w:t>
            </w:r>
            <w:r w:rsidRPr="00104874">
              <w:rPr>
                <w:kern w:val="2"/>
                <w:szCs w:val="24"/>
              </w:rPr>
              <w:t>.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Default="00AE74A5" w:rsidP="00104874">
            <w:pPr>
              <w:jc w:val="both"/>
              <w:rPr>
                <w:color w:val="4472C4"/>
                <w:kern w:val="2"/>
                <w:szCs w:val="24"/>
                <w:shd w:val="clear" w:color="auto" w:fill="FFFFFF"/>
              </w:rPr>
            </w:pPr>
            <w:r w:rsidRPr="00104874">
              <w:rPr>
                <w:kern w:val="2"/>
                <w:szCs w:val="24"/>
              </w:rPr>
              <w:t>5.5.4. Atliekant projekto vykdymo priežiūros paslaugas Užsakovas sumoka proporcingai suteiktų paslaugų apimčiai Sutarties kainos už PVP</w:t>
            </w:r>
            <w:r w:rsidR="00104874">
              <w:rPr>
                <w:kern w:val="2"/>
                <w:szCs w:val="24"/>
              </w:rPr>
              <w:t>.</w:t>
            </w:r>
          </w:p>
        </w:tc>
      </w:tr>
      <w:bookmarkEnd w:id="0"/>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1F5B0FE4" w:rsidR="00E91E82" w:rsidRPr="00FE652B" w:rsidRDefault="00627F01" w:rsidP="00E91E82">
            <w:pPr>
              <w:rPr>
                <w:strike/>
                <w:kern w:val="2"/>
                <w:szCs w:val="24"/>
              </w:rPr>
            </w:pPr>
            <w:r>
              <w:rPr>
                <w:kern w:val="2"/>
                <w:szCs w:val="24"/>
              </w:rPr>
              <w:t>Vadovaujantis teisės aktais, ekspertizės akte nurodytais terminais.</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2F0F3F43" w:rsidR="007833A7" w:rsidRPr="008176A1" w:rsidRDefault="009C47FA" w:rsidP="007833A7">
            <w:pPr>
              <w:jc w:val="both"/>
              <w:rPr>
                <w:bCs/>
                <w:kern w:val="2"/>
                <w:szCs w:val="24"/>
              </w:rPr>
            </w:pPr>
            <w:r>
              <w:rPr>
                <w:bCs/>
                <w:kern w:val="2"/>
                <w:szCs w:val="24"/>
              </w:rPr>
              <w:t>9</w:t>
            </w:r>
            <w:r w:rsidR="007833A7" w:rsidRPr="008176A1">
              <w:rPr>
                <w:bCs/>
                <w:kern w:val="2"/>
                <w:szCs w:val="24"/>
              </w:rPr>
              <w:t xml:space="preserve"> mėnesi</w:t>
            </w:r>
            <w:r>
              <w:rPr>
                <w:bCs/>
                <w:kern w:val="2"/>
                <w:szCs w:val="24"/>
              </w:rPr>
              <w:t>ai</w:t>
            </w:r>
            <w:r w:rsidR="007833A7" w:rsidRPr="008176A1">
              <w:rPr>
                <w:bCs/>
                <w:kern w:val="2"/>
                <w:szCs w:val="24"/>
              </w:rPr>
              <w:t xml:space="preserve"> Projekto rengimo laikotarpiui;</w:t>
            </w:r>
          </w:p>
          <w:p w14:paraId="03F7A6B1" w14:textId="77777777" w:rsidR="009E1573" w:rsidRDefault="007833A7" w:rsidP="007833A7">
            <w:pPr>
              <w:rPr>
                <w:bCs/>
                <w:kern w:val="2"/>
                <w:szCs w:val="24"/>
              </w:rPr>
            </w:pPr>
            <w:r w:rsidRPr="008176A1">
              <w:rPr>
                <w:bCs/>
                <w:kern w:val="2"/>
                <w:szCs w:val="24"/>
              </w:rPr>
              <w:t>1</w:t>
            </w:r>
            <w:r w:rsidR="00CA4D7C">
              <w:rPr>
                <w:bCs/>
                <w:kern w:val="2"/>
                <w:szCs w:val="24"/>
              </w:rPr>
              <w:t xml:space="preserve">8 </w:t>
            </w:r>
            <w:r w:rsidRPr="008176A1">
              <w:rPr>
                <w:bCs/>
                <w:kern w:val="2"/>
                <w:szCs w:val="24"/>
              </w:rPr>
              <w:t>mėnesių rangos darbų atlikimo metu, vykdant PVP</w:t>
            </w:r>
            <w:r w:rsidR="009E1573">
              <w:rPr>
                <w:bCs/>
                <w:kern w:val="2"/>
                <w:szCs w:val="24"/>
              </w:rPr>
              <w:t>.</w:t>
            </w:r>
          </w:p>
          <w:p w14:paraId="49273A25" w14:textId="71BA5B34" w:rsidR="009E1573" w:rsidRPr="009E1573" w:rsidRDefault="007833A7" w:rsidP="007833A7">
            <w:pPr>
              <w:rPr>
                <w:bCs/>
                <w:kern w:val="2"/>
                <w:szCs w:val="24"/>
              </w:rPr>
            </w:pPr>
            <w:r w:rsidRPr="008176A1">
              <w:rPr>
                <w:bCs/>
                <w:kern w:val="2"/>
                <w:szCs w:val="24"/>
              </w:rPr>
              <w:t xml:space="preserve">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lastRenderedPageBreak/>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9E1573">
              <w:rPr>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822B14C" w:rsidR="007833A7" w:rsidRDefault="00627F01" w:rsidP="007833A7">
            <w:pPr>
              <w:rPr>
                <w:color w:val="4472C4"/>
                <w:kern w:val="2"/>
                <w:szCs w:val="24"/>
              </w:rPr>
            </w:pPr>
            <w:r w:rsidRPr="004F5C1C">
              <w:rPr>
                <w:b/>
                <w:bCs/>
              </w:rPr>
              <w:t xml:space="preserve">Tiekėjui, </w:t>
            </w:r>
            <w:r>
              <w:rPr>
                <w:b/>
                <w:bCs/>
              </w:rPr>
              <w:t xml:space="preserve">per nurodytą terminą </w:t>
            </w:r>
            <w:r w:rsidRPr="004F5C1C">
              <w:rPr>
                <w:b/>
                <w:bCs/>
              </w:rPr>
              <w:t>atsisakius pasirašyti sutartį, skiriama bauda</w:t>
            </w:r>
            <w:r>
              <w:rPr>
                <w:b/>
                <w:bCs/>
              </w:rPr>
              <w:t xml:space="preserve"> </w:t>
            </w:r>
            <w:r w:rsidRPr="004F5C1C">
              <w:rPr>
                <w:b/>
                <w:bCs/>
              </w:rPr>
              <w:t>– 500 Eurų</w:t>
            </w:r>
            <w:r>
              <w:rPr>
                <w:b/>
                <w:bCs/>
              </w:rPr>
              <w:t xml:space="preserve">, </w:t>
            </w:r>
            <w:r w:rsidRPr="004F5C1C">
              <w:t xml:space="preserve">kuri turėtų būti pervesta į Perkančiosios organizacijos sąskaitą per 5 dienas nuo pranešimo </w:t>
            </w:r>
            <w:r>
              <w:t xml:space="preserve"> iš Perkančiosios organizacijos </w:t>
            </w:r>
            <w:r w:rsidRPr="004F5C1C">
              <w:t>gavimo dienos.</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04094D45" w14:textId="71A1E4E6" w:rsidR="007833A7" w:rsidRPr="00E07FEA" w:rsidRDefault="007833A7" w:rsidP="00E07FEA">
            <w:pPr>
              <w:jc w:val="both"/>
              <w:rPr>
                <w:kern w:val="2"/>
                <w:szCs w:val="24"/>
              </w:rPr>
            </w:pPr>
            <w:r w:rsidRPr="008176A1">
              <w:rPr>
                <w:kern w:val="2"/>
                <w:szCs w:val="24"/>
              </w:rPr>
              <w:t xml:space="preserve">Sutartis galioja iki visiško prievolių įvykdymo. </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3E949CC4" w:rsidR="007833A7" w:rsidRDefault="00627F01" w:rsidP="007833A7">
            <w:pPr>
              <w:rPr>
                <w:kern w:val="2"/>
                <w:szCs w:val="24"/>
              </w:rPr>
            </w:pPr>
            <w:r>
              <w:rPr>
                <w:kern w:val="2"/>
                <w:szCs w:val="24"/>
              </w:rPr>
              <w:t>Nenumatomas</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lastRenderedPageBreak/>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7A42B929" w14:textId="77777777" w:rsidR="00202BEC" w:rsidRPr="00774BF5" w:rsidRDefault="00202BEC" w:rsidP="00202BEC">
            <w:pPr>
              <w:pStyle w:val="Pagrindinistekstas"/>
              <w:rPr>
                <w:rFonts w:asciiTheme="majorBidi" w:hAnsiTheme="majorBidi" w:cstheme="majorBidi"/>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4.1 p.: </w:t>
            </w:r>
          </w:p>
          <w:p w14:paraId="6CC64ABC" w14:textId="77777777" w:rsidR="00202BEC" w:rsidRPr="00774BF5" w:rsidRDefault="00202BEC" w:rsidP="00202BEC">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0E2DFD6B" w14:textId="77777777" w:rsidR="00202BEC" w:rsidRPr="00774BF5" w:rsidRDefault="00202BEC" w:rsidP="00202BEC">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55FB3BC" w14:textId="77777777" w:rsidR="00202BEC" w:rsidRPr="00774BF5" w:rsidRDefault="00202BEC" w:rsidP="00202BEC">
            <w:pPr>
              <w:pStyle w:val="Pagrindinistekstas"/>
              <w:rPr>
                <w:rFonts w:asciiTheme="majorBidi" w:hAnsiTheme="majorBidi" w:cstheme="majorBidi"/>
                <w:u w:val="single"/>
              </w:rPr>
            </w:pPr>
            <w:r w:rsidRPr="00774BF5">
              <w:rPr>
                <w:rFonts w:asciiTheme="majorBidi" w:hAnsiTheme="majorBidi" w:cstheme="majorBidi"/>
              </w:rPr>
              <w:lastRenderedPageBreak/>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137F002D" w:rsidR="007833A7" w:rsidRDefault="00202BEC" w:rsidP="00202BEC">
            <w:pPr>
              <w:rPr>
                <w:kern w:val="2"/>
                <w:szCs w:val="24"/>
              </w:rPr>
            </w:pPr>
            <w:r>
              <w:rPr>
                <w:rFonts w:asciiTheme="majorBidi" w:hAnsiTheme="majorBidi" w:cstheme="majorBidi"/>
                <w:spacing w:val="2"/>
                <w:shd w:val="clear" w:color="auto" w:fill="FFFFFF"/>
              </w:rPr>
              <w:t>13.1.2.</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774BF5">
              <w:rPr>
                <w:u w:val="single"/>
                <w:lang w:eastAsia="ar-SA"/>
              </w:rPr>
              <w:t>perkama statinio projekto vykdymo priežiūros paslauga yra nematerialaus pobūdžio (intelektinė) paslauga</w:t>
            </w:r>
            <w:r w:rsidRPr="00774BF5">
              <w:rPr>
                <w:lang w:eastAsia="ar-SA"/>
              </w:rPr>
              <w:t>.</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57CBBCA4" w:rsidR="00202BEC" w:rsidRDefault="00202BEC" w:rsidP="009767FC">
            <w:pPr>
              <w:rPr>
                <w:b/>
                <w:kern w:val="2"/>
                <w:szCs w:val="24"/>
              </w:rPr>
            </w:pPr>
            <w:r w:rsidRPr="00647235">
              <w:rPr>
                <w:bCs/>
                <w:kern w:val="2"/>
                <w:szCs w:val="24"/>
              </w:rPr>
              <w:t>Projektavimo užduotis</w:t>
            </w:r>
            <w:r>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6A3050C0" w:rsidR="00202BEC" w:rsidRDefault="00202BEC" w:rsidP="00A6299B">
            <w:pPr>
              <w:rPr>
                <w:b/>
                <w:kern w:val="2"/>
                <w:szCs w:val="24"/>
              </w:rPr>
            </w:pPr>
            <w:r w:rsidRPr="00B44737">
              <w:rPr>
                <w:bCs/>
                <w:kern w:val="2"/>
                <w:szCs w:val="24"/>
              </w:rPr>
              <w:t>Projektuotojo pasiūlym</w:t>
            </w:r>
            <w:r w:rsidR="009E1573">
              <w:rPr>
                <w:bCs/>
                <w:kern w:val="2"/>
                <w:szCs w:val="24"/>
              </w:rPr>
              <w:t>as</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49621E4" w14:textId="77777777" w:rsidR="00202BEC" w:rsidRDefault="00202BEC" w:rsidP="00202BEC">
      <w:pPr>
        <w:jc w:val="right"/>
        <w:rPr>
          <w:szCs w:val="24"/>
        </w:rPr>
      </w:pPr>
      <w:r w:rsidRPr="00774BF5">
        <w:rPr>
          <w:szCs w:val="24"/>
        </w:rPr>
        <w:lastRenderedPageBreak/>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r w:rsidRPr="00F47226">
        <w:rPr>
          <w:b/>
          <w:bCs/>
          <w:szCs w:val="24"/>
        </w:rPr>
        <w:t>Subteikimo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Subteikimo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Subteikimo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Užsakovas ir Subteikėjas neturi teisės reikšti vienas kitam piniginių reikalavimų, susijusių su Sutarties ir / ar Subteikimo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257B" w14:textId="77777777" w:rsidR="00CF5B90" w:rsidRDefault="00CF5B90">
      <w:pPr>
        <w:rPr>
          <w:sz w:val="20"/>
        </w:rPr>
      </w:pPr>
      <w:r>
        <w:rPr>
          <w:sz w:val="20"/>
        </w:rPr>
        <w:separator/>
      </w:r>
    </w:p>
  </w:endnote>
  <w:endnote w:type="continuationSeparator" w:id="0">
    <w:p w14:paraId="6C95A127" w14:textId="77777777" w:rsidR="00CF5B90" w:rsidRDefault="00CF5B90">
      <w:pPr>
        <w:rPr>
          <w:sz w:val="20"/>
        </w:rPr>
      </w:pPr>
      <w:r>
        <w:rPr>
          <w:sz w:val="20"/>
        </w:rPr>
        <w:continuationSeparator/>
      </w:r>
    </w:p>
  </w:endnote>
  <w:endnote w:type="continuationNotice" w:id="1">
    <w:p w14:paraId="1356868A" w14:textId="77777777" w:rsidR="00CF5B90" w:rsidRDefault="00CF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D0D6" w14:textId="77777777" w:rsidR="00CF5B90" w:rsidRDefault="00CF5B90">
      <w:pPr>
        <w:rPr>
          <w:sz w:val="20"/>
        </w:rPr>
      </w:pPr>
      <w:r>
        <w:rPr>
          <w:sz w:val="20"/>
        </w:rPr>
        <w:separator/>
      </w:r>
    </w:p>
  </w:footnote>
  <w:footnote w:type="continuationSeparator" w:id="0">
    <w:p w14:paraId="59BF017A" w14:textId="77777777" w:rsidR="00CF5B90" w:rsidRDefault="00CF5B90">
      <w:pPr>
        <w:rPr>
          <w:sz w:val="20"/>
        </w:rPr>
      </w:pPr>
      <w:r>
        <w:rPr>
          <w:sz w:val="20"/>
        </w:rPr>
        <w:continuationSeparator/>
      </w:r>
    </w:p>
  </w:footnote>
  <w:footnote w:type="continuationNotice" w:id="1">
    <w:p w14:paraId="4E7955B0" w14:textId="77777777" w:rsidR="00CF5B90" w:rsidRDefault="00CF5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369"/>
    <w:rsid w:val="00085DE6"/>
    <w:rsid w:val="00085FBC"/>
    <w:rsid w:val="00096A1D"/>
    <w:rsid w:val="000B0897"/>
    <w:rsid w:val="000B3CB1"/>
    <w:rsid w:val="000B3E38"/>
    <w:rsid w:val="001031AC"/>
    <w:rsid w:val="001035FE"/>
    <w:rsid w:val="00104874"/>
    <w:rsid w:val="001461B6"/>
    <w:rsid w:val="00156D12"/>
    <w:rsid w:val="00156DFE"/>
    <w:rsid w:val="00191897"/>
    <w:rsid w:val="00202BEC"/>
    <w:rsid w:val="002353A6"/>
    <w:rsid w:val="00252CC6"/>
    <w:rsid w:val="002864DF"/>
    <w:rsid w:val="002A1056"/>
    <w:rsid w:val="002A6B73"/>
    <w:rsid w:val="00305B85"/>
    <w:rsid w:val="0033606B"/>
    <w:rsid w:val="004537D7"/>
    <w:rsid w:val="00453C8F"/>
    <w:rsid w:val="004905A9"/>
    <w:rsid w:val="004D10F6"/>
    <w:rsid w:val="004D1BA0"/>
    <w:rsid w:val="004D2D09"/>
    <w:rsid w:val="005007FC"/>
    <w:rsid w:val="005142BC"/>
    <w:rsid w:val="00544958"/>
    <w:rsid w:val="005624D1"/>
    <w:rsid w:val="00586EEE"/>
    <w:rsid w:val="0060185F"/>
    <w:rsid w:val="006031A2"/>
    <w:rsid w:val="00611B07"/>
    <w:rsid w:val="00627F01"/>
    <w:rsid w:val="00644EB4"/>
    <w:rsid w:val="0075072F"/>
    <w:rsid w:val="00782003"/>
    <w:rsid w:val="007833A7"/>
    <w:rsid w:val="007C5808"/>
    <w:rsid w:val="007D1E17"/>
    <w:rsid w:val="007D693E"/>
    <w:rsid w:val="00812707"/>
    <w:rsid w:val="00835AAA"/>
    <w:rsid w:val="00870719"/>
    <w:rsid w:val="00893F59"/>
    <w:rsid w:val="008A1BCA"/>
    <w:rsid w:val="008D4124"/>
    <w:rsid w:val="0091413E"/>
    <w:rsid w:val="00947ED2"/>
    <w:rsid w:val="00971FEF"/>
    <w:rsid w:val="009728BC"/>
    <w:rsid w:val="009767FC"/>
    <w:rsid w:val="009C47FA"/>
    <w:rsid w:val="009D6EB9"/>
    <w:rsid w:val="009E1573"/>
    <w:rsid w:val="009E1EEC"/>
    <w:rsid w:val="009F1B26"/>
    <w:rsid w:val="009F36BC"/>
    <w:rsid w:val="00A37E3D"/>
    <w:rsid w:val="00A440E5"/>
    <w:rsid w:val="00A6299B"/>
    <w:rsid w:val="00A72765"/>
    <w:rsid w:val="00A93C40"/>
    <w:rsid w:val="00AC2573"/>
    <w:rsid w:val="00AD103B"/>
    <w:rsid w:val="00AD2D46"/>
    <w:rsid w:val="00AE2459"/>
    <w:rsid w:val="00AE74A5"/>
    <w:rsid w:val="00AF538F"/>
    <w:rsid w:val="00AF549E"/>
    <w:rsid w:val="00B125ED"/>
    <w:rsid w:val="00B13128"/>
    <w:rsid w:val="00B76489"/>
    <w:rsid w:val="00B8407C"/>
    <w:rsid w:val="00BA6437"/>
    <w:rsid w:val="00BA7312"/>
    <w:rsid w:val="00BB6203"/>
    <w:rsid w:val="00BC00F8"/>
    <w:rsid w:val="00BE6EAE"/>
    <w:rsid w:val="00C020E9"/>
    <w:rsid w:val="00C02FEB"/>
    <w:rsid w:val="00C047E9"/>
    <w:rsid w:val="00C35F77"/>
    <w:rsid w:val="00C420A9"/>
    <w:rsid w:val="00C57473"/>
    <w:rsid w:val="00C91946"/>
    <w:rsid w:val="00CA2437"/>
    <w:rsid w:val="00CA4D7C"/>
    <w:rsid w:val="00CB192F"/>
    <w:rsid w:val="00CD321E"/>
    <w:rsid w:val="00CF5B90"/>
    <w:rsid w:val="00D02322"/>
    <w:rsid w:val="00D0419E"/>
    <w:rsid w:val="00D135F5"/>
    <w:rsid w:val="00D85A84"/>
    <w:rsid w:val="00DA4E0C"/>
    <w:rsid w:val="00DB6054"/>
    <w:rsid w:val="00E07FEA"/>
    <w:rsid w:val="00E14C54"/>
    <w:rsid w:val="00E2557D"/>
    <w:rsid w:val="00E50C31"/>
    <w:rsid w:val="00E817AB"/>
    <w:rsid w:val="00E836F0"/>
    <w:rsid w:val="00E91E82"/>
    <w:rsid w:val="00E93A97"/>
    <w:rsid w:val="00EB2FA9"/>
    <w:rsid w:val="00EC01F1"/>
    <w:rsid w:val="00ED0F8B"/>
    <w:rsid w:val="00ED35E6"/>
    <w:rsid w:val="00EF7EE1"/>
    <w:rsid w:val="00F001ED"/>
    <w:rsid w:val="00F211E4"/>
    <w:rsid w:val="00F53B05"/>
    <w:rsid w:val="00F559AD"/>
    <w:rsid w:val="00F60BD9"/>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85FBC"/>
    <w:rsid w:val="000F10B3"/>
    <w:rsid w:val="00156D12"/>
    <w:rsid w:val="001B2BD6"/>
    <w:rsid w:val="002021AD"/>
    <w:rsid w:val="0020596B"/>
    <w:rsid w:val="002179EB"/>
    <w:rsid w:val="00252CC6"/>
    <w:rsid w:val="002A3C25"/>
    <w:rsid w:val="0040245D"/>
    <w:rsid w:val="004D2D09"/>
    <w:rsid w:val="004D6CB3"/>
    <w:rsid w:val="004E7E2A"/>
    <w:rsid w:val="00657ECF"/>
    <w:rsid w:val="00666187"/>
    <w:rsid w:val="006B71FE"/>
    <w:rsid w:val="006E7EDF"/>
    <w:rsid w:val="007420B2"/>
    <w:rsid w:val="007F7B44"/>
    <w:rsid w:val="008204ED"/>
    <w:rsid w:val="00830C77"/>
    <w:rsid w:val="00835AAA"/>
    <w:rsid w:val="008D6EEB"/>
    <w:rsid w:val="0095656F"/>
    <w:rsid w:val="00974C95"/>
    <w:rsid w:val="009C6ABF"/>
    <w:rsid w:val="00AD340E"/>
    <w:rsid w:val="00B07845"/>
    <w:rsid w:val="00B125ED"/>
    <w:rsid w:val="00B13128"/>
    <w:rsid w:val="00BA6437"/>
    <w:rsid w:val="00BB6203"/>
    <w:rsid w:val="00C420A9"/>
    <w:rsid w:val="00C460B4"/>
    <w:rsid w:val="00C91946"/>
    <w:rsid w:val="00CB09A5"/>
    <w:rsid w:val="00CD321E"/>
    <w:rsid w:val="00CD487C"/>
    <w:rsid w:val="00D0419E"/>
    <w:rsid w:val="00D135F5"/>
    <w:rsid w:val="00DB6054"/>
    <w:rsid w:val="00E93A97"/>
    <w:rsid w:val="00F211E4"/>
    <w:rsid w:val="00F559AD"/>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22992</Words>
  <Characters>13106</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24</cp:revision>
  <cp:lastPrinted>2017-06-29T23:42:00Z</cp:lastPrinted>
  <dcterms:created xsi:type="dcterms:W3CDTF">2025-06-10T06:40:00Z</dcterms:created>
  <dcterms:modified xsi:type="dcterms:W3CDTF">2025-09-18T12:22:00Z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