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E805" w14:textId="7863CF61" w:rsidR="00671EA0" w:rsidRDefault="00671EA0" w:rsidP="00671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759AE">
        <w:rPr>
          <w:rFonts w:ascii="Times New Roman" w:eastAsia="Times New Roman" w:hAnsi="Times New Roman" w:cs="Times New Roman"/>
          <w:b/>
          <w:bCs/>
        </w:rPr>
        <w:t xml:space="preserve">TIEKĖJŲ KLAUSIMAI / SIŪLYMAI / PASTABOS DĖL VšĮ </w:t>
      </w:r>
      <w:r w:rsidR="001D4AB7">
        <w:rPr>
          <w:rFonts w:ascii="Times New Roman" w:eastAsia="Times New Roman" w:hAnsi="Times New Roman" w:cs="Times New Roman"/>
          <w:b/>
          <w:bCs/>
        </w:rPr>
        <w:t>Naujosios Vilnios poliklinikos</w:t>
      </w:r>
      <w:r w:rsidRPr="008759AE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vykdomos </w:t>
      </w:r>
      <w:r w:rsidRPr="008759AE">
        <w:rPr>
          <w:rFonts w:ascii="Times New Roman" w:eastAsia="Times New Roman" w:hAnsi="Times New Roman" w:cs="Times New Roman"/>
          <w:b/>
          <w:bCs/>
        </w:rPr>
        <w:t xml:space="preserve">rinkos konsultacijos </w:t>
      </w:r>
      <w:r>
        <w:rPr>
          <w:rFonts w:ascii="Times New Roman" w:eastAsia="Times New Roman" w:hAnsi="Times New Roman" w:cs="Times New Roman"/>
          <w:b/>
          <w:bCs/>
        </w:rPr>
        <w:t xml:space="preserve">CVP IS priemonėmis (ID </w:t>
      </w:r>
      <w:r w:rsidR="00284FAB" w:rsidRPr="00284FAB">
        <w:rPr>
          <w:rFonts w:ascii="Times New Roman" w:eastAsia="Roboto" w:hAnsi="Times New Roman" w:cs="Times New Roman"/>
          <w:b/>
          <w:bCs/>
        </w:rPr>
        <w:t>4345145</w:t>
      </w:r>
      <w:r>
        <w:rPr>
          <w:rFonts w:ascii="Times New Roman" w:eastAsia="Roboto" w:hAnsi="Times New Roman" w:cs="Times New Roman"/>
          <w:b/>
          <w:bCs/>
        </w:rPr>
        <w:t xml:space="preserve">) </w:t>
      </w:r>
      <w:r w:rsidRPr="008759AE">
        <w:rPr>
          <w:rFonts w:ascii="Times New Roman" w:eastAsia="Times New Roman" w:hAnsi="Times New Roman" w:cs="Times New Roman"/>
          <w:b/>
          <w:bCs/>
        </w:rPr>
        <w:t>dėl pirkimo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EC7BB1">
        <w:rPr>
          <w:rFonts w:ascii="Times New Roman" w:eastAsia="Times New Roman" w:hAnsi="Times New Roman" w:cs="Times New Roman"/>
        </w:rPr>
        <w:t>„</w:t>
      </w:r>
      <w:r w:rsidR="00492187" w:rsidRPr="00492187">
        <w:rPr>
          <w:rFonts w:ascii="Times New Roman" w:hAnsi="Times New Roman" w:cs="Times New Roman"/>
          <w:i/>
          <w:iCs/>
        </w:rPr>
        <w:t>NVP-66944 Reagentai hematologiniams tyrimams</w:t>
      </w:r>
      <w:r w:rsidR="00492187">
        <w:rPr>
          <w:rFonts w:ascii="Times New Roman" w:hAnsi="Times New Roman" w:cs="Times New Roman"/>
          <w:i/>
          <w:iCs/>
        </w:rPr>
        <w:t>“</w:t>
      </w:r>
      <w:r w:rsidRPr="008759AE">
        <w:rPr>
          <w:rFonts w:ascii="Times New Roman" w:eastAsia="Times New Roman" w:hAnsi="Times New Roman" w:cs="Times New Roman"/>
          <w:b/>
          <w:bCs/>
        </w:rPr>
        <w:t xml:space="preserve"> </w:t>
      </w:r>
      <w:r w:rsidR="00492187">
        <w:rPr>
          <w:rFonts w:ascii="Times New Roman" w:eastAsia="Times New Roman" w:hAnsi="Times New Roman" w:cs="Times New Roman"/>
          <w:b/>
          <w:bCs/>
        </w:rPr>
        <w:t>techninės specifikacijos</w:t>
      </w:r>
    </w:p>
    <w:p w14:paraId="7781E15A" w14:textId="77777777" w:rsidR="00671EA0" w:rsidRPr="008759AE" w:rsidRDefault="00671EA0" w:rsidP="00671E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A775A97" w14:textId="7AD1038C" w:rsidR="00B36FF9" w:rsidRPr="00B36FF9" w:rsidRDefault="00671EA0" w:rsidP="00671EA0">
      <w:pPr>
        <w:rPr>
          <w:rFonts w:ascii="Times New Roman" w:eastAsia="Times New Roman" w:hAnsi="Times New Roman" w:cs="Times New Roman"/>
        </w:rPr>
      </w:pPr>
      <w:r w:rsidRPr="008759AE">
        <w:rPr>
          <w:rFonts w:ascii="Times New Roman" w:eastAsia="Times New Roman" w:hAnsi="Times New Roman" w:cs="Times New Roman"/>
        </w:rPr>
        <w:t>Gautos suinteresuotų rinkos dalyvių pastabos:</w:t>
      </w:r>
    </w:p>
    <w:tbl>
      <w:tblPr>
        <w:tblStyle w:val="Lentelstinklelis"/>
        <w:tblpPr w:leftFromText="180" w:rightFromText="180" w:vertAnchor="text" w:tblpX="137" w:tblpY="1"/>
        <w:tblOverlap w:val="never"/>
        <w:tblW w:w="15225" w:type="dxa"/>
        <w:tblLook w:val="04A0" w:firstRow="1" w:lastRow="0" w:firstColumn="1" w:lastColumn="0" w:noHBand="0" w:noVBand="1"/>
      </w:tblPr>
      <w:tblGrid>
        <w:gridCol w:w="570"/>
        <w:gridCol w:w="2827"/>
        <w:gridCol w:w="4253"/>
        <w:gridCol w:w="7575"/>
      </w:tblGrid>
      <w:tr w:rsidR="00D91565" w:rsidRPr="001B6871" w14:paraId="6FB2DDEC" w14:textId="77777777" w:rsidTr="00D463A1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1C55780" w14:textId="77777777" w:rsidR="00D91565" w:rsidRPr="001B6871" w:rsidRDefault="00D91565" w:rsidP="003E6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827" w:type="dxa"/>
            <w:shd w:val="clear" w:color="auto" w:fill="D9D9D9" w:themeFill="background1" w:themeFillShade="D9"/>
            <w:vAlign w:val="center"/>
          </w:tcPr>
          <w:p w14:paraId="4ABAACC8" w14:textId="77777777" w:rsidR="00D91565" w:rsidRPr="001B6871" w:rsidRDefault="00D91565" w:rsidP="003E6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Pirkimo sąlygų reikalavimas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68341FB" w14:textId="77777777" w:rsidR="00D91565" w:rsidRPr="001B6871" w:rsidRDefault="00D91565" w:rsidP="003E6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Siūlymas*</w:t>
            </w:r>
          </w:p>
        </w:tc>
        <w:tc>
          <w:tcPr>
            <w:tcW w:w="7575" w:type="dxa"/>
            <w:shd w:val="clear" w:color="auto" w:fill="D9D9D9" w:themeFill="background1" w:themeFillShade="D9"/>
            <w:vAlign w:val="center"/>
          </w:tcPr>
          <w:p w14:paraId="24872568" w14:textId="77777777" w:rsidR="00D91565" w:rsidRPr="001B6871" w:rsidRDefault="00D91565" w:rsidP="003E6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D91565" w:rsidRPr="001B6871" w14:paraId="48D668CD" w14:textId="77777777" w:rsidTr="00D463A1">
        <w:tc>
          <w:tcPr>
            <w:tcW w:w="15225" w:type="dxa"/>
            <w:gridSpan w:val="4"/>
            <w:shd w:val="clear" w:color="auto" w:fill="D9D9D9" w:themeFill="background1" w:themeFillShade="D9"/>
          </w:tcPr>
          <w:p w14:paraId="3BF88A17" w14:textId="3D5FF6DD" w:rsidR="00D91565" w:rsidRPr="001B6871" w:rsidRDefault="00D91565" w:rsidP="003E6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 xml:space="preserve">DĖL </w:t>
            </w:r>
            <w:r w:rsidR="00791954">
              <w:rPr>
                <w:rFonts w:ascii="Times New Roman" w:hAnsi="Times New Roman" w:cs="Times New Roman"/>
                <w:b/>
                <w:bCs/>
              </w:rPr>
              <w:t>ANALIZATORIAUS</w:t>
            </w:r>
            <w:r w:rsidR="00D756B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B6871">
              <w:rPr>
                <w:rFonts w:ascii="Times New Roman" w:hAnsi="Times New Roman" w:cs="Times New Roman"/>
                <w:b/>
                <w:bCs/>
              </w:rPr>
              <w:t>TECHNINĖS SPECIFIKACIJOS:</w:t>
            </w:r>
          </w:p>
        </w:tc>
      </w:tr>
      <w:tr w:rsidR="00CA291E" w:rsidRPr="001B6871" w14:paraId="4D249E58" w14:textId="77777777" w:rsidTr="00D463A1">
        <w:tc>
          <w:tcPr>
            <w:tcW w:w="570" w:type="dxa"/>
            <w:vAlign w:val="center"/>
          </w:tcPr>
          <w:p w14:paraId="647F4F25" w14:textId="3EAEAAFB" w:rsidR="00CA291E" w:rsidRPr="001B6871" w:rsidRDefault="00CA291E" w:rsidP="00CA29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7" w:type="dxa"/>
            <w:vAlign w:val="center"/>
          </w:tcPr>
          <w:p w14:paraId="0633E3FB" w14:textId="09C0EDBA" w:rsidR="00CA291E" w:rsidRPr="00954EDF" w:rsidRDefault="00C82FFB" w:rsidP="00CA291E">
            <w:pPr>
              <w:ind w:left="22"/>
              <w:jc w:val="both"/>
              <w:rPr>
                <w:rFonts w:ascii="Times New Roman" w:eastAsia="Calibri" w:hAnsi="Times New Roman" w:cs="Times New Roman"/>
              </w:rPr>
            </w:pPr>
            <w:r w:rsidRPr="00954EDF">
              <w:rPr>
                <w:rFonts w:ascii="Times New Roman" w:eastAsia="Calibri" w:hAnsi="Times New Roman" w:cs="Times New Roman"/>
              </w:rPr>
              <w:t xml:space="preserve">2. </w:t>
            </w:r>
            <w:r w:rsidRPr="00954EDF"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>Hematologinio analizatoriaus matuojami diagnostiniai parametrai ne mažiau kaip 17</w:t>
            </w:r>
            <w:r w:rsidR="003B3E6C" w:rsidRPr="00954EDF"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>:  WBC, LYM (#, %), NEUT (#, %) MONO (#, %), EO (#, %), BASO (#, %),  IMG (IG) (#, %), RBC, HGB, HCT, MicroR, MacroR, MCV, MCH, MCHC, RDW, PLT, PDW, MPV</w:t>
            </w:r>
          </w:p>
        </w:tc>
        <w:tc>
          <w:tcPr>
            <w:tcW w:w="4253" w:type="dxa"/>
            <w:vAlign w:val="center"/>
          </w:tcPr>
          <w:p w14:paraId="0FBDD0F5" w14:textId="6139B6A8" w:rsidR="00CA291E" w:rsidRPr="001B6871" w:rsidRDefault="0085440C" w:rsidP="00954E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44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MicroR, MacroR, PDW parametrai  riboja konkurenciją, nes dažnu atveju tai yra RUO moksliniams tikslams skirti parametrai, o ne IVD parametrai, todėl jie turi būti išbraukiami. Išskirtinai </w:t>
            </w:r>
            <w:r w:rsidR="00936D4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„</w:t>
            </w:r>
            <w:r w:rsidR="00936D42" w:rsidRPr="007403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lt-LT"/>
                <w14:ligatures w14:val="none"/>
              </w:rPr>
              <w:t>X</w:t>
            </w:r>
            <w:r w:rsidR="00936D4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“</w:t>
            </w:r>
            <w:r w:rsidRPr="008544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juos turi, tačiau pirkimas negali riboti konkurencijos iki vieno tiekėjo galinčio dalyvauti pirkime.</w:t>
            </w:r>
          </w:p>
        </w:tc>
        <w:tc>
          <w:tcPr>
            <w:tcW w:w="7575" w:type="dxa"/>
            <w:vAlign w:val="center"/>
          </w:tcPr>
          <w:p w14:paraId="1CB8A5F6" w14:textId="34715BC0" w:rsidR="001A786D" w:rsidRPr="00936D42" w:rsidRDefault="001A786D" w:rsidP="001A786D">
            <w:pPr>
              <w:jc w:val="both"/>
              <w:rPr>
                <w:rFonts w:ascii="Times New Roman" w:hAnsi="Times New Roman" w:cs="Times New Roman"/>
              </w:rPr>
            </w:pPr>
            <w:r w:rsidRPr="00936D42">
              <w:rPr>
                <w:rFonts w:ascii="Times New Roman" w:hAnsi="Times New Roman" w:cs="Times New Roman"/>
              </w:rPr>
              <w:t xml:space="preserve">Atsakome, kad siūlymas </w:t>
            </w:r>
            <w:r w:rsidRPr="00936D42">
              <w:rPr>
                <w:rFonts w:ascii="Times New Roman" w:hAnsi="Times New Roman" w:cs="Times New Roman"/>
                <w:b/>
                <w:bCs/>
              </w:rPr>
              <w:t>netenkinamas.</w:t>
            </w:r>
          </w:p>
          <w:p w14:paraId="57FD2BC6" w14:textId="3158F635" w:rsidR="00EE430C" w:rsidRDefault="00CB4787" w:rsidP="0011639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36D42">
              <w:rPr>
                <w:rFonts w:ascii="Times New Roman" w:eastAsia="Times New Roman" w:hAnsi="Times New Roman" w:cs="Times New Roman"/>
              </w:rPr>
              <w:t xml:space="preserve">Paaiškiname, kad </w:t>
            </w:r>
            <w:r w:rsidR="00DD5C06">
              <w:rPr>
                <w:rFonts w:ascii="Times New Roman" w:eastAsia="Times New Roman" w:hAnsi="Times New Roman" w:cs="Times New Roman"/>
              </w:rPr>
              <w:t>š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iuolaikiniai hematologiniai analizatoriai išmatuoja daugybę skirtingų parametrų, leidžiančių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gauti greitą ir informatyvų paciento aneminės būklės vaizdą. Pažangių eritrocitų parametrų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derinimas tarpusavyje arba su klasikiniais parametrais suteikia gydytojams daugiau informacijos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(atsižvelgiant į skirtingus anemijos tipus, ligos progresavimo monitoravimą, atsaką į naudojamą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gydymą) ir leidžia lengviau priimti sprendimą dėl tinkamo gydymo parinkimo anemiją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sergančiam pacientui. Pavyzdžiui, sunkios įgimtos sferocitozės atveju būdingas mikrodalelių</w:t>
            </w:r>
            <w:r w:rsid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116398" w:rsidRPr="0011639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(eritrocito membranos dalių) išskyrimas, kurį atspindi MicroR parametro padidėjimas</w:t>
            </w:r>
            <w:r w:rsidR="00753EC6" w:rsidRPr="00936D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62A41E20" w14:textId="5A06FB0E" w:rsidR="00EE430C" w:rsidRPr="00936D42" w:rsidRDefault="00EE430C" w:rsidP="001A786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36D42">
              <w:rPr>
                <w:rFonts w:ascii="Times New Roman" w:hAnsi="Times New Roman" w:cs="Times New Roman"/>
              </w:rPr>
              <w:t>Pažymime, kad atlikus rinkos tyrimą ir atsižvelgus į rinkoje esanči</w:t>
            </w:r>
            <w:r w:rsidR="000E5165">
              <w:rPr>
                <w:rFonts w:ascii="Times New Roman" w:hAnsi="Times New Roman" w:cs="Times New Roman"/>
              </w:rPr>
              <w:t>u</w:t>
            </w:r>
            <w:r w:rsidRPr="00936D42">
              <w:rPr>
                <w:rFonts w:ascii="Times New Roman" w:hAnsi="Times New Roman" w:cs="Times New Roman"/>
              </w:rPr>
              <w:t xml:space="preserve">s </w:t>
            </w:r>
            <w:r w:rsidRPr="00936D42">
              <w:t xml:space="preserve"> </w:t>
            </w:r>
            <w:r w:rsidR="00DB5590" w:rsidRPr="00DB5590">
              <w:rPr>
                <w:rFonts w:ascii="Times New Roman" w:hAnsi="Times New Roman" w:cs="Times New Roman"/>
              </w:rPr>
              <w:t>analizatorius</w:t>
            </w:r>
            <w:r w:rsidR="00DB5590">
              <w:t xml:space="preserve"> </w:t>
            </w:r>
            <w:r w:rsidR="000E5165">
              <w:rPr>
                <w:rFonts w:ascii="Times New Roman" w:hAnsi="Times New Roman" w:cs="Times New Roman"/>
              </w:rPr>
              <w:t>hematologiniams tyrimams</w:t>
            </w:r>
            <w:r w:rsidR="00DB5590">
              <w:rPr>
                <w:rFonts w:ascii="Times New Roman" w:hAnsi="Times New Roman" w:cs="Times New Roman"/>
              </w:rPr>
              <w:t xml:space="preserve"> atlikti</w:t>
            </w:r>
            <w:r w:rsidRPr="00936D42">
              <w:rPr>
                <w:rFonts w:ascii="Times New Roman" w:hAnsi="Times New Roman" w:cs="Times New Roman"/>
              </w:rPr>
              <w:t xml:space="preserve">, </w:t>
            </w:r>
            <w:r w:rsidRPr="00936D42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ne mažiau nei trijų </w:t>
            </w:r>
            <w:r w:rsidR="006D6784" w:rsidRPr="00936D42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>gamintojų</w:t>
            </w:r>
            <w:r w:rsidRPr="00936D42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 įranga atitinka visus techninės specifikacijos reikalavimus.</w:t>
            </w:r>
          </w:p>
        </w:tc>
      </w:tr>
      <w:tr w:rsidR="00821464" w:rsidRPr="001B6871" w14:paraId="2DEA0AD0" w14:textId="77777777" w:rsidTr="00D463A1">
        <w:tc>
          <w:tcPr>
            <w:tcW w:w="570" w:type="dxa"/>
            <w:vAlign w:val="center"/>
          </w:tcPr>
          <w:p w14:paraId="02657F61" w14:textId="4441AA5B" w:rsidR="00821464" w:rsidRPr="001B6871" w:rsidRDefault="00821464" w:rsidP="00821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7" w:type="dxa"/>
            <w:vAlign w:val="center"/>
          </w:tcPr>
          <w:p w14:paraId="0AD45288" w14:textId="7DED8404" w:rsidR="00821464" w:rsidRPr="00954EDF" w:rsidRDefault="00954EDF" w:rsidP="00821464">
            <w:pPr>
              <w:ind w:left="22"/>
              <w:jc w:val="both"/>
              <w:rPr>
                <w:rFonts w:ascii="Times New Roman" w:eastAsia="Calibri" w:hAnsi="Times New Roman" w:cs="Times New Roman"/>
              </w:rPr>
            </w:pPr>
            <w:r w:rsidRPr="00954EDF">
              <w:rPr>
                <w:rFonts w:ascii="Times New Roman" w:eastAsia="Calibri" w:hAnsi="Times New Roman" w:cs="Times New Roman"/>
              </w:rPr>
              <w:t xml:space="preserve">2. </w:t>
            </w:r>
            <w:r w:rsidRPr="00954EDF"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>Hematologinio analizatoriaus matuojami diagnostiniai parametrai ne mažiau kaip 17:  WBC, LYM (#, %), NEUT (#, %) MONO (#, %), EO (#, %), BASO (#, %),  IMG (IG) (#, %), RBC, HGB, HCT, MicroR, MacroR, MCV, MCH, MCHC, RDW, PLT, PDW, MPV</w:t>
            </w:r>
          </w:p>
        </w:tc>
        <w:tc>
          <w:tcPr>
            <w:tcW w:w="4253" w:type="dxa"/>
            <w:vAlign w:val="center"/>
          </w:tcPr>
          <w:p w14:paraId="0E6ED7EB" w14:textId="7CFF47F3" w:rsidR="00821464" w:rsidRPr="00066AB0" w:rsidRDefault="00954EDF" w:rsidP="008214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44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IMG (IG) parametrui prašome numatyti alternatyvų parametrą  vėliavėlę</w:t>
            </w:r>
            <w:r w:rsidR="00DA37C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8544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/</w:t>
            </w:r>
            <w:r w:rsidR="00DA37C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85440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pranešimą - „Large Cells“ Didelės nesubrendę ląstelės.</w:t>
            </w:r>
          </w:p>
        </w:tc>
        <w:tc>
          <w:tcPr>
            <w:tcW w:w="7575" w:type="dxa"/>
            <w:vAlign w:val="center"/>
          </w:tcPr>
          <w:p w14:paraId="1F5761AC" w14:textId="466DE07B" w:rsidR="00821464" w:rsidRDefault="00B77F4E" w:rsidP="008214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Atsakome, kad su siūlymu sutinkame ir </w:t>
            </w:r>
            <w:r w:rsidR="000342AD">
              <w:rPr>
                <w:rFonts w:ascii="Times New Roman" w:eastAsia="Times New Roman" w:hAnsi="Times New Roman" w:cs="Times New Roman"/>
              </w:rPr>
              <w:t xml:space="preserve">patiksliname reikalavimą į </w:t>
            </w:r>
            <w:r w:rsidR="00516C9D">
              <w:rPr>
                <w:rFonts w:ascii="Times New Roman" w:eastAsia="Times New Roman" w:hAnsi="Times New Roman" w:cs="Times New Roman"/>
                <w:i/>
                <w:iCs/>
              </w:rPr>
              <w:t>„</w:t>
            </w:r>
            <w:r w:rsidR="000342AD">
              <w:rPr>
                <w:rFonts w:ascii="Times New Roman" w:eastAsia="Times New Roman" w:hAnsi="Times New Roman" w:cs="Times New Roman"/>
                <w:i/>
                <w:iCs/>
              </w:rPr>
              <w:t>IMG (IG) arba lygiavertis</w:t>
            </w:r>
            <w:r w:rsidR="00516C9D">
              <w:rPr>
                <w:rFonts w:ascii="Times New Roman" w:eastAsia="Times New Roman" w:hAnsi="Times New Roman" w:cs="Times New Roman"/>
                <w:i/>
                <w:iCs/>
              </w:rPr>
              <w:t>“</w:t>
            </w:r>
            <w:r w:rsidR="000342AD">
              <w:rPr>
                <w:rFonts w:ascii="Times New Roman" w:eastAsia="Times New Roman" w:hAnsi="Times New Roman" w:cs="Times New Roman"/>
              </w:rPr>
              <w:t>.</w:t>
            </w:r>
          </w:p>
          <w:p w14:paraId="4D5E18CB" w14:textId="2AA3C505" w:rsidR="000342AD" w:rsidRPr="000342AD" w:rsidRDefault="00531354" w:rsidP="008214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Skelbiant pirkimą bus atnaujinta techninė specifikacija </w:t>
            </w:r>
            <w:r w:rsidR="00803D92">
              <w:rPr>
                <w:rFonts w:ascii="Times New Roman" w:hAnsi="Times New Roman" w:cs="Times New Roman"/>
              </w:rPr>
              <w:t>patikslinus</w:t>
            </w:r>
            <w:r>
              <w:rPr>
                <w:rFonts w:ascii="Times New Roman" w:hAnsi="Times New Roman" w:cs="Times New Roman"/>
              </w:rPr>
              <w:t xml:space="preserve"> reikalavimą.</w:t>
            </w:r>
          </w:p>
        </w:tc>
      </w:tr>
      <w:tr w:rsidR="009C4435" w:rsidRPr="001B6871" w14:paraId="59828E57" w14:textId="77777777" w:rsidTr="00D463A1">
        <w:tc>
          <w:tcPr>
            <w:tcW w:w="570" w:type="dxa"/>
            <w:vAlign w:val="center"/>
          </w:tcPr>
          <w:p w14:paraId="29EDB108" w14:textId="2E5B3ADF" w:rsidR="009C4435" w:rsidRDefault="009C4435" w:rsidP="009C4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7" w:type="dxa"/>
            <w:vAlign w:val="center"/>
          </w:tcPr>
          <w:p w14:paraId="1EAD45BE" w14:textId="501F4D42" w:rsidR="009C4435" w:rsidRDefault="009C4435" w:rsidP="009C4435">
            <w:pPr>
              <w:ind w:left="2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>Hematologinio analizatoriaus matavimo ribos:  Matavimo ribos (linijiškumo ribos) ne siauresnės kaip:</w:t>
            </w:r>
            <w:r w:rsidR="00932B99"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 xml:space="preserve">PLT 10-3000 </w:t>
            </w:r>
            <w:r w:rsidRPr="00EF4180">
              <w:rPr>
                <w:rFonts w:ascii="Times New Roman" w:eastAsia="Times New Roman" w:hAnsi="Times New Roman" w:cs="Calibri"/>
                <w:kern w:val="0"/>
                <w14:ligatures w14:val="none"/>
              </w:rPr>
              <w:t>x 10</w:t>
            </w:r>
            <w:r w:rsidRPr="00EF4180">
              <w:rPr>
                <w:rFonts w:ascii="Times New Roman" w:eastAsia="Times New Roman" w:hAnsi="Times New Roman"/>
                <w:kern w:val="0"/>
                <w14:ligatures w14:val="none"/>
              </w:rPr>
              <w:t>³/µL</w:t>
            </w:r>
            <w:r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>,HGB 15-</w:t>
            </w:r>
            <w:r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lastRenderedPageBreak/>
              <w:t>255 g/L,WBC 0,5-400</w:t>
            </w:r>
            <w:r w:rsidRPr="00EF4180">
              <w:rPr>
                <w:rFonts w:ascii="Times New Roman" w:eastAsia="Times New Roman" w:hAnsi="Times New Roman" w:cs="Calibri"/>
                <w:kern w:val="0"/>
                <w14:ligatures w14:val="none"/>
              </w:rPr>
              <w:t xml:space="preserve"> x 10</w:t>
            </w:r>
            <w:r w:rsidRPr="00EF4180">
              <w:rPr>
                <w:rFonts w:ascii="Times New Roman" w:eastAsia="Times New Roman" w:hAnsi="Times New Roman"/>
                <w:kern w:val="0"/>
                <w14:ligatures w14:val="none"/>
              </w:rPr>
              <w:t>³/µL.</w:t>
            </w:r>
          </w:p>
        </w:tc>
        <w:tc>
          <w:tcPr>
            <w:tcW w:w="4253" w:type="dxa"/>
            <w:vAlign w:val="center"/>
          </w:tcPr>
          <w:p w14:paraId="78594896" w14:textId="12DED563" w:rsidR="009C4435" w:rsidRPr="007604D7" w:rsidRDefault="009C4435" w:rsidP="009C443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34E1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Siūlome koreguoti matavimo ribas (linijiškumo ribas) ne siauresnės kaip: PLT 10-2000 x 10³/µL, HGB 15-250 g/L, WBC 0,5-100 x 10³/µL.</w:t>
            </w:r>
          </w:p>
        </w:tc>
        <w:tc>
          <w:tcPr>
            <w:tcW w:w="7575" w:type="dxa"/>
            <w:vAlign w:val="center"/>
          </w:tcPr>
          <w:p w14:paraId="3486FFE0" w14:textId="7BD9AAB0" w:rsidR="009C4435" w:rsidRPr="00936D42" w:rsidRDefault="009C4435" w:rsidP="009C4435">
            <w:pPr>
              <w:jc w:val="both"/>
              <w:rPr>
                <w:rFonts w:ascii="Times New Roman" w:hAnsi="Times New Roman" w:cs="Times New Roman"/>
              </w:rPr>
            </w:pPr>
            <w:r w:rsidRPr="00936D42">
              <w:rPr>
                <w:rFonts w:ascii="Times New Roman" w:hAnsi="Times New Roman" w:cs="Times New Roman"/>
              </w:rPr>
              <w:t xml:space="preserve">Atsakome, kad siūlymas </w:t>
            </w:r>
            <w:r w:rsidRPr="00936D42">
              <w:rPr>
                <w:rFonts w:ascii="Times New Roman" w:hAnsi="Times New Roman" w:cs="Times New Roman"/>
                <w:b/>
                <w:bCs/>
              </w:rPr>
              <w:t>netenkinamas.</w:t>
            </w:r>
          </w:p>
          <w:p w14:paraId="3A12F8A3" w14:textId="516AE3CB" w:rsidR="009C4435" w:rsidRPr="001653BF" w:rsidRDefault="009C4435" w:rsidP="00556AE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36D42">
              <w:rPr>
                <w:rFonts w:ascii="Times New Roman" w:eastAsia="Times New Roman" w:hAnsi="Times New Roman" w:cs="Times New Roman"/>
              </w:rPr>
              <w:t xml:space="preserve">Paaiškiname, kad </w:t>
            </w:r>
            <w:r w:rsidR="001466D0">
              <w:rPr>
                <w:rFonts w:ascii="Times New Roman" w:eastAsia="Times New Roman" w:hAnsi="Times New Roman" w:cs="Times New Roman"/>
              </w:rPr>
              <w:t xml:space="preserve">matavimo ribų siaurinimas riboja klinikinę diagnostiką, ypač sudėtingų (ekstremalių) būklių atvejais. </w:t>
            </w:r>
            <w:r w:rsidR="002B0E4E">
              <w:rPr>
                <w:rFonts w:ascii="Times New Roman" w:eastAsia="Times New Roman" w:hAnsi="Times New Roman" w:cs="Times New Roman"/>
              </w:rPr>
              <w:t>Taip pat gali sukelti papildomų kaštų</w:t>
            </w:r>
            <w:r w:rsidR="001A24A5">
              <w:rPr>
                <w:rFonts w:ascii="Times New Roman" w:eastAsia="Times New Roman" w:hAnsi="Times New Roman" w:cs="Times New Roman"/>
              </w:rPr>
              <w:t xml:space="preserve"> ir rizikų, nes reikalautų papildomų tyrimų.</w:t>
            </w:r>
            <w:r w:rsidR="00341D64">
              <w:rPr>
                <w:rFonts w:ascii="Times New Roman" w:eastAsia="Times New Roman" w:hAnsi="Times New Roman" w:cs="Times New Roman"/>
              </w:rPr>
              <w:t xml:space="preserve"> Taigi</w:t>
            </w:r>
            <w:r w:rsidR="001653BF">
              <w:rPr>
                <w:rFonts w:ascii="Times New Roman" w:eastAsia="Times New Roman" w:hAnsi="Times New Roman" w:cs="Times New Roman"/>
              </w:rPr>
              <w:t>,</w:t>
            </w:r>
            <w:r w:rsidR="00341D64">
              <w:rPr>
                <w:rFonts w:ascii="Times New Roman" w:eastAsia="Times New Roman" w:hAnsi="Times New Roman" w:cs="Times New Roman"/>
              </w:rPr>
              <w:t xml:space="preserve"> dėl </w:t>
            </w:r>
            <w:r w:rsidR="00341D64" w:rsidRPr="00556AE6">
              <w:rPr>
                <w:rFonts w:ascii="Times New Roman" w:eastAsia="Times New Roman" w:hAnsi="Times New Roman" w:cs="Times New Roman"/>
              </w:rPr>
              <w:t>siaurų matavimo ribų</w:t>
            </w:r>
            <w:r w:rsidR="00341D64">
              <w:rPr>
                <w:rFonts w:ascii="Times New Roman" w:eastAsia="Times New Roman" w:hAnsi="Times New Roman" w:cs="Times New Roman"/>
              </w:rPr>
              <w:t xml:space="preserve"> analizatorius</w:t>
            </w:r>
            <w:r w:rsidR="00B82C38">
              <w:rPr>
                <w:rFonts w:ascii="Times New Roman" w:eastAsia="Times New Roman" w:hAnsi="Times New Roman" w:cs="Times New Roman"/>
              </w:rPr>
              <w:t xml:space="preserve"> nuodugniai neišmatuoja tiriamo mėginio, todėl mėginio ištyrimą </w:t>
            </w:r>
            <w:r w:rsidR="001653BF">
              <w:rPr>
                <w:rFonts w:ascii="Times New Roman" w:eastAsia="Times New Roman" w:hAnsi="Times New Roman" w:cs="Times New Roman"/>
              </w:rPr>
              <w:t xml:space="preserve">privaloma pakartoti, </w:t>
            </w:r>
            <w:r w:rsidR="00556AE6" w:rsidRPr="00556AE6">
              <w:rPr>
                <w:rFonts w:ascii="Times New Roman" w:eastAsia="Times New Roman" w:hAnsi="Times New Roman" w:cs="Times New Roman"/>
              </w:rPr>
              <w:t xml:space="preserve">kas reikalauja papildomo mėginio skiedimo ir </w:t>
            </w:r>
            <w:r w:rsidR="001653BF">
              <w:rPr>
                <w:rFonts w:ascii="Times New Roman" w:eastAsia="Times New Roman" w:hAnsi="Times New Roman" w:cs="Times New Roman"/>
              </w:rPr>
              <w:t>baigus mėginio ištyrimą</w:t>
            </w:r>
            <w:r w:rsidR="00556AE6" w:rsidRPr="00556AE6">
              <w:rPr>
                <w:rFonts w:ascii="Times New Roman" w:eastAsia="Times New Roman" w:hAnsi="Times New Roman" w:cs="Times New Roman"/>
              </w:rPr>
              <w:t xml:space="preserve"> gaunamas</w:t>
            </w:r>
            <w:r w:rsidR="00556AE6">
              <w:rPr>
                <w:rFonts w:ascii="Times New Roman" w:eastAsia="Times New Roman" w:hAnsi="Times New Roman" w:cs="Times New Roman"/>
              </w:rPr>
              <w:t xml:space="preserve"> </w:t>
            </w:r>
            <w:r w:rsidR="00556AE6" w:rsidRPr="00556AE6">
              <w:rPr>
                <w:rFonts w:ascii="Times New Roman" w:eastAsia="Times New Roman" w:hAnsi="Times New Roman" w:cs="Times New Roman"/>
              </w:rPr>
              <w:t>netik</w:t>
            </w:r>
            <w:r w:rsidR="00556AE6">
              <w:rPr>
                <w:rFonts w:ascii="Times New Roman" w:eastAsia="Times New Roman" w:hAnsi="Times New Roman" w:cs="Times New Roman"/>
              </w:rPr>
              <w:t>s</w:t>
            </w:r>
            <w:r w:rsidR="00556AE6" w:rsidRPr="00556AE6">
              <w:rPr>
                <w:rFonts w:ascii="Times New Roman" w:eastAsia="Times New Roman" w:hAnsi="Times New Roman" w:cs="Times New Roman"/>
              </w:rPr>
              <w:t>lus perskaičiavimas</w:t>
            </w:r>
            <w:r w:rsidRPr="00936D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14429609" w14:textId="19D2B381" w:rsidR="009C4435" w:rsidRPr="00936D42" w:rsidRDefault="009C4435" w:rsidP="009C4435">
            <w:pPr>
              <w:jc w:val="both"/>
              <w:rPr>
                <w:rFonts w:ascii="Times New Roman" w:hAnsi="Times New Roman" w:cs="Times New Roman"/>
              </w:rPr>
            </w:pPr>
            <w:r w:rsidRPr="00936D42">
              <w:rPr>
                <w:rFonts w:ascii="Times New Roman" w:hAnsi="Times New Roman" w:cs="Times New Roman"/>
              </w:rPr>
              <w:lastRenderedPageBreak/>
              <w:t>Pažymime, kad atlikus rinkos tyrimą ir atsižvelgus į rinkoje esanči</w:t>
            </w:r>
            <w:r>
              <w:rPr>
                <w:rFonts w:ascii="Times New Roman" w:hAnsi="Times New Roman" w:cs="Times New Roman"/>
              </w:rPr>
              <w:t>u</w:t>
            </w:r>
            <w:r w:rsidRPr="00936D42">
              <w:rPr>
                <w:rFonts w:ascii="Times New Roman" w:hAnsi="Times New Roman" w:cs="Times New Roman"/>
              </w:rPr>
              <w:t xml:space="preserve">s </w:t>
            </w:r>
            <w:r w:rsidRPr="00936D42">
              <w:t xml:space="preserve"> </w:t>
            </w:r>
            <w:r w:rsidRPr="00DB5590">
              <w:rPr>
                <w:rFonts w:ascii="Times New Roman" w:hAnsi="Times New Roman" w:cs="Times New Roman"/>
              </w:rPr>
              <w:t>analizatorius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hematologiniams tyrimams atlikti</w:t>
            </w:r>
            <w:r w:rsidRPr="00936D42">
              <w:rPr>
                <w:rFonts w:ascii="Times New Roman" w:hAnsi="Times New Roman" w:cs="Times New Roman"/>
              </w:rPr>
              <w:t xml:space="preserve">, </w:t>
            </w:r>
            <w:r w:rsidRPr="00936D42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>ne mažiau nei trijų gamintojų įranga atitinka visus techninės specifikacijos reikalavimus.</w:t>
            </w:r>
          </w:p>
        </w:tc>
      </w:tr>
      <w:tr w:rsidR="009C4435" w:rsidRPr="001B6871" w14:paraId="759FB0A4" w14:textId="77777777" w:rsidTr="00D463A1">
        <w:tc>
          <w:tcPr>
            <w:tcW w:w="570" w:type="dxa"/>
            <w:vAlign w:val="center"/>
          </w:tcPr>
          <w:p w14:paraId="56EF6840" w14:textId="2B541BDB" w:rsidR="009C4435" w:rsidRDefault="009C4435" w:rsidP="009C4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27" w:type="dxa"/>
            <w:vAlign w:val="center"/>
          </w:tcPr>
          <w:p w14:paraId="397F38F1" w14:textId="33884DE7" w:rsidR="009C4435" w:rsidRDefault="009C4435" w:rsidP="009C4435">
            <w:pPr>
              <w:ind w:left="2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 Našumas: </w:t>
            </w:r>
            <w:r>
              <w:rPr>
                <w:rFonts w:ascii="Times New Roman" w:eastAsia="Times New Roman" w:hAnsi="Times New Roman" w:cs="Calibri"/>
                <w:kern w:val="0"/>
                <w:lang w:eastAsia="lt-LT"/>
                <w14:ligatures w14:val="none"/>
              </w:rPr>
              <w:t xml:space="preserve"> Ne mažesnis kaip 60 mėginių/val.</w:t>
            </w:r>
          </w:p>
        </w:tc>
        <w:tc>
          <w:tcPr>
            <w:tcW w:w="4253" w:type="dxa"/>
            <w:vAlign w:val="center"/>
          </w:tcPr>
          <w:p w14:paraId="60B83949" w14:textId="4F121F38" w:rsidR="009C4435" w:rsidRPr="007604D7" w:rsidRDefault="009C4435" w:rsidP="009C443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57CF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Prašome numatyti nedidelę variaciją 60 mėginių/val. ±5 mėg., kad daugiau tiekėjų galėtų dalyvauti pirkime.</w:t>
            </w:r>
          </w:p>
        </w:tc>
        <w:tc>
          <w:tcPr>
            <w:tcW w:w="7575" w:type="dxa"/>
            <w:vAlign w:val="center"/>
          </w:tcPr>
          <w:p w14:paraId="32365E71" w14:textId="629B50E2" w:rsidR="009C4435" w:rsidRDefault="009C4435" w:rsidP="009C44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Atsakome, kad su siūlymu </w:t>
            </w:r>
            <w:r w:rsidR="00224FC6">
              <w:rPr>
                <w:rFonts w:ascii="Times New Roman" w:eastAsia="Times New Roman" w:hAnsi="Times New Roman" w:cs="Times New Roman"/>
                <w:b/>
                <w:bCs/>
              </w:rPr>
              <w:t xml:space="preserve">dalinai </w:t>
            </w:r>
            <w:r>
              <w:rPr>
                <w:rFonts w:ascii="Times New Roman" w:eastAsia="Times New Roman" w:hAnsi="Times New Roman" w:cs="Times New Roman"/>
              </w:rPr>
              <w:t xml:space="preserve">sutinkame ir patiksliname reikalavimą į </w:t>
            </w:r>
            <w:r w:rsidR="00516C9D">
              <w:rPr>
                <w:rFonts w:ascii="Times New Roman" w:eastAsia="Times New Roman" w:hAnsi="Times New Roman" w:cs="Times New Roman"/>
                <w:i/>
                <w:iCs/>
              </w:rPr>
              <w:t>„</w:t>
            </w:r>
            <w:r w:rsidRPr="009C4435">
              <w:rPr>
                <w:rFonts w:ascii="Times New Roman" w:eastAsia="Times New Roman" w:hAnsi="Times New Roman" w:cs="Times New Roman"/>
                <w:i/>
                <w:iCs/>
              </w:rPr>
              <w:t xml:space="preserve">Ne mažesnis kaip </w:t>
            </w:r>
            <w:r w:rsidR="00224FC6">
              <w:rPr>
                <w:rFonts w:ascii="Times New Roman" w:eastAsia="Times New Roman" w:hAnsi="Times New Roman" w:cs="Times New Roman"/>
                <w:i/>
                <w:iCs/>
              </w:rPr>
              <w:t>55</w:t>
            </w:r>
            <w:r w:rsidRPr="009C4435">
              <w:rPr>
                <w:rFonts w:ascii="Times New Roman" w:eastAsia="Times New Roman" w:hAnsi="Times New Roman" w:cs="Times New Roman"/>
                <w:i/>
                <w:iCs/>
              </w:rPr>
              <w:t xml:space="preserve"> mėgini</w:t>
            </w:r>
            <w:r w:rsidR="00224FC6">
              <w:rPr>
                <w:rFonts w:ascii="Times New Roman" w:eastAsia="Times New Roman" w:hAnsi="Times New Roman" w:cs="Times New Roman"/>
                <w:i/>
                <w:iCs/>
              </w:rPr>
              <w:t>ai</w:t>
            </w:r>
            <w:r w:rsidRPr="009C4435">
              <w:rPr>
                <w:rFonts w:ascii="Times New Roman" w:eastAsia="Times New Roman" w:hAnsi="Times New Roman" w:cs="Times New Roman"/>
                <w:i/>
                <w:iCs/>
              </w:rPr>
              <w:t>/val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516C9D">
              <w:rPr>
                <w:rFonts w:ascii="Times New Roman" w:eastAsia="Times New Roman" w:hAnsi="Times New Roman" w:cs="Times New Roman"/>
                <w:i/>
                <w:iCs/>
              </w:rPr>
              <w:t>“</w:t>
            </w:r>
          </w:p>
          <w:p w14:paraId="167A8727" w14:textId="6AD1EE96" w:rsidR="009C4435" w:rsidRPr="00936D42" w:rsidRDefault="009C4435" w:rsidP="009C44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Skelbiant pirkimą bus atnaujinta techninė specifikacija patikslinus reikalavimą.</w:t>
            </w:r>
          </w:p>
        </w:tc>
      </w:tr>
    </w:tbl>
    <w:p w14:paraId="190F7AFA" w14:textId="77777777" w:rsidR="00D463A1" w:rsidRDefault="00D463A1"/>
    <w:p w14:paraId="429E0211" w14:textId="37007F0E" w:rsidR="008172BB" w:rsidRPr="001B6871" w:rsidRDefault="008172BB" w:rsidP="008172BB">
      <w:pPr>
        <w:spacing w:after="0" w:line="240" w:lineRule="auto"/>
        <w:rPr>
          <w:rFonts w:ascii="Times New Roman" w:hAnsi="Times New Roman" w:cs="Times New Roman"/>
        </w:rPr>
      </w:pPr>
      <w:r w:rsidRPr="001B6871">
        <w:rPr>
          <w:rFonts w:ascii="Times New Roman" w:hAnsi="Times New Roman" w:cs="Times New Roman"/>
        </w:rPr>
        <w:t xml:space="preserve">* </w:t>
      </w:r>
      <w:r w:rsidRPr="001B6871">
        <w:rPr>
          <w:rStyle w:val="Style29"/>
          <w:rFonts w:cs="Times New Roman"/>
          <w:i/>
          <w:iCs/>
        </w:rPr>
        <w:t>Dalyvio siūlymo / pastabos tekstas neredaguotas</w:t>
      </w:r>
    </w:p>
    <w:p w14:paraId="42C2196C" w14:textId="77777777" w:rsidR="008172BB" w:rsidRPr="001B6871" w:rsidRDefault="008172BB" w:rsidP="008172BB">
      <w:pPr>
        <w:spacing w:after="0" w:line="240" w:lineRule="auto"/>
        <w:rPr>
          <w:rStyle w:val="Style29"/>
          <w:rFonts w:cs="Times New Roman"/>
          <w:i/>
          <w:iCs/>
        </w:rPr>
      </w:pPr>
    </w:p>
    <w:p w14:paraId="2B561682" w14:textId="77777777" w:rsidR="008172BB" w:rsidRPr="001B6871" w:rsidRDefault="008172BB" w:rsidP="00817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1B6871">
        <w:rPr>
          <w:rFonts w:ascii="Times New Roman" w:eastAsia="Times New Roman" w:hAnsi="Times New Roman" w:cs="Times New Roman"/>
          <w:b/>
          <w:bCs/>
        </w:rPr>
        <w:t>Dėkojame už aktyvų dalyvavimą teikiant pastabas.</w:t>
      </w:r>
    </w:p>
    <w:p w14:paraId="20AA3DA3" w14:textId="77777777" w:rsidR="008172BB" w:rsidRDefault="008172BB" w:rsidP="00817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84D4C00" w14:textId="69F340AB" w:rsidR="005407EF" w:rsidRPr="008172BB" w:rsidRDefault="008172BB" w:rsidP="00817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B6871">
        <w:rPr>
          <w:rFonts w:ascii="Times New Roman" w:eastAsia="Times New Roman" w:hAnsi="Times New Roman" w:cs="Times New Roman"/>
        </w:rPr>
        <w:t>Atkreipiame dėmesį, kad, jei dalyvausite planuojamame vykdyti pirkime, kartu su pasiūlymu pateikiamame Europos bendrojo viešųjų pirkimų dokumento (toliau - EBVPD) III dalies „Pašalinimo pagrindai“ C13 skiltyje į klausimą „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 xml:space="preserve">Tiesioginis arba netiesioginis dalyvavimas rengiant šią procedūrą (VPĮ 46 str. 4 d. 3 p.)“ atsakytumėte „Taip“. </w:t>
      </w:r>
      <w:r w:rsidRPr="001B6871">
        <w:rPr>
          <w:rFonts w:ascii="Times New Roman" w:eastAsia="Times New Roman" w:hAnsi="Times New Roman" w:cs="Times New Roman"/>
        </w:rPr>
        <w:t xml:space="preserve"> Viešųjų pirkimų tarnyba teigia: „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Jei tiekėjas tiesiogiai ar netiesiogiai suteikė pirkimo vykdytojui konsultaciją</w:t>
      </w:r>
      <w:r w:rsidRPr="001B6871">
        <w:rPr>
          <w:rFonts w:ascii="Times New Roman" w:eastAsia="Times New Roman" w:hAnsi="Times New Roman" w:cs="Times New Roman"/>
          <w:i/>
          <w:iCs/>
        </w:rPr>
        <w:t xml:space="preserve"> (nesvarbu, ar rinkos tyrimo (jeigu apie atliekamą rinkos tyrimą buvo informuotas raštu), ar 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rinkos konsultacijos metu</w:t>
      </w:r>
      <w:r w:rsidRPr="001B6871">
        <w:rPr>
          <w:rFonts w:ascii="Times New Roman" w:eastAsia="Times New Roman" w:hAnsi="Times New Roman" w:cs="Times New Roman"/>
          <w:i/>
          <w:iCs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1B6871">
        <w:rPr>
          <w:rFonts w:ascii="Times New Roman" w:eastAsia="Times New Roman" w:hAnsi="Times New Roman" w:cs="Times New Roman"/>
        </w:rPr>
        <w:t>.</w:t>
      </w:r>
    </w:p>
    <w:sectPr w:rsidR="005407EF" w:rsidRPr="008172BB" w:rsidSect="00A8516E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2E"/>
    <w:rsid w:val="00006EDD"/>
    <w:rsid w:val="00020099"/>
    <w:rsid w:val="00022A38"/>
    <w:rsid w:val="000342AD"/>
    <w:rsid w:val="00043ED8"/>
    <w:rsid w:val="0005672B"/>
    <w:rsid w:val="00066AB0"/>
    <w:rsid w:val="000960B8"/>
    <w:rsid w:val="000E076A"/>
    <w:rsid w:val="000E5165"/>
    <w:rsid w:val="000E5226"/>
    <w:rsid w:val="000F59D6"/>
    <w:rsid w:val="001125C6"/>
    <w:rsid w:val="00116398"/>
    <w:rsid w:val="001326AA"/>
    <w:rsid w:val="00134E1F"/>
    <w:rsid w:val="00143E43"/>
    <w:rsid w:val="001466D0"/>
    <w:rsid w:val="001653BF"/>
    <w:rsid w:val="00176560"/>
    <w:rsid w:val="001A24A5"/>
    <w:rsid w:val="001A786D"/>
    <w:rsid w:val="001B54C5"/>
    <w:rsid w:val="001D4AB7"/>
    <w:rsid w:val="002077F3"/>
    <w:rsid w:val="00224FC6"/>
    <w:rsid w:val="00230FE1"/>
    <w:rsid w:val="00241293"/>
    <w:rsid w:val="00245453"/>
    <w:rsid w:val="00254D3B"/>
    <w:rsid w:val="002578D3"/>
    <w:rsid w:val="0026438A"/>
    <w:rsid w:val="00277803"/>
    <w:rsid w:val="00284FAB"/>
    <w:rsid w:val="002B0E4E"/>
    <w:rsid w:val="002E25D6"/>
    <w:rsid w:val="002F6F2A"/>
    <w:rsid w:val="002F759A"/>
    <w:rsid w:val="00332494"/>
    <w:rsid w:val="00341D64"/>
    <w:rsid w:val="00347FD8"/>
    <w:rsid w:val="0035202C"/>
    <w:rsid w:val="00357BFF"/>
    <w:rsid w:val="00375966"/>
    <w:rsid w:val="00391383"/>
    <w:rsid w:val="003A04C9"/>
    <w:rsid w:val="003B3E6C"/>
    <w:rsid w:val="003B5B92"/>
    <w:rsid w:val="00417279"/>
    <w:rsid w:val="00441717"/>
    <w:rsid w:val="004558CF"/>
    <w:rsid w:val="00481FDE"/>
    <w:rsid w:val="00484541"/>
    <w:rsid w:val="00492187"/>
    <w:rsid w:val="00497F18"/>
    <w:rsid w:val="004B6C6A"/>
    <w:rsid w:val="004C46E8"/>
    <w:rsid w:val="004F575B"/>
    <w:rsid w:val="005139A1"/>
    <w:rsid w:val="0051551E"/>
    <w:rsid w:val="00516C9D"/>
    <w:rsid w:val="00531354"/>
    <w:rsid w:val="00532898"/>
    <w:rsid w:val="00532AB4"/>
    <w:rsid w:val="00537012"/>
    <w:rsid w:val="005407EF"/>
    <w:rsid w:val="00544AAF"/>
    <w:rsid w:val="00552028"/>
    <w:rsid w:val="00556407"/>
    <w:rsid w:val="00556AE6"/>
    <w:rsid w:val="00585290"/>
    <w:rsid w:val="00595AD7"/>
    <w:rsid w:val="0059689A"/>
    <w:rsid w:val="005B2ED7"/>
    <w:rsid w:val="005C7549"/>
    <w:rsid w:val="005F5B08"/>
    <w:rsid w:val="00610B16"/>
    <w:rsid w:val="00671EA0"/>
    <w:rsid w:val="00674FA4"/>
    <w:rsid w:val="006817DA"/>
    <w:rsid w:val="00682A2E"/>
    <w:rsid w:val="00697DA1"/>
    <w:rsid w:val="006A4B2F"/>
    <w:rsid w:val="006B2919"/>
    <w:rsid w:val="006B5A64"/>
    <w:rsid w:val="006D6784"/>
    <w:rsid w:val="006F45FE"/>
    <w:rsid w:val="007076D0"/>
    <w:rsid w:val="007217CB"/>
    <w:rsid w:val="0072621B"/>
    <w:rsid w:val="0074038D"/>
    <w:rsid w:val="00752931"/>
    <w:rsid w:val="00753EC6"/>
    <w:rsid w:val="0079021F"/>
    <w:rsid w:val="00791954"/>
    <w:rsid w:val="007924D7"/>
    <w:rsid w:val="007A6CBE"/>
    <w:rsid w:val="007C3850"/>
    <w:rsid w:val="007D0384"/>
    <w:rsid w:val="007E5A79"/>
    <w:rsid w:val="00803D92"/>
    <w:rsid w:val="008172BB"/>
    <w:rsid w:val="00821464"/>
    <w:rsid w:val="00830245"/>
    <w:rsid w:val="0085440C"/>
    <w:rsid w:val="00856D4A"/>
    <w:rsid w:val="00862F7D"/>
    <w:rsid w:val="008B2CC6"/>
    <w:rsid w:val="008B36A3"/>
    <w:rsid w:val="00911415"/>
    <w:rsid w:val="00926162"/>
    <w:rsid w:val="00932B99"/>
    <w:rsid w:val="00936D42"/>
    <w:rsid w:val="00940F2A"/>
    <w:rsid w:val="00946794"/>
    <w:rsid w:val="00954EDF"/>
    <w:rsid w:val="0099219A"/>
    <w:rsid w:val="009B24EA"/>
    <w:rsid w:val="009C4435"/>
    <w:rsid w:val="009C5BC9"/>
    <w:rsid w:val="009D6DED"/>
    <w:rsid w:val="00A16483"/>
    <w:rsid w:val="00A2192E"/>
    <w:rsid w:val="00A4439D"/>
    <w:rsid w:val="00A60259"/>
    <w:rsid w:val="00A82012"/>
    <w:rsid w:val="00A8516E"/>
    <w:rsid w:val="00AA69E0"/>
    <w:rsid w:val="00AB2E89"/>
    <w:rsid w:val="00AD6BAD"/>
    <w:rsid w:val="00AF1257"/>
    <w:rsid w:val="00B142B6"/>
    <w:rsid w:val="00B36FF9"/>
    <w:rsid w:val="00B428A2"/>
    <w:rsid w:val="00B742D2"/>
    <w:rsid w:val="00B77F4E"/>
    <w:rsid w:val="00B80049"/>
    <w:rsid w:val="00B82C38"/>
    <w:rsid w:val="00B85080"/>
    <w:rsid w:val="00B977EF"/>
    <w:rsid w:val="00BC2509"/>
    <w:rsid w:val="00BE157D"/>
    <w:rsid w:val="00BE7BCA"/>
    <w:rsid w:val="00C067CC"/>
    <w:rsid w:val="00C304EC"/>
    <w:rsid w:val="00C54F52"/>
    <w:rsid w:val="00C57CFF"/>
    <w:rsid w:val="00C66BCC"/>
    <w:rsid w:val="00C70FB0"/>
    <w:rsid w:val="00C82FFB"/>
    <w:rsid w:val="00C87C09"/>
    <w:rsid w:val="00CA291E"/>
    <w:rsid w:val="00CB4787"/>
    <w:rsid w:val="00CD3DC4"/>
    <w:rsid w:val="00CF5EA3"/>
    <w:rsid w:val="00D36804"/>
    <w:rsid w:val="00D463A1"/>
    <w:rsid w:val="00D54457"/>
    <w:rsid w:val="00D624CC"/>
    <w:rsid w:val="00D63D11"/>
    <w:rsid w:val="00D64337"/>
    <w:rsid w:val="00D71EB3"/>
    <w:rsid w:val="00D756B2"/>
    <w:rsid w:val="00D91565"/>
    <w:rsid w:val="00DA37CC"/>
    <w:rsid w:val="00DB5590"/>
    <w:rsid w:val="00DD0D7A"/>
    <w:rsid w:val="00DD5C06"/>
    <w:rsid w:val="00E30A71"/>
    <w:rsid w:val="00E50345"/>
    <w:rsid w:val="00E5310E"/>
    <w:rsid w:val="00E63395"/>
    <w:rsid w:val="00E90520"/>
    <w:rsid w:val="00EA4301"/>
    <w:rsid w:val="00EA5B13"/>
    <w:rsid w:val="00EE430C"/>
    <w:rsid w:val="00EF4180"/>
    <w:rsid w:val="00F012F1"/>
    <w:rsid w:val="00F06FF7"/>
    <w:rsid w:val="00F3179B"/>
    <w:rsid w:val="00F3670F"/>
    <w:rsid w:val="00F375CF"/>
    <w:rsid w:val="00F41229"/>
    <w:rsid w:val="00FA16DB"/>
    <w:rsid w:val="00F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4B31"/>
  <w15:chartTrackingRefBased/>
  <w15:docId w15:val="{22F492B9-4243-4E02-9524-27666C25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A0"/>
  </w:style>
  <w:style w:type="paragraph" w:styleId="Antrat1">
    <w:name w:val="heading 1"/>
    <w:basedOn w:val="prastasis"/>
    <w:next w:val="prastasis"/>
    <w:link w:val="Antrat1Diagrama"/>
    <w:uiPriority w:val="9"/>
    <w:qFormat/>
    <w:rsid w:val="0068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2A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2A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2A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2A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2A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2A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2A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2A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2A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2A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2A2E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9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9">
    <w:name w:val="Style29"/>
    <w:basedOn w:val="Numatytasispastraiposriftas"/>
    <w:uiPriority w:val="1"/>
    <w:rsid w:val="008172BB"/>
    <w:rPr>
      <w:rFonts w:ascii="Times New Roman" w:hAnsi="Times New Roman"/>
      <w:b w:val="0"/>
      <w:i w:val="0"/>
      <w:color w:val="auto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43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43E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43E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E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E43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6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6807b-7035-44a2-93ee-9bb18f0b649c">
      <Terms xmlns="http://schemas.microsoft.com/office/infopath/2007/PartnerControls"/>
    </lcf76f155ced4ddcb4097134ff3c332f>
    <TaxCatchAll xmlns="07609231-acae-40b1-8992-26d1ec8f80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ED189-1E85-4BCD-8C20-B387BD09C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42EEE-2900-4E11-BB71-9758B5E7B0F6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96B74013-3DF2-42A3-B76D-9DDCA96D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3012</Words>
  <Characters>1718</Characters>
  <Application>Microsoft Office Word</Application>
  <DocSecurity>0</DocSecurity>
  <Lines>14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Čiukšytė-Nagienė</dc:creator>
  <cp:keywords/>
  <dc:description/>
  <cp:lastModifiedBy>Sandra Čiukšytė-Nagienė</cp:lastModifiedBy>
  <cp:revision>173</cp:revision>
  <dcterms:created xsi:type="dcterms:W3CDTF">2025-08-19T08:47:00Z</dcterms:created>
  <dcterms:modified xsi:type="dcterms:W3CDTF">2025-09-19T05:01:00Z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0x0101008E25670BE377154BAD1C9BBF22B81D14</vt:lpwstr>
  </property>
  <property fmtid="{D5CDD505-2E9C-101B-9397-08002B2CF9AE}" pid="4" name="docLang">
    <vt:lpwstr>lt</vt:lpwstr>
  </property>
</Properties>
</file>