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  <w:gridCol w:w="3389"/>
        <w:gridCol w:w="3390"/>
      </w:tblGrid>
      <w:tr w:rsidR="00BC7298" w:rsidRPr="00943B15" w14:paraId="64806E1B" w14:textId="77777777" w:rsidTr="00B61737">
        <w:tc>
          <w:tcPr>
            <w:tcW w:w="3389" w:type="dxa"/>
          </w:tcPr>
          <w:p w14:paraId="22EA679F" w14:textId="77777777" w:rsidR="00B61737" w:rsidRPr="00943B15" w:rsidRDefault="00B61737" w:rsidP="00BC7298">
            <w:pPr>
              <w:spacing w:after="0" w:line="240" w:lineRule="auto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3389" w:type="dxa"/>
          </w:tcPr>
          <w:p w14:paraId="15960532" w14:textId="77777777" w:rsidR="00B61737" w:rsidRPr="00943B15" w:rsidRDefault="00B61737" w:rsidP="00BC7298">
            <w:pPr>
              <w:spacing w:after="0" w:line="240" w:lineRule="auto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3390" w:type="dxa"/>
          </w:tcPr>
          <w:p w14:paraId="37521F1D" w14:textId="7FB71AB4" w:rsidR="00B61737" w:rsidRPr="008E15AF" w:rsidRDefault="00FD5F6B" w:rsidP="00BC7298">
            <w:pPr>
              <w:spacing w:after="0" w:line="240" w:lineRule="auto"/>
              <w:jc w:val="right"/>
              <w:rPr>
                <w:szCs w:val="20"/>
                <w:lang w:val="en-US"/>
              </w:rPr>
            </w:pPr>
            <w:r>
              <w:rPr>
                <w:szCs w:val="20"/>
              </w:rPr>
              <w:t>202</w:t>
            </w:r>
            <w:r w:rsidR="00D061A1">
              <w:rPr>
                <w:szCs w:val="20"/>
              </w:rPr>
              <w:t>5-09-19</w:t>
            </w:r>
          </w:p>
        </w:tc>
      </w:tr>
    </w:tbl>
    <w:p w14:paraId="40AB056E" w14:textId="6D171CD4" w:rsidR="00286F73" w:rsidRDefault="00CE41C0" w:rsidP="00BC7298">
      <w:pPr>
        <w:spacing w:after="0" w:line="240" w:lineRule="auto"/>
        <w:jc w:val="both"/>
        <w:rPr>
          <w:b/>
          <w:bCs/>
          <w:szCs w:val="20"/>
        </w:rPr>
      </w:pPr>
      <w:r w:rsidRPr="00CE41C0">
        <w:rPr>
          <w:b/>
          <w:bCs/>
          <w:szCs w:val="20"/>
        </w:rPr>
        <w:t xml:space="preserve">Dėl </w:t>
      </w:r>
      <w:r w:rsidR="00D061A1">
        <w:rPr>
          <w:b/>
          <w:bCs/>
          <w:szCs w:val="20"/>
        </w:rPr>
        <w:t>pasiūlymų pateikimo termino pratęsimo</w:t>
      </w:r>
    </w:p>
    <w:p w14:paraId="28DE0E74" w14:textId="77777777" w:rsidR="00CE41C0" w:rsidRPr="00943B15" w:rsidRDefault="00CE41C0" w:rsidP="00BC7298">
      <w:pPr>
        <w:spacing w:after="0" w:line="240" w:lineRule="auto"/>
        <w:jc w:val="both"/>
        <w:rPr>
          <w:szCs w:val="20"/>
        </w:rPr>
      </w:pPr>
    </w:p>
    <w:p w14:paraId="6BF5C37A" w14:textId="47FEBF6A" w:rsidR="00D805A6" w:rsidRPr="00D805A6" w:rsidRDefault="00D805A6" w:rsidP="00D805A6">
      <w:pPr>
        <w:spacing w:after="0" w:line="240" w:lineRule="auto"/>
        <w:jc w:val="both"/>
        <w:rPr>
          <w:szCs w:val="20"/>
        </w:rPr>
      </w:pPr>
      <w:r w:rsidRPr="00156B0A">
        <w:rPr>
          <w:szCs w:val="20"/>
        </w:rPr>
        <w:t xml:space="preserve">VšĮ „Investuok Lietuvoje“ (toliau – Perkančioji organizacija) vykdo </w:t>
      </w:r>
      <w:r w:rsidR="00EB007E" w:rsidRPr="00156B0A">
        <w:rPr>
          <w:szCs w:val="20"/>
        </w:rPr>
        <w:t>supaprastintą atvirą konkursą</w:t>
      </w:r>
      <w:r w:rsidRPr="00156B0A">
        <w:rPr>
          <w:szCs w:val="20"/>
        </w:rPr>
        <w:t xml:space="preserve"> „</w:t>
      </w:r>
      <w:r w:rsidR="00D061A1" w:rsidRPr="00D061A1">
        <w:rPr>
          <w:szCs w:val="20"/>
        </w:rPr>
        <w:t>Rezervuotų investicinių valstybinės žemės sklypų infrastruktūros analizės paslaugos (1514)</w:t>
      </w:r>
      <w:r w:rsidRPr="00156B0A">
        <w:rPr>
          <w:szCs w:val="20"/>
        </w:rPr>
        <w:t>“ (toliau</w:t>
      </w:r>
      <w:r w:rsidRPr="00D805A6">
        <w:rPr>
          <w:szCs w:val="20"/>
        </w:rPr>
        <w:t xml:space="preserve"> – Pirkimas), pirkimo </w:t>
      </w:r>
      <w:r w:rsidR="00D061A1">
        <w:rPr>
          <w:szCs w:val="20"/>
        </w:rPr>
        <w:t xml:space="preserve">ID </w:t>
      </w:r>
      <w:r w:rsidR="00D061A1" w:rsidRPr="00D061A1">
        <w:rPr>
          <w:szCs w:val="20"/>
        </w:rPr>
        <w:t>4495266</w:t>
      </w:r>
      <w:r w:rsidRPr="00D805A6">
        <w:rPr>
          <w:szCs w:val="20"/>
        </w:rPr>
        <w:t xml:space="preserve">.. </w:t>
      </w:r>
    </w:p>
    <w:p w14:paraId="3B05E94F" w14:textId="32C846DA" w:rsidR="00D061A1" w:rsidRDefault="001047D5" w:rsidP="001047D5">
      <w:pPr>
        <w:pStyle w:val="BasicParagraph"/>
        <w:suppressAutoHyphens/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lt-LT"/>
        </w:rPr>
      </w:pPr>
      <w:r w:rsidRPr="00D25650">
        <w:rPr>
          <w:rFonts w:asciiTheme="majorHAnsi" w:hAnsiTheme="majorHAnsi" w:cstheme="majorHAnsi"/>
          <w:sz w:val="20"/>
          <w:szCs w:val="20"/>
          <w:lang w:val="lt-LT"/>
        </w:rPr>
        <w:t xml:space="preserve">Perkančiosios organizacijos Viešojo pirkimo komisija (toliau – Komisija) </w:t>
      </w:r>
      <w:r w:rsidR="00D061A1">
        <w:rPr>
          <w:rFonts w:asciiTheme="majorHAnsi" w:hAnsiTheme="majorHAnsi" w:cstheme="majorHAnsi"/>
          <w:sz w:val="20"/>
          <w:szCs w:val="20"/>
          <w:lang w:val="lt-LT"/>
        </w:rPr>
        <w:t>2025-09-19</w:t>
      </w:r>
      <w:r w:rsidR="00ED6871" w:rsidRPr="00D25650">
        <w:rPr>
          <w:rFonts w:asciiTheme="majorHAnsi" w:hAnsiTheme="majorHAnsi" w:cstheme="majorHAnsi"/>
          <w:sz w:val="20"/>
          <w:szCs w:val="20"/>
          <w:lang w:val="lt-LT"/>
        </w:rPr>
        <w:t xml:space="preserve"> </w:t>
      </w:r>
      <w:r w:rsidRPr="00D25650">
        <w:rPr>
          <w:rFonts w:asciiTheme="majorHAnsi" w:hAnsiTheme="majorHAnsi" w:cstheme="majorHAnsi"/>
          <w:sz w:val="20"/>
          <w:szCs w:val="20"/>
          <w:lang w:val="lt-LT"/>
        </w:rPr>
        <w:t xml:space="preserve">CVP IS susirašinėjimo priemonėmis gavo tiekėjo prašymą dėl </w:t>
      </w:r>
      <w:r w:rsidR="00D061A1">
        <w:rPr>
          <w:rFonts w:asciiTheme="majorHAnsi" w:hAnsiTheme="majorHAnsi" w:cstheme="majorHAnsi"/>
          <w:sz w:val="20"/>
          <w:szCs w:val="20"/>
          <w:lang w:val="lt-LT"/>
        </w:rPr>
        <w:t>pasiūlymų pateikimo termino pratęsimo</w:t>
      </w:r>
      <w:r w:rsidRPr="00D25650">
        <w:rPr>
          <w:rFonts w:asciiTheme="majorHAnsi" w:hAnsiTheme="majorHAnsi" w:cstheme="majorHAnsi"/>
          <w:sz w:val="20"/>
          <w:szCs w:val="20"/>
          <w:lang w:val="lt-LT"/>
        </w:rPr>
        <w:t>.</w:t>
      </w:r>
    </w:p>
    <w:p w14:paraId="02B311B0" w14:textId="0F5B31AF" w:rsidR="00D061A1" w:rsidRDefault="00D061A1" w:rsidP="001047D5">
      <w:pPr>
        <w:pStyle w:val="BasicParagraph"/>
        <w:suppressAutoHyphens/>
        <w:spacing w:line="240" w:lineRule="auto"/>
        <w:jc w:val="both"/>
        <w:rPr>
          <w:sz w:val="22"/>
          <w:szCs w:val="22"/>
        </w:rPr>
      </w:pPr>
      <w:r>
        <w:rPr>
          <w:rFonts w:asciiTheme="majorHAnsi" w:hAnsiTheme="majorHAnsi" w:cstheme="majorHAnsi"/>
          <w:sz w:val="20"/>
          <w:szCs w:val="20"/>
          <w:lang w:val="lt-LT"/>
        </w:rPr>
        <w:t xml:space="preserve">Komisija informuoja, kad buvo priimtas sprendimas pratęsti pasiūlymų pateikimo terminą iki </w:t>
      </w:r>
      <w:r w:rsidRPr="00D061A1">
        <w:rPr>
          <w:b/>
          <w:bCs/>
          <w:sz w:val="22"/>
          <w:szCs w:val="22"/>
        </w:rPr>
        <w:t>2025-09-26 14 val. 00 min.</w:t>
      </w:r>
      <w:r w:rsidR="00865A16">
        <w:rPr>
          <w:b/>
          <w:bCs/>
          <w:sz w:val="22"/>
          <w:szCs w:val="22"/>
        </w:rPr>
        <w:t xml:space="preserve"> </w:t>
      </w:r>
      <w:r w:rsidR="00865A16">
        <w:rPr>
          <w:sz w:val="22"/>
          <w:szCs w:val="22"/>
        </w:rPr>
        <w:t>ir atlikti pakeitimai CVP IS:</w:t>
      </w:r>
    </w:p>
    <w:p w14:paraId="3010576E" w14:textId="36BAE192" w:rsidR="00865A16" w:rsidRDefault="00865A16" w:rsidP="00B711AC">
      <w:pPr>
        <w:pStyle w:val="BasicParagraph"/>
        <w:numPr>
          <w:ilvl w:val="0"/>
          <w:numId w:val="7"/>
        </w:numPr>
        <w:suppressAutoHyphens/>
        <w:spacing w:line="240" w:lineRule="auto"/>
        <w:jc w:val="both"/>
        <w:rPr>
          <w:sz w:val="22"/>
          <w:szCs w:val="22"/>
        </w:rPr>
      </w:pPr>
      <w:r w:rsidRPr="00865A16">
        <w:rPr>
          <w:sz w:val="22"/>
          <w:szCs w:val="22"/>
        </w:rPr>
        <w:t>Pasiūlymų arba paraiškų dalyvauti pirkime pateikimo terminas :</w:t>
      </w:r>
      <w:r w:rsidRPr="00865A16">
        <w:rPr>
          <w:sz w:val="22"/>
          <w:szCs w:val="22"/>
        </w:rPr>
        <w:t xml:space="preserve"> </w:t>
      </w:r>
      <w:r w:rsidRPr="00865A16">
        <w:rPr>
          <w:sz w:val="22"/>
          <w:szCs w:val="22"/>
        </w:rPr>
        <w:t>26/09/2025 14:00</w:t>
      </w:r>
    </w:p>
    <w:p w14:paraId="6EA18003" w14:textId="1E7C3515" w:rsidR="00865A16" w:rsidRDefault="00865A16" w:rsidP="00EF71D2">
      <w:pPr>
        <w:pStyle w:val="BasicParagraph"/>
        <w:numPr>
          <w:ilvl w:val="0"/>
          <w:numId w:val="7"/>
        </w:numPr>
        <w:suppressAutoHyphens/>
        <w:spacing w:line="240" w:lineRule="auto"/>
        <w:jc w:val="both"/>
        <w:rPr>
          <w:sz w:val="22"/>
          <w:szCs w:val="22"/>
        </w:rPr>
      </w:pPr>
      <w:r w:rsidRPr="00865A16">
        <w:rPr>
          <w:sz w:val="22"/>
          <w:szCs w:val="22"/>
        </w:rPr>
        <w:t>Susipažinimo su pasiūlymais data:</w:t>
      </w:r>
      <w:r w:rsidRPr="00865A16">
        <w:rPr>
          <w:sz w:val="22"/>
          <w:szCs w:val="22"/>
        </w:rPr>
        <w:t xml:space="preserve"> </w:t>
      </w:r>
      <w:r w:rsidRPr="00865A16">
        <w:rPr>
          <w:sz w:val="22"/>
          <w:szCs w:val="22"/>
        </w:rPr>
        <w:t>26/09/2025 14:30</w:t>
      </w:r>
    </w:p>
    <w:p w14:paraId="7C161CC8" w14:textId="3BB89FF6" w:rsidR="00865A16" w:rsidRPr="00865A16" w:rsidRDefault="00865A16" w:rsidP="00424927">
      <w:pPr>
        <w:pStyle w:val="BasicParagraph"/>
        <w:numPr>
          <w:ilvl w:val="0"/>
          <w:numId w:val="7"/>
        </w:numPr>
        <w:suppressAutoHyphens/>
        <w:spacing w:line="240" w:lineRule="auto"/>
        <w:jc w:val="both"/>
        <w:rPr>
          <w:sz w:val="22"/>
          <w:szCs w:val="22"/>
        </w:rPr>
      </w:pPr>
      <w:r w:rsidRPr="00865A16">
        <w:rPr>
          <w:sz w:val="22"/>
          <w:szCs w:val="22"/>
        </w:rPr>
        <w:t>Paaiškinimų termino pabaiga:</w:t>
      </w:r>
      <w:r w:rsidRPr="00865A16">
        <w:rPr>
          <w:sz w:val="22"/>
          <w:szCs w:val="22"/>
        </w:rPr>
        <w:t xml:space="preserve"> </w:t>
      </w:r>
      <w:r>
        <w:rPr>
          <w:sz w:val="22"/>
          <w:szCs w:val="22"/>
        </w:rPr>
        <w:t>21</w:t>
      </w:r>
      <w:r w:rsidRPr="00865A16">
        <w:rPr>
          <w:sz w:val="22"/>
          <w:szCs w:val="22"/>
        </w:rPr>
        <w:t>/09/2025 14:</w:t>
      </w:r>
      <w:r>
        <w:rPr>
          <w:sz w:val="22"/>
          <w:szCs w:val="22"/>
        </w:rPr>
        <w:t>0</w:t>
      </w:r>
      <w:r w:rsidRPr="00865A16">
        <w:rPr>
          <w:sz w:val="22"/>
          <w:szCs w:val="22"/>
        </w:rPr>
        <w:t>0</w:t>
      </w:r>
    </w:p>
    <w:p w14:paraId="69B61BD5" w14:textId="77777777" w:rsidR="00865A16" w:rsidRDefault="00865A16" w:rsidP="001047D5">
      <w:pPr>
        <w:pStyle w:val="BasicParagraph"/>
        <w:suppressAutoHyphens/>
        <w:spacing w:line="240" w:lineRule="auto"/>
        <w:jc w:val="both"/>
        <w:rPr>
          <w:b/>
          <w:bCs/>
          <w:sz w:val="22"/>
          <w:szCs w:val="22"/>
        </w:rPr>
      </w:pPr>
    </w:p>
    <w:p w14:paraId="36E2B59F" w14:textId="77777777" w:rsidR="00865A16" w:rsidRDefault="00865A16" w:rsidP="001047D5">
      <w:pPr>
        <w:pStyle w:val="BasicParagraph"/>
        <w:suppressAutoHyphens/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lt-LT"/>
        </w:rPr>
      </w:pPr>
    </w:p>
    <w:p w14:paraId="450402AB" w14:textId="77777777" w:rsidR="00D061A1" w:rsidRDefault="00D061A1" w:rsidP="001047D5">
      <w:pPr>
        <w:pStyle w:val="BasicParagraph"/>
        <w:suppressAutoHyphens/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lt-LT"/>
        </w:rPr>
      </w:pPr>
    </w:p>
    <w:p w14:paraId="0E0743BF" w14:textId="5669E26E" w:rsidR="001047D5" w:rsidRPr="001047D5" w:rsidRDefault="001047D5" w:rsidP="001047D5">
      <w:pPr>
        <w:spacing w:after="0" w:line="240" w:lineRule="auto"/>
        <w:jc w:val="both"/>
        <w:rPr>
          <w:rFonts w:asciiTheme="majorHAnsi" w:hAnsiTheme="majorHAnsi" w:cstheme="majorHAnsi"/>
          <w:szCs w:val="20"/>
          <w:lang w:val="en-US"/>
        </w:rPr>
      </w:pPr>
    </w:p>
    <w:sectPr w:rsidR="001047D5" w:rsidRPr="001047D5" w:rsidSect="009B3C28">
      <w:headerReference w:type="even" r:id="rId11"/>
      <w:headerReference w:type="default" r:id="rId12"/>
      <w:footerReference w:type="default" r:id="rId13"/>
      <w:pgSz w:w="11900" w:h="16840"/>
      <w:pgMar w:top="1134" w:right="851" w:bottom="2552" w:left="851" w:header="2268" w:footer="22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062F" w14:textId="77777777" w:rsidR="002C134C" w:rsidRDefault="002C134C" w:rsidP="00BC2756">
      <w:pPr>
        <w:spacing w:after="0"/>
      </w:pPr>
      <w:r>
        <w:separator/>
      </w:r>
    </w:p>
  </w:endnote>
  <w:endnote w:type="continuationSeparator" w:id="0">
    <w:p w14:paraId="5B196570" w14:textId="77777777" w:rsidR="002C134C" w:rsidRDefault="002C134C" w:rsidP="00BC27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0"/>
      <w:gridCol w:w="2782"/>
      <w:gridCol w:w="373"/>
      <w:gridCol w:w="371"/>
      <w:gridCol w:w="2782"/>
      <w:gridCol w:w="369"/>
      <w:gridCol w:w="369"/>
      <w:gridCol w:w="2782"/>
    </w:tblGrid>
    <w:tr w:rsidR="001B6BFB" w:rsidRPr="00F76E96" w14:paraId="611ECA38" w14:textId="77777777" w:rsidTr="001B6BFB">
      <w:trPr>
        <w:trHeight w:val="17"/>
      </w:trPr>
      <w:tc>
        <w:tcPr>
          <w:tcW w:w="1545" w:type="pct"/>
          <w:gridSpan w:val="2"/>
          <w:tcBorders>
            <w:top w:val="single" w:sz="12" w:space="0" w:color="808080" w:themeColor="background1" w:themeShade="80"/>
          </w:tcBorders>
          <w:shd w:val="clear" w:color="auto" w:fill="auto"/>
        </w:tcPr>
        <w:p w14:paraId="60450347" w14:textId="77777777" w:rsidR="001B6BFB" w:rsidRPr="003324F3" w:rsidRDefault="001B6BFB" w:rsidP="001B6BFB">
          <w:pPr>
            <w:rPr>
              <w:color w:val="000000" w:themeColor="text1"/>
              <w:sz w:val="13"/>
            </w:rPr>
          </w:pPr>
        </w:p>
      </w:tc>
      <w:tc>
        <w:tcPr>
          <w:tcW w:w="183" w:type="pct"/>
          <w:shd w:val="clear" w:color="auto" w:fill="auto"/>
        </w:tcPr>
        <w:p w14:paraId="529BB081" w14:textId="77777777" w:rsidR="001B6BFB" w:rsidRPr="003324F3" w:rsidRDefault="001B6BFB" w:rsidP="001B6BFB">
          <w:pPr>
            <w:rPr>
              <w:color w:val="000000" w:themeColor="text1"/>
              <w:sz w:val="13"/>
            </w:rPr>
          </w:pPr>
        </w:p>
      </w:tc>
      <w:tc>
        <w:tcPr>
          <w:tcW w:w="1546" w:type="pct"/>
          <w:gridSpan w:val="2"/>
          <w:tcBorders>
            <w:top w:val="single" w:sz="12" w:space="0" w:color="808080" w:themeColor="background1" w:themeShade="80"/>
          </w:tcBorders>
          <w:shd w:val="clear" w:color="auto" w:fill="auto"/>
        </w:tcPr>
        <w:p w14:paraId="39CF2C6A" w14:textId="77777777" w:rsidR="001B6BFB" w:rsidRPr="003324F3" w:rsidRDefault="001B6BFB" w:rsidP="001B6BFB">
          <w:pPr>
            <w:rPr>
              <w:color w:val="000000" w:themeColor="text1"/>
              <w:sz w:val="13"/>
            </w:rPr>
          </w:pPr>
        </w:p>
      </w:tc>
      <w:tc>
        <w:tcPr>
          <w:tcW w:w="181" w:type="pct"/>
          <w:shd w:val="clear" w:color="auto" w:fill="auto"/>
        </w:tcPr>
        <w:p w14:paraId="5BE7B965" w14:textId="77777777" w:rsidR="001B6BFB" w:rsidRPr="003324F3" w:rsidRDefault="001B6BFB" w:rsidP="001B6BFB">
          <w:pPr>
            <w:rPr>
              <w:sz w:val="13"/>
            </w:rPr>
          </w:pPr>
        </w:p>
      </w:tc>
      <w:tc>
        <w:tcPr>
          <w:tcW w:w="1545" w:type="pct"/>
          <w:gridSpan w:val="2"/>
          <w:tcBorders>
            <w:top w:val="single" w:sz="12" w:space="0" w:color="808080"/>
          </w:tcBorders>
          <w:shd w:val="clear" w:color="auto" w:fill="auto"/>
        </w:tcPr>
        <w:p w14:paraId="63C03E31" w14:textId="77777777" w:rsidR="001B6BFB" w:rsidRPr="003324F3" w:rsidRDefault="001B6BFB" w:rsidP="001B6BFB">
          <w:pPr>
            <w:rPr>
              <w:sz w:val="13"/>
            </w:rPr>
          </w:pPr>
        </w:p>
      </w:tc>
    </w:tr>
    <w:tr w:rsidR="001B6BFB" w:rsidRPr="00F76E96" w14:paraId="323915AF" w14:textId="77777777" w:rsidTr="001B6BFB">
      <w:trPr>
        <w:trHeight w:val="283"/>
      </w:trPr>
      <w:tc>
        <w:tcPr>
          <w:tcW w:w="181" w:type="pct"/>
          <w:shd w:val="clear" w:color="auto" w:fill="auto"/>
        </w:tcPr>
        <w:p w14:paraId="7540C02D" w14:textId="77777777" w:rsidR="001B6BFB" w:rsidRPr="00F76E96" w:rsidRDefault="001B6BFB" w:rsidP="001B6BFB">
          <w:r>
            <w:rPr>
              <w:noProof/>
            </w:rPr>
            <w:drawing>
              <wp:inline distT="0" distB="0" distL="0" distR="0" wp14:anchorId="05694314" wp14:editId="323F1B47">
                <wp:extent cx="121724" cy="86946"/>
                <wp:effectExtent l="0" t="0" r="5715" b="254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Artboard 2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34" cy="96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" w:type="pct"/>
          <w:shd w:val="clear" w:color="auto" w:fill="auto"/>
        </w:tcPr>
        <w:p w14:paraId="50196586" w14:textId="77777777" w:rsidR="001B6BFB" w:rsidRPr="0091561D" w:rsidRDefault="001B6BFB" w:rsidP="001B6BFB">
          <w:pPr>
            <w:rPr>
              <w:color w:val="000000" w:themeColor="text1"/>
            </w:rPr>
          </w:pPr>
          <w:hyperlink r:id="rId2" w:history="1">
            <w:r w:rsidRPr="0091561D">
              <w:rPr>
                <w:rStyle w:val="Hyperlink"/>
                <w:color w:val="000000" w:themeColor="text1"/>
                <w:u w:val="none"/>
              </w:rPr>
              <w:t>info@investlithuania.com</w:t>
            </w:r>
          </w:hyperlink>
        </w:p>
      </w:tc>
      <w:tc>
        <w:tcPr>
          <w:tcW w:w="183" w:type="pct"/>
          <w:shd w:val="clear" w:color="auto" w:fill="auto"/>
        </w:tcPr>
        <w:p w14:paraId="7958A429" w14:textId="77777777" w:rsidR="001B6BFB" w:rsidRPr="00F76E96" w:rsidRDefault="001B6BFB" w:rsidP="001B6BFB">
          <w:pPr>
            <w:rPr>
              <w:color w:val="000000" w:themeColor="text1"/>
            </w:rPr>
          </w:pPr>
        </w:p>
      </w:tc>
      <w:tc>
        <w:tcPr>
          <w:tcW w:w="182" w:type="pct"/>
          <w:shd w:val="clear" w:color="auto" w:fill="auto"/>
        </w:tcPr>
        <w:p w14:paraId="589EBAF8" w14:textId="77777777" w:rsidR="001B6BFB" w:rsidRPr="00F76E96" w:rsidRDefault="001B6BFB" w:rsidP="001B6BFB">
          <w:pPr>
            <w:rPr>
              <w:color w:val="000000" w:themeColor="text1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3A06316F" wp14:editId="1AA34379">
                <wp:extent cx="127000" cy="88900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Artboard 2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88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" w:type="pct"/>
          <w:shd w:val="clear" w:color="auto" w:fill="auto"/>
        </w:tcPr>
        <w:p w14:paraId="5C77A285" w14:textId="77777777" w:rsidR="001B6BFB" w:rsidRPr="0091561D" w:rsidRDefault="001B6BFB" w:rsidP="001B6BFB">
          <w:pPr>
            <w:rPr>
              <w:color w:val="000000" w:themeColor="text1"/>
            </w:rPr>
          </w:pPr>
          <w:hyperlink r:id="rId4" w:history="1">
            <w:r w:rsidRPr="0091561D">
              <w:rPr>
                <w:rStyle w:val="Hyperlink"/>
                <w:color w:val="000000" w:themeColor="text1"/>
                <w:u w:val="none"/>
              </w:rPr>
              <w:t>investlithuania.com</w:t>
            </w:r>
          </w:hyperlink>
        </w:p>
      </w:tc>
      <w:tc>
        <w:tcPr>
          <w:tcW w:w="181" w:type="pct"/>
          <w:shd w:val="clear" w:color="auto" w:fill="auto"/>
        </w:tcPr>
        <w:p w14:paraId="74A2ADC4" w14:textId="77777777" w:rsidR="001B6BFB" w:rsidRPr="00F76E96" w:rsidRDefault="001B6BFB" w:rsidP="001B6BFB"/>
      </w:tc>
      <w:tc>
        <w:tcPr>
          <w:tcW w:w="181" w:type="pct"/>
          <w:shd w:val="clear" w:color="auto" w:fill="auto"/>
        </w:tcPr>
        <w:p w14:paraId="1FF13629" w14:textId="77777777" w:rsidR="001B6BFB" w:rsidRPr="00F76E96" w:rsidRDefault="001B6BFB" w:rsidP="001B6BFB">
          <w:r>
            <w:rPr>
              <w:noProof/>
            </w:rPr>
            <w:drawing>
              <wp:inline distT="0" distB="0" distL="0" distR="0" wp14:anchorId="04602BC3" wp14:editId="787B9128">
                <wp:extent cx="132862" cy="118100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Artboard 23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977" cy="119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" w:type="pct"/>
          <w:vMerge w:val="restart"/>
          <w:shd w:val="clear" w:color="auto" w:fill="auto"/>
        </w:tcPr>
        <w:p w14:paraId="03B78369" w14:textId="77777777" w:rsidR="001B6BFB" w:rsidRPr="00F76E96" w:rsidRDefault="001B6BFB" w:rsidP="003E2D96">
          <w:r w:rsidRPr="00F76E96">
            <w:t xml:space="preserve">Upės g. 23, 08128 </w:t>
          </w:r>
          <w:r w:rsidR="003E2D96">
            <w:br/>
          </w:r>
          <w:r w:rsidRPr="00F76E96">
            <w:t>Vilnius, Lietuva</w:t>
          </w:r>
        </w:p>
      </w:tc>
    </w:tr>
    <w:tr w:rsidR="001B6BFB" w:rsidRPr="00F76E96" w14:paraId="153A30AC" w14:textId="77777777" w:rsidTr="001B6BFB">
      <w:trPr>
        <w:trHeight w:val="283"/>
      </w:trPr>
      <w:tc>
        <w:tcPr>
          <w:tcW w:w="181" w:type="pct"/>
          <w:shd w:val="clear" w:color="auto" w:fill="auto"/>
        </w:tcPr>
        <w:p w14:paraId="53019970" w14:textId="77777777" w:rsidR="001B6BFB" w:rsidRPr="00243E68" w:rsidRDefault="001B6BFB" w:rsidP="001B6BFB">
          <w:r>
            <w:rPr>
              <w:noProof/>
            </w:rPr>
            <w:drawing>
              <wp:inline distT="0" distB="0" distL="0" distR="0" wp14:anchorId="377CAA03" wp14:editId="4492FFF1">
                <wp:extent cx="60960" cy="106680"/>
                <wp:effectExtent l="0" t="0" r="254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Artboard 25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13" cy="1268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" w:type="pct"/>
          <w:shd w:val="clear" w:color="auto" w:fill="auto"/>
        </w:tcPr>
        <w:p w14:paraId="7F6846BC" w14:textId="77777777" w:rsidR="001B6BFB" w:rsidRPr="00F76E96" w:rsidRDefault="001B6BFB" w:rsidP="001B6BFB">
          <w:pPr>
            <w:rPr>
              <w:color w:val="000000" w:themeColor="text1"/>
            </w:rPr>
          </w:pPr>
          <w:r w:rsidRPr="00F76E96">
            <w:rPr>
              <w:color w:val="000000" w:themeColor="text1"/>
            </w:rPr>
            <w:t>Tel. +370 5 262 7438</w:t>
          </w:r>
        </w:p>
      </w:tc>
      <w:tc>
        <w:tcPr>
          <w:tcW w:w="183" w:type="pct"/>
          <w:shd w:val="clear" w:color="auto" w:fill="auto"/>
        </w:tcPr>
        <w:p w14:paraId="5E6E8D76" w14:textId="77777777" w:rsidR="001B6BFB" w:rsidRPr="00F76E96" w:rsidRDefault="001B6BFB" w:rsidP="001B6BFB">
          <w:pPr>
            <w:rPr>
              <w:color w:val="000000" w:themeColor="text1"/>
            </w:rPr>
          </w:pPr>
        </w:p>
      </w:tc>
      <w:tc>
        <w:tcPr>
          <w:tcW w:w="182" w:type="pct"/>
          <w:shd w:val="clear" w:color="auto" w:fill="auto"/>
        </w:tcPr>
        <w:p w14:paraId="5235C8C0" w14:textId="77777777" w:rsidR="001B6BFB" w:rsidRPr="00243E68" w:rsidRDefault="001B6BFB" w:rsidP="001B6BFB">
          <w:pPr>
            <w:rPr>
              <w:color w:val="000000" w:themeColor="text1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671ABFF" wp14:editId="61E0419B">
                <wp:extent cx="127000" cy="111125"/>
                <wp:effectExtent l="0" t="0" r="0" b="317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Artboard 24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1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" w:type="pct"/>
          <w:shd w:val="clear" w:color="auto" w:fill="auto"/>
        </w:tcPr>
        <w:p w14:paraId="74634244" w14:textId="77777777" w:rsidR="001B6BFB" w:rsidRDefault="001B6BFB" w:rsidP="001B6BFB">
          <w:r w:rsidRPr="00F76E96">
            <w:rPr>
              <w:noProof/>
              <w:color w:val="000000" w:themeColor="text1"/>
            </w:rPr>
            <w:t>Fax. +370 5 212 0160</w:t>
          </w:r>
        </w:p>
      </w:tc>
      <w:tc>
        <w:tcPr>
          <w:tcW w:w="181" w:type="pct"/>
          <w:shd w:val="clear" w:color="auto" w:fill="auto"/>
        </w:tcPr>
        <w:p w14:paraId="1EF226B6" w14:textId="77777777" w:rsidR="001B6BFB" w:rsidRPr="00F76E96" w:rsidRDefault="001B6BFB" w:rsidP="001B6BFB"/>
      </w:tc>
      <w:tc>
        <w:tcPr>
          <w:tcW w:w="181" w:type="pct"/>
          <w:shd w:val="clear" w:color="auto" w:fill="auto"/>
        </w:tcPr>
        <w:p w14:paraId="4AC3DF45" w14:textId="77777777" w:rsidR="001B6BFB" w:rsidRPr="00243E68" w:rsidRDefault="001B6BFB" w:rsidP="001B6BFB"/>
      </w:tc>
      <w:tc>
        <w:tcPr>
          <w:tcW w:w="1364" w:type="pct"/>
          <w:vMerge/>
          <w:shd w:val="clear" w:color="auto" w:fill="auto"/>
        </w:tcPr>
        <w:p w14:paraId="57593B06" w14:textId="77777777" w:rsidR="001B6BFB" w:rsidRPr="00F76E96" w:rsidRDefault="001B6BFB" w:rsidP="001B6BFB"/>
      </w:tc>
    </w:tr>
  </w:tbl>
  <w:p w14:paraId="7469E1A4" w14:textId="77777777" w:rsidR="002F174A" w:rsidRDefault="002F174A" w:rsidP="001B6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DCFE" w14:textId="77777777" w:rsidR="002C134C" w:rsidRDefault="002C134C" w:rsidP="00BC2756">
      <w:pPr>
        <w:spacing w:after="0"/>
      </w:pPr>
      <w:r>
        <w:separator/>
      </w:r>
    </w:p>
  </w:footnote>
  <w:footnote w:type="continuationSeparator" w:id="0">
    <w:p w14:paraId="16F8C2CB" w14:textId="77777777" w:rsidR="002C134C" w:rsidRDefault="002C134C" w:rsidP="00BC27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7096877"/>
      <w:docPartObj>
        <w:docPartGallery w:val="Page Numbers (Top of Page)"/>
        <w:docPartUnique/>
      </w:docPartObj>
    </w:sdtPr>
    <w:sdtContent>
      <w:p w14:paraId="4C73138D" w14:textId="77777777" w:rsidR="00BC2756" w:rsidRDefault="00BC2756" w:rsidP="00DF5EEB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C1EC19" w14:textId="77777777" w:rsidR="00BC2756" w:rsidRDefault="00BC2756" w:rsidP="00BC2756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48CA" w14:textId="77777777" w:rsidR="00BC2756" w:rsidRDefault="0091561D" w:rsidP="00BC2756">
    <w:pPr>
      <w:pStyle w:val="Header"/>
      <w:ind w:firstLine="360"/>
    </w:pPr>
    <w:r>
      <w:rPr>
        <w:noProof/>
      </w:rPr>
      <w:drawing>
        <wp:anchor distT="0" distB="0" distL="114300" distR="114300" simplePos="0" relativeHeight="251663357" behindDoc="0" locked="0" layoutInCell="1" allowOverlap="1" wp14:anchorId="4AB516C5" wp14:editId="2037529E">
          <wp:simplePos x="0" y="0"/>
          <wp:positionH relativeFrom="margin">
            <wp:posOffset>14047</wp:posOffset>
          </wp:positionH>
          <wp:positionV relativeFrom="paragraph">
            <wp:posOffset>-852647</wp:posOffset>
          </wp:positionV>
          <wp:extent cx="1620133" cy="657872"/>
          <wp:effectExtent l="0" t="0" r="0" b="889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457" cy="66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B52115" w14:textId="77777777" w:rsidR="00BC2756" w:rsidRDefault="00BC27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6.75pt;height:6.75pt" o:bullet="t">
        <v:imagedata r:id="rId1" o:title="IL_green-14"/>
      </v:shape>
    </w:pict>
  </w:numPicBullet>
  <w:abstractNum w:abstractNumId="0" w15:restartNumberingAfterBreak="0">
    <w:nsid w:val="08B40867"/>
    <w:multiLevelType w:val="hybridMultilevel"/>
    <w:tmpl w:val="166C7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223"/>
    <w:multiLevelType w:val="hybridMultilevel"/>
    <w:tmpl w:val="BA5AB1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A2A7B"/>
    <w:multiLevelType w:val="hybridMultilevel"/>
    <w:tmpl w:val="BE485CD8"/>
    <w:lvl w:ilvl="0" w:tplc="33D018EC">
      <w:start w:val="1"/>
      <w:numFmt w:val="bullet"/>
      <w:pStyle w:val="Tablebullets1stlevel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534DB"/>
    <w:multiLevelType w:val="hybridMultilevel"/>
    <w:tmpl w:val="B918766A"/>
    <w:lvl w:ilvl="0" w:tplc="2B6C16C6">
      <w:start w:val="1"/>
      <w:numFmt w:val="bullet"/>
      <w:pStyle w:val="ListParagraph"/>
      <w:lvlText w:val=""/>
      <w:lvlPicBulletId w:val="0"/>
      <w:lvlJc w:val="left"/>
      <w:pPr>
        <w:ind w:left="380" w:hanging="360"/>
      </w:pPr>
      <w:rPr>
        <w:rFonts w:ascii="Symbol" w:hAnsi="Symbol" w:hint="default"/>
        <w:color w:val="auto"/>
      </w:rPr>
    </w:lvl>
    <w:lvl w:ilvl="1" w:tplc="6CC426CC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43CE74CF"/>
    <w:multiLevelType w:val="hybridMultilevel"/>
    <w:tmpl w:val="E96EBBBC"/>
    <w:lvl w:ilvl="0" w:tplc="21087358">
      <w:start w:val="1"/>
      <w:numFmt w:val="bullet"/>
      <w:lvlText w:val=""/>
      <w:lvlPicBulletId w:val="0"/>
      <w:lvlJc w:val="left"/>
      <w:pPr>
        <w:ind w:left="380" w:hanging="360"/>
      </w:pPr>
      <w:rPr>
        <w:rFonts w:ascii="Symbol" w:hAnsi="Symbol" w:hint="default"/>
        <w:color w:val="auto"/>
      </w:rPr>
    </w:lvl>
    <w:lvl w:ilvl="1" w:tplc="35F2E6BC">
      <w:start w:val="1"/>
      <w:numFmt w:val="bullet"/>
      <w:pStyle w:val="Bullets2ndlevel"/>
      <w:lvlText w:val=""/>
      <w:lvlJc w:val="left"/>
      <w:pPr>
        <w:ind w:left="1100" w:hanging="360"/>
      </w:pPr>
      <w:rPr>
        <w:rFonts w:ascii="Symbol" w:hAnsi="Symbol" w:hint="default"/>
        <w:color w:val="188F45" w:themeColor="accent5"/>
      </w:rPr>
    </w:lvl>
    <w:lvl w:ilvl="2" w:tplc="D4CC3442">
      <w:start w:val="1"/>
      <w:numFmt w:val="bullet"/>
      <w:pStyle w:val="Bullets3rdlevel"/>
      <w:lvlText w:val="‒"/>
      <w:lvlJc w:val="left"/>
      <w:pPr>
        <w:ind w:left="1820" w:hanging="360"/>
      </w:pPr>
      <w:rPr>
        <w:rFonts w:ascii="Arial" w:hAnsi="Arial" w:hint="default"/>
        <w:color w:val="188F45" w:themeColor="accent5"/>
      </w:rPr>
    </w:lvl>
    <w:lvl w:ilvl="3" w:tplc="0427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4A236265"/>
    <w:multiLevelType w:val="hybridMultilevel"/>
    <w:tmpl w:val="0EE01130"/>
    <w:lvl w:ilvl="0" w:tplc="21087358">
      <w:start w:val="1"/>
      <w:numFmt w:val="bullet"/>
      <w:lvlText w:val=""/>
      <w:lvlPicBulletId w:val="0"/>
      <w:lvlJc w:val="left"/>
      <w:pPr>
        <w:ind w:left="380" w:hanging="360"/>
      </w:pPr>
      <w:rPr>
        <w:rFonts w:ascii="Symbol" w:hAnsi="Symbol" w:hint="default"/>
        <w:color w:val="auto"/>
      </w:rPr>
    </w:lvl>
    <w:lvl w:ilvl="1" w:tplc="A5ECCE70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  <w:color w:val="188F45" w:themeColor="accent5"/>
      </w:rPr>
    </w:lvl>
    <w:lvl w:ilvl="2" w:tplc="A2F89458">
      <w:start w:val="1"/>
      <w:numFmt w:val="bullet"/>
      <w:pStyle w:val="Bullets4thlevel"/>
      <w:lvlText w:val=""/>
      <w:lvlJc w:val="left"/>
      <w:pPr>
        <w:ind w:left="1820" w:hanging="360"/>
      </w:pPr>
      <w:rPr>
        <w:rFonts w:ascii="Wingdings" w:hAnsi="Wingdings" w:hint="default"/>
        <w:color w:val="188F45" w:themeColor="accent5"/>
      </w:rPr>
    </w:lvl>
    <w:lvl w:ilvl="3" w:tplc="0427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609B584E"/>
    <w:multiLevelType w:val="hybridMultilevel"/>
    <w:tmpl w:val="E8A00A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15380">
    <w:abstractNumId w:val="3"/>
  </w:num>
  <w:num w:numId="2" w16cid:durableId="1316186779">
    <w:abstractNumId w:val="4"/>
  </w:num>
  <w:num w:numId="3" w16cid:durableId="1849640553">
    <w:abstractNumId w:val="5"/>
  </w:num>
  <w:num w:numId="4" w16cid:durableId="596255673">
    <w:abstractNumId w:val="2"/>
  </w:num>
  <w:num w:numId="5" w16cid:durableId="481122588">
    <w:abstractNumId w:val="0"/>
  </w:num>
  <w:num w:numId="6" w16cid:durableId="118183929">
    <w:abstractNumId w:val="1"/>
  </w:num>
  <w:num w:numId="7" w16cid:durableId="111097588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0D"/>
    <w:rsid w:val="00002795"/>
    <w:rsid w:val="00004277"/>
    <w:rsid w:val="00004BD3"/>
    <w:rsid w:val="00004C5F"/>
    <w:rsid w:val="00007AFE"/>
    <w:rsid w:val="0002055D"/>
    <w:rsid w:val="00021C2A"/>
    <w:rsid w:val="00026E10"/>
    <w:rsid w:val="00033D18"/>
    <w:rsid w:val="00036347"/>
    <w:rsid w:val="0004018F"/>
    <w:rsid w:val="00043E2C"/>
    <w:rsid w:val="000548E5"/>
    <w:rsid w:val="00061638"/>
    <w:rsid w:val="00061D6E"/>
    <w:rsid w:val="00065E25"/>
    <w:rsid w:val="000677C0"/>
    <w:rsid w:val="00077CCE"/>
    <w:rsid w:val="00077FD7"/>
    <w:rsid w:val="00083CB4"/>
    <w:rsid w:val="00084885"/>
    <w:rsid w:val="000904AD"/>
    <w:rsid w:val="000909E1"/>
    <w:rsid w:val="00090AC8"/>
    <w:rsid w:val="00091789"/>
    <w:rsid w:val="00093F39"/>
    <w:rsid w:val="000977E9"/>
    <w:rsid w:val="000A4847"/>
    <w:rsid w:val="000A76DF"/>
    <w:rsid w:val="000C558D"/>
    <w:rsid w:val="000C6080"/>
    <w:rsid w:val="000D41F7"/>
    <w:rsid w:val="000D53DE"/>
    <w:rsid w:val="000E0A4E"/>
    <w:rsid w:val="000E2D15"/>
    <w:rsid w:val="000E4A5C"/>
    <w:rsid w:val="000F12A9"/>
    <w:rsid w:val="0010131B"/>
    <w:rsid w:val="001013A0"/>
    <w:rsid w:val="0010300A"/>
    <w:rsid w:val="001047D5"/>
    <w:rsid w:val="00105B1E"/>
    <w:rsid w:val="00110E8A"/>
    <w:rsid w:val="00113800"/>
    <w:rsid w:val="00116F87"/>
    <w:rsid w:val="00123D65"/>
    <w:rsid w:val="001243A2"/>
    <w:rsid w:val="001272B9"/>
    <w:rsid w:val="00145476"/>
    <w:rsid w:val="00146438"/>
    <w:rsid w:val="001537E7"/>
    <w:rsid w:val="00153FF8"/>
    <w:rsid w:val="001559ED"/>
    <w:rsid w:val="00156B0A"/>
    <w:rsid w:val="001663F8"/>
    <w:rsid w:val="001748C7"/>
    <w:rsid w:val="0018473E"/>
    <w:rsid w:val="001925CF"/>
    <w:rsid w:val="00195D27"/>
    <w:rsid w:val="001B4FA3"/>
    <w:rsid w:val="001B6BFB"/>
    <w:rsid w:val="001C4151"/>
    <w:rsid w:val="001C6E5D"/>
    <w:rsid w:val="001C7331"/>
    <w:rsid w:val="001D3D0D"/>
    <w:rsid w:val="001F3013"/>
    <w:rsid w:val="001F3DFD"/>
    <w:rsid w:val="002055E1"/>
    <w:rsid w:val="002315CE"/>
    <w:rsid w:val="00232334"/>
    <w:rsid w:val="002339A9"/>
    <w:rsid w:val="002403B5"/>
    <w:rsid w:val="002543EB"/>
    <w:rsid w:val="00267989"/>
    <w:rsid w:val="00273BAF"/>
    <w:rsid w:val="00274045"/>
    <w:rsid w:val="00274BFB"/>
    <w:rsid w:val="00275208"/>
    <w:rsid w:val="00286F73"/>
    <w:rsid w:val="002948C1"/>
    <w:rsid w:val="002B72C2"/>
    <w:rsid w:val="002B775F"/>
    <w:rsid w:val="002C134C"/>
    <w:rsid w:val="002C2052"/>
    <w:rsid w:val="002E12A7"/>
    <w:rsid w:val="002F174A"/>
    <w:rsid w:val="002F2843"/>
    <w:rsid w:val="002F304F"/>
    <w:rsid w:val="002F7D54"/>
    <w:rsid w:val="0030089A"/>
    <w:rsid w:val="003009A7"/>
    <w:rsid w:val="00300FAD"/>
    <w:rsid w:val="003015DA"/>
    <w:rsid w:val="00303390"/>
    <w:rsid w:val="00303FF1"/>
    <w:rsid w:val="00304D75"/>
    <w:rsid w:val="00315D41"/>
    <w:rsid w:val="003312E5"/>
    <w:rsid w:val="0033467B"/>
    <w:rsid w:val="003463A1"/>
    <w:rsid w:val="00346CFA"/>
    <w:rsid w:val="0035038E"/>
    <w:rsid w:val="003563A0"/>
    <w:rsid w:val="00360D0B"/>
    <w:rsid w:val="003621DA"/>
    <w:rsid w:val="00365FD9"/>
    <w:rsid w:val="00373792"/>
    <w:rsid w:val="00376CF8"/>
    <w:rsid w:val="00394465"/>
    <w:rsid w:val="003A44CB"/>
    <w:rsid w:val="003B0581"/>
    <w:rsid w:val="003B513E"/>
    <w:rsid w:val="003B7F5F"/>
    <w:rsid w:val="003D16C2"/>
    <w:rsid w:val="003D3CBC"/>
    <w:rsid w:val="003D468A"/>
    <w:rsid w:val="003D7F55"/>
    <w:rsid w:val="003E0095"/>
    <w:rsid w:val="003E0901"/>
    <w:rsid w:val="003E2C17"/>
    <w:rsid w:val="003E2D96"/>
    <w:rsid w:val="003E5AA1"/>
    <w:rsid w:val="003F026C"/>
    <w:rsid w:val="003F4649"/>
    <w:rsid w:val="003F7056"/>
    <w:rsid w:val="00401FB7"/>
    <w:rsid w:val="00405AB7"/>
    <w:rsid w:val="0043650C"/>
    <w:rsid w:val="0044379F"/>
    <w:rsid w:val="004471D8"/>
    <w:rsid w:val="00451F10"/>
    <w:rsid w:val="00452459"/>
    <w:rsid w:val="00453C26"/>
    <w:rsid w:val="0046532D"/>
    <w:rsid w:val="004672B3"/>
    <w:rsid w:val="00470D53"/>
    <w:rsid w:val="00491AB6"/>
    <w:rsid w:val="00494DDE"/>
    <w:rsid w:val="00495AE6"/>
    <w:rsid w:val="004A5DD6"/>
    <w:rsid w:val="004B7C09"/>
    <w:rsid w:val="004C73D1"/>
    <w:rsid w:val="004D3235"/>
    <w:rsid w:val="004D68D1"/>
    <w:rsid w:val="004E0D83"/>
    <w:rsid w:val="004E2B0C"/>
    <w:rsid w:val="004F3781"/>
    <w:rsid w:val="004F6902"/>
    <w:rsid w:val="0050092C"/>
    <w:rsid w:val="00507335"/>
    <w:rsid w:val="00511041"/>
    <w:rsid w:val="005240E3"/>
    <w:rsid w:val="00530ADF"/>
    <w:rsid w:val="005370D3"/>
    <w:rsid w:val="0054402E"/>
    <w:rsid w:val="005519B5"/>
    <w:rsid w:val="00561F37"/>
    <w:rsid w:val="00562405"/>
    <w:rsid w:val="00565CCB"/>
    <w:rsid w:val="0058030A"/>
    <w:rsid w:val="00587856"/>
    <w:rsid w:val="00597D98"/>
    <w:rsid w:val="005B062F"/>
    <w:rsid w:val="005B2BBE"/>
    <w:rsid w:val="005B3481"/>
    <w:rsid w:val="005B4892"/>
    <w:rsid w:val="005C42CF"/>
    <w:rsid w:val="005C6324"/>
    <w:rsid w:val="005D04F9"/>
    <w:rsid w:val="005E3A79"/>
    <w:rsid w:val="005F0F39"/>
    <w:rsid w:val="005F40B2"/>
    <w:rsid w:val="00600534"/>
    <w:rsid w:val="00606F69"/>
    <w:rsid w:val="006174DE"/>
    <w:rsid w:val="00623DB4"/>
    <w:rsid w:val="006373ED"/>
    <w:rsid w:val="00642D77"/>
    <w:rsid w:val="006458D4"/>
    <w:rsid w:val="00650C6D"/>
    <w:rsid w:val="006511CD"/>
    <w:rsid w:val="006531E6"/>
    <w:rsid w:val="00663A37"/>
    <w:rsid w:val="00665463"/>
    <w:rsid w:val="006661AD"/>
    <w:rsid w:val="00675C30"/>
    <w:rsid w:val="006761FD"/>
    <w:rsid w:val="00695C94"/>
    <w:rsid w:val="006A3909"/>
    <w:rsid w:val="006B1397"/>
    <w:rsid w:val="006B48B7"/>
    <w:rsid w:val="006B7F0D"/>
    <w:rsid w:val="006C0AF2"/>
    <w:rsid w:val="006C34B5"/>
    <w:rsid w:val="006C50A5"/>
    <w:rsid w:val="006F6859"/>
    <w:rsid w:val="006F75C3"/>
    <w:rsid w:val="00703096"/>
    <w:rsid w:val="007050CA"/>
    <w:rsid w:val="00711FC5"/>
    <w:rsid w:val="00717F2F"/>
    <w:rsid w:val="00723D15"/>
    <w:rsid w:val="0072688F"/>
    <w:rsid w:val="00727E2C"/>
    <w:rsid w:val="007312A8"/>
    <w:rsid w:val="00740E1A"/>
    <w:rsid w:val="00741307"/>
    <w:rsid w:val="00744255"/>
    <w:rsid w:val="0075071A"/>
    <w:rsid w:val="007554A7"/>
    <w:rsid w:val="00756291"/>
    <w:rsid w:val="00756BBF"/>
    <w:rsid w:val="00762567"/>
    <w:rsid w:val="00764E03"/>
    <w:rsid w:val="00775FD0"/>
    <w:rsid w:val="00785DF4"/>
    <w:rsid w:val="00786807"/>
    <w:rsid w:val="007A5EF6"/>
    <w:rsid w:val="007B34B3"/>
    <w:rsid w:val="007B5289"/>
    <w:rsid w:val="007C227A"/>
    <w:rsid w:val="007C548C"/>
    <w:rsid w:val="007C688C"/>
    <w:rsid w:val="007D304F"/>
    <w:rsid w:val="007D329A"/>
    <w:rsid w:val="007D40B1"/>
    <w:rsid w:val="007D41E3"/>
    <w:rsid w:val="007D46FA"/>
    <w:rsid w:val="007E15C8"/>
    <w:rsid w:val="007E4B50"/>
    <w:rsid w:val="007F4BF2"/>
    <w:rsid w:val="007F4C22"/>
    <w:rsid w:val="0080327A"/>
    <w:rsid w:val="00805CEB"/>
    <w:rsid w:val="008157FD"/>
    <w:rsid w:val="00817C1B"/>
    <w:rsid w:val="0082176D"/>
    <w:rsid w:val="00850041"/>
    <w:rsid w:val="0086211E"/>
    <w:rsid w:val="008622E1"/>
    <w:rsid w:val="00865A16"/>
    <w:rsid w:val="008911CD"/>
    <w:rsid w:val="008A1CE8"/>
    <w:rsid w:val="008A5122"/>
    <w:rsid w:val="008B0C14"/>
    <w:rsid w:val="008B6FAD"/>
    <w:rsid w:val="008C000B"/>
    <w:rsid w:val="008E15AF"/>
    <w:rsid w:val="008E24C9"/>
    <w:rsid w:val="008E2E9A"/>
    <w:rsid w:val="00902118"/>
    <w:rsid w:val="00902175"/>
    <w:rsid w:val="00904E15"/>
    <w:rsid w:val="00911AC4"/>
    <w:rsid w:val="0091561D"/>
    <w:rsid w:val="00915EE0"/>
    <w:rsid w:val="00927E2A"/>
    <w:rsid w:val="00930A5C"/>
    <w:rsid w:val="00930D3F"/>
    <w:rsid w:val="00936932"/>
    <w:rsid w:val="00937132"/>
    <w:rsid w:val="00943B15"/>
    <w:rsid w:val="00957048"/>
    <w:rsid w:val="00961DE2"/>
    <w:rsid w:val="009641F9"/>
    <w:rsid w:val="009717D7"/>
    <w:rsid w:val="00976EE8"/>
    <w:rsid w:val="009824FC"/>
    <w:rsid w:val="0098418F"/>
    <w:rsid w:val="00995897"/>
    <w:rsid w:val="00996692"/>
    <w:rsid w:val="009A0357"/>
    <w:rsid w:val="009A2EBE"/>
    <w:rsid w:val="009A3DA6"/>
    <w:rsid w:val="009A4F07"/>
    <w:rsid w:val="009B2B78"/>
    <w:rsid w:val="009B3C28"/>
    <w:rsid w:val="009B65EE"/>
    <w:rsid w:val="009B7419"/>
    <w:rsid w:val="009C2B83"/>
    <w:rsid w:val="009C54DD"/>
    <w:rsid w:val="009D0F42"/>
    <w:rsid w:val="009E1DE1"/>
    <w:rsid w:val="009F5E60"/>
    <w:rsid w:val="009F6E4D"/>
    <w:rsid w:val="00A03916"/>
    <w:rsid w:val="00A138A2"/>
    <w:rsid w:val="00A20B95"/>
    <w:rsid w:val="00A213B2"/>
    <w:rsid w:val="00A21C91"/>
    <w:rsid w:val="00A25594"/>
    <w:rsid w:val="00A25C51"/>
    <w:rsid w:val="00A26E58"/>
    <w:rsid w:val="00A34CAD"/>
    <w:rsid w:val="00A361F4"/>
    <w:rsid w:val="00A53684"/>
    <w:rsid w:val="00A5479B"/>
    <w:rsid w:val="00A54D74"/>
    <w:rsid w:val="00A57EA9"/>
    <w:rsid w:val="00A61E83"/>
    <w:rsid w:val="00A63AFF"/>
    <w:rsid w:val="00A8673D"/>
    <w:rsid w:val="00A86EB0"/>
    <w:rsid w:val="00A90A5C"/>
    <w:rsid w:val="00A92322"/>
    <w:rsid w:val="00A95F11"/>
    <w:rsid w:val="00AC0597"/>
    <w:rsid w:val="00AC5A11"/>
    <w:rsid w:val="00AD5949"/>
    <w:rsid w:val="00AD6093"/>
    <w:rsid w:val="00AD6204"/>
    <w:rsid w:val="00AE3465"/>
    <w:rsid w:val="00AE5385"/>
    <w:rsid w:val="00AF3AB0"/>
    <w:rsid w:val="00B0098D"/>
    <w:rsid w:val="00B02124"/>
    <w:rsid w:val="00B04C2D"/>
    <w:rsid w:val="00B12043"/>
    <w:rsid w:val="00B12822"/>
    <w:rsid w:val="00B13488"/>
    <w:rsid w:val="00B14EB4"/>
    <w:rsid w:val="00B17B2E"/>
    <w:rsid w:val="00B32723"/>
    <w:rsid w:val="00B36C7B"/>
    <w:rsid w:val="00B4067E"/>
    <w:rsid w:val="00B45902"/>
    <w:rsid w:val="00B51D9C"/>
    <w:rsid w:val="00B562F5"/>
    <w:rsid w:val="00B61737"/>
    <w:rsid w:val="00B82D9B"/>
    <w:rsid w:val="00BB1AC3"/>
    <w:rsid w:val="00BB66E6"/>
    <w:rsid w:val="00BC2756"/>
    <w:rsid w:val="00BC7298"/>
    <w:rsid w:val="00BD7393"/>
    <w:rsid w:val="00BE4E4F"/>
    <w:rsid w:val="00BF2A56"/>
    <w:rsid w:val="00BF7BB1"/>
    <w:rsid w:val="00C00B01"/>
    <w:rsid w:val="00C05004"/>
    <w:rsid w:val="00C114A1"/>
    <w:rsid w:val="00C1460F"/>
    <w:rsid w:val="00C32917"/>
    <w:rsid w:val="00C353B9"/>
    <w:rsid w:val="00C36519"/>
    <w:rsid w:val="00C52A00"/>
    <w:rsid w:val="00C6251B"/>
    <w:rsid w:val="00C707D0"/>
    <w:rsid w:val="00C82E68"/>
    <w:rsid w:val="00C8324C"/>
    <w:rsid w:val="00C8397A"/>
    <w:rsid w:val="00C85E2C"/>
    <w:rsid w:val="00C8731D"/>
    <w:rsid w:val="00C911AB"/>
    <w:rsid w:val="00C9203C"/>
    <w:rsid w:val="00C92AE4"/>
    <w:rsid w:val="00C9466D"/>
    <w:rsid w:val="00C955E7"/>
    <w:rsid w:val="00CA5CDE"/>
    <w:rsid w:val="00CC7DF7"/>
    <w:rsid w:val="00CE160C"/>
    <w:rsid w:val="00CE36FA"/>
    <w:rsid w:val="00CE41C0"/>
    <w:rsid w:val="00CE4A17"/>
    <w:rsid w:val="00CE5A0F"/>
    <w:rsid w:val="00CF13EB"/>
    <w:rsid w:val="00CF69B5"/>
    <w:rsid w:val="00D061A1"/>
    <w:rsid w:val="00D066F9"/>
    <w:rsid w:val="00D11E00"/>
    <w:rsid w:val="00D16F17"/>
    <w:rsid w:val="00D25650"/>
    <w:rsid w:val="00D31C2A"/>
    <w:rsid w:val="00D34F96"/>
    <w:rsid w:val="00D66592"/>
    <w:rsid w:val="00D7030D"/>
    <w:rsid w:val="00D805A6"/>
    <w:rsid w:val="00D959F3"/>
    <w:rsid w:val="00DA6746"/>
    <w:rsid w:val="00DB4905"/>
    <w:rsid w:val="00DB780B"/>
    <w:rsid w:val="00DC11F7"/>
    <w:rsid w:val="00DC3756"/>
    <w:rsid w:val="00DD5477"/>
    <w:rsid w:val="00DE2B0C"/>
    <w:rsid w:val="00DF547B"/>
    <w:rsid w:val="00E05DE2"/>
    <w:rsid w:val="00E065AF"/>
    <w:rsid w:val="00E16AEB"/>
    <w:rsid w:val="00E21490"/>
    <w:rsid w:val="00E23A0D"/>
    <w:rsid w:val="00E3139D"/>
    <w:rsid w:val="00E36159"/>
    <w:rsid w:val="00E364FE"/>
    <w:rsid w:val="00E37CD3"/>
    <w:rsid w:val="00E4472E"/>
    <w:rsid w:val="00E4683A"/>
    <w:rsid w:val="00E509DB"/>
    <w:rsid w:val="00E51DC9"/>
    <w:rsid w:val="00E534D1"/>
    <w:rsid w:val="00E55A9B"/>
    <w:rsid w:val="00E56423"/>
    <w:rsid w:val="00E718B1"/>
    <w:rsid w:val="00E932AA"/>
    <w:rsid w:val="00EA4091"/>
    <w:rsid w:val="00EB007E"/>
    <w:rsid w:val="00EB6916"/>
    <w:rsid w:val="00EC29A1"/>
    <w:rsid w:val="00ED49A4"/>
    <w:rsid w:val="00ED6871"/>
    <w:rsid w:val="00EE3535"/>
    <w:rsid w:val="00EE67EB"/>
    <w:rsid w:val="00EF13A7"/>
    <w:rsid w:val="00EF1D33"/>
    <w:rsid w:val="00EF5C77"/>
    <w:rsid w:val="00F07678"/>
    <w:rsid w:val="00F13B5E"/>
    <w:rsid w:val="00F16200"/>
    <w:rsid w:val="00F218FF"/>
    <w:rsid w:val="00F23CA3"/>
    <w:rsid w:val="00F27C1A"/>
    <w:rsid w:val="00F315C9"/>
    <w:rsid w:val="00F330B0"/>
    <w:rsid w:val="00F36E09"/>
    <w:rsid w:val="00F46B05"/>
    <w:rsid w:val="00F54298"/>
    <w:rsid w:val="00F54F45"/>
    <w:rsid w:val="00F62D79"/>
    <w:rsid w:val="00F641B9"/>
    <w:rsid w:val="00F7275A"/>
    <w:rsid w:val="00F734C6"/>
    <w:rsid w:val="00F745EC"/>
    <w:rsid w:val="00F81267"/>
    <w:rsid w:val="00F83DC4"/>
    <w:rsid w:val="00F92755"/>
    <w:rsid w:val="00FA0258"/>
    <w:rsid w:val="00FB3CE5"/>
    <w:rsid w:val="00FB4676"/>
    <w:rsid w:val="00FC4524"/>
    <w:rsid w:val="00FD5F6B"/>
    <w:rsid w:val="00FE407E"/>
    <w:rsid w:val="00FE7F07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CFF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D0B"/>
    <w:pPr>
      <w:spacing w:after="200" w:line="288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961DE2"/>
    <w:pPr>
      <w:keepNext/>
      <w:keepLines/>
      <w:spacing w:before="120" w:line="240" w:lineRule="auto"/>
      <w:outlineLvl w:val="0"/>
    </w:pPr>
    <w:rPr>
      <w:rFonts w:eastAsiaTheme="majorEastAsia" w:cstheme="majorBidi"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961DE2"/>
    <w:pPr>
      <w:keepNext/>
      <w:keepLines/>
      <w:spacing w:before="40" w:line="240" w:lineRule="auto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904E15"/>
    <w:pPr>
      <w:keepNext/>
      <w:keepLines/>
      <w:spacing w:before="40" w:line="240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EBE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756"/>
  </w:style>
  <w:style w:type="paragraph" w:styleId="Footer">
    <w:name w:val="footer"/>
    <w:basedOn w:val="Normal"/>
    <w:link w:val="FooterChar"/>
    <w:uiPriority w:val="99"/>
    <w:unhideWhenUsed/>
    <w:rsid w:val="00BC2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756"/>
  </w:style>
  <w:style w:type="character" w:styleId="PageNumber">
    <w:name w:val="page number"/>
    <w:basedOn w:val="DefaultParagraphFont"/>
    <w:uiPriority w:val="99"/>
    <w:semiHidden/>
    <w:unhideWhenUsed/>
    <w:rsid w:val="00BC2756"/>
  </w:style>
  <w:style w:type="character" w:customStyle="1" w:styleId="Heading1Char">
    <w:name w:val="Heading 1 Char"/>
    <w:basedOn w:val="DefaultParagraphFont"/>
    <w:link w:val="Heading1"/>
    <w:uiPriority w:val="2"/>
    <w:rsid w:val="007F4C22"/>
    <w:rPr>
      <w:rFonts w:ascii="Arial" w:eastAsiaTheme="majorEastAsia" w:hAnsi="Arial" w:cstheme="majorBidi"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F4C22"/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Title">
    <w:name w:val="Title"/>
    <w:aliases w:val="Main title"/>
    <w:basedOn w:val="Normal"/>
    <w:next w:val="Normal"/>
    <w:link w:val="TitleChar"/>
    <w:uiPriority w:val="10"/>
    <w:qFormat/>
    <w:rsid w:val="00904E15"/>
    <w:pPr>
      <w:contextualSpacing/>
    </w:pPr>
    <w:rPr>
      <w:rFonts w:eastAsiaTheme="majorEastAsia" w:cstheme="majorBidi"/>
      <w:spacing w:val="-10"/>
      <w:kern w:val="28"/>
      <w:sz w:val="96"/>
      <w:szCs w:val="56"/>
    </w:rPr>
  </w:style>
  <w:style w:type="character" w:customStyle="1" w:styleId="TitleChar">
    <w:name w:val="Title Char"/>
    <w:aliases w:val="Main title Char"/>
    <w:basedOn w:val="DefaultParagraphFont"/>
    <w:link w:val="Title"/>
    <w:uiPriority w:val="10"/>
    <w:rsid w:val="00904E15"/>
    <w:rPr>
      <w:rFonts w:ascii="Arial" w:eastAsiaTheme="majorEastAsia" w:hAnsi="Arial" w:cstheme="majorBidi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07A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07AFE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007AFE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07AFE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007AFE"/>
    <w:rPr>
      <w:rFonts w:ascii="Arial" w:hAnsi="Arial"/>
      <w:i/>
      <w:iCs/>
      <w:color w:val="000000" w:themeColor="text1"/>
    </w:rPr>
  </w:style>
  <w:style w:type="character" w:styleId="Strong">
    <w:name w:val="Strong"/>
    <w:basedOn w:val="DefaultParagraphFont"/>
    <w:uiPriority w:val="22"/>
    <w:rsid w:val="00007AFE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007AF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AFE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007AFE"/>
    <w:pPr>
      <w:pBdr>
        <w:top w:val="single" w:sz="4" w:space="10" w:color="FFD400" w:themeColor="accent1"/>
        <w:bottom w:val="single" w:sz="4" w:space="10" w:color="FFD400" w:themeColor="accent1"/>
      </w:pBdr>
      <w:spacing w:before="360" w:after="360"/>
      <w:ind w:left="862" w:right="862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AFE"/>
    <w:rPr>
      <w:rFonts w:ascii="Arial" w:hAnsi="Arial"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rsid w:val="00007AFE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007AFE"/>
    <w:rPr>
      <w:rFonts w:ascii="Arial" w:hAnsi="Arial"/>
      <w:b/>
      <w:bCs/>
      <w:smallCaps/>
      <w:color w:val="auto"/>
      <w:spacing w:val="5"/>
    </w:rPr>
  </w:style>
  <w:style w:type="paragraph" w:customStyle="1" w:styleId="Tablebullets1stlevel">
    <w:name w:val="Table bullets 1st level"/>
    <w:basedOn w:val="NoSpacing"/>
    <w:link w:val="Tablebullets1stlevelChar"/>
    <w:uiPriority w:val="5"/>
    <w:rsid w:val="00360D0B"/>
    <w:pPr>
      <w:numPr>
        <w:numId w:val="4"/>
      </w:numPr>
      <w:ind w:left="454" w:hanging="227"/>
    </w:pPr>
  </w:style>
  <w:style w:type="character" w:customStyle="1" w:styleId="Heading3Char">
    <w:name w:val="Heading 3 Char"/>
    <w:basedOn w:val="DefaultParagraphFont"/>
    <w:link w:val="Heading3"/>
    <w:uiPriority w:val="2"/>
    <w:rsid w:val="007F4C22"/>
    <w:rPr>
      <w:rFonts w:ascii="Arial" w:eastAsiaTheme="majorEastAsia" w:hAnsi="Arial" w:cstheme="majorBidi"/>
      <w:b/>
      <w:color w:val="000000" w:themeColor="text1"/>
      <w:sz w:val="20"/>
    </w:rPr>
  </w:style>
  <w:style w:type="paragraph" w:styleId="NoSpacing">
    <w:name w:val="No Spacing"/>
    <w:aliases w:val="Table text"/>
    <w:link w:val="NoSpacingChar"/>
    <w:uiPriority w:val="4"/>
    <w:qFormat/>
    <w:rsid w:val="00904E15"/>
    <w:rPr>
      <w:rFonts w:ascii="Arial" w:eastAsiaTheme="minorEastAsia" w:hAnsi="Arial"/>
      <w:sz w:val="20"/>
      <w:szCs w:val="22"/>
      <w:lang w:eastAsia="zh-CN"/>
    </w:rPr>
  </w:style>
  <w:style w:type="character" w:customStyle="1" w:styleId="NoSpacingChar">
    <w:name w:val="No Spacing Char"/>
    <w:aliases w:val="Table text Char"/>
    <w:basedOn w:val="DefaultParagraphFont"/>
    <w:link w:val="NoSpacing"/>
    <w:uiPriority w:val="4"/>
    <w:rsid w:val="00360D0B"/>
    <w:rPr>
      <w:rFonts w:ascii="Arial" w:eastAsiaTheme="minorEastAsia" w:hAnsi="Arial"/>
      <w:sz w:val="20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EBE"/>
    <w:rPr>
      <w:rFonts w:ascii="Arial" w:eastAsiaTheme="majorEastAsia" w:hAnsi="Arial" w:cstheme="majorBidi"/>
      <w:i/>
      <w:iCs/>
      <w:color w:val="000000" w:themeColor="text1"/>
    </w:rPr>
  </w:style>
  <w:style w:type="paragraph" w:styleId="ListParagraph">
    <w:name w:val="List Paragraph"/>
    <w:aliases w:val="Bullets 1,List Paragraph Red,Bullet EY,Buletai,List Paragraph21,List Paragraph1,List Paragraph2,lp1,Bullet 1,Use Case List Paragraph,Numbering,ERP-List Paragraph,List Paragraph11,List Paragraph111,Paragraph,List not in Table,Numbered List"/>
    <w:basedOn w:val="Normal"/>
    <w:link w:val="ListParagraphChar"/>
    <w:uiPriority w:val="34"/>
    <w:qFormat/>
    <w:rsid w:val="00904E15"/>
    <w:pPr>
      <w:numPr>
        <w:numId w:val="1"/>
      </w:numPr>
      <w:spacing w:before="120" w:after="120" w:line="240" w:lineRule="auto"/>
      <w:ind w:left="680" w:hanging="340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4B7C09"/>
    <w:rPr>
      <w:color w:val="000000" w:themeColor="text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7C09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1559ED"/>
    <w:rPr>
      <w:rFonts w:ascii="Arial" w:hAnsi="Arial"/>
      <w:color w:val="000000" w:themeColor="text1"/>
      <w:vertAlign w:val="superscript"/>
    </w:rPr>
  </w:style>
  <w:style w:type="paragraph" w:customStyle="1" w:styleId="Link">
    <w:name w:val="Link"/>
    <w:basedOn w:val="FootnoteText"/>
    <w:next w:val="Normal"/>
    <w:uiPriority w:val="9"/>
    <w:qFormat/>
    <w:rsid w:val="002F304F"/>
    <w:rPr>
      <w:rFonts w:cs="Times New Roman"/>
      <w:color w:val="189045"/>
      <w:u w:val="single"/>
    </w:rPr>
  </w:style>
  <w:style w:type="table" w:styleId="TableGrid">
    <w:name w:val="Table Grid"/>
    <w:basedOn w:val="TableNormal"/>
    <w:uiPriority w:val="39"/>
    <w:rsid w:val="00A21C91"/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</w:style>
  <w:style w:type="table" w:customStyle="1" w:styleId="ILtable1">
    <w:name w:val="IL table 1"/>
    <w:basedOn w:val="TableNormal"/>
    <w:uiPriority w:val="99"/>
    <w:rsid w:val="003F4649"/>
    <w:rPr>
      <w:rFonts w:ascii="Arial" w:hAnsi="Arial"/>
      <w:sz w:val="20"/>
    </w:rPr>
    <w:tblPr>
      <w:tblBorders>
        <w:insideH w:val="single" w:sz="6" w:space="0" w:color="FFFFFF" w:themeColor="background1"/>
        <w:insideV w:val="single" w:sz="6" w:space="0" w:color="FFFFFF" w:themeColor="background1"/>
      </w:tblBorders>
      <w:tblCellMar>
        <w:top w:w="142" w:type="dxa"/>
        <w:left w:w="170" w:type="dxa"/>
        <w:bottom w:w="142" w:type="dxa"/>
        <w:right w:w="170" w:type="dxa"/>
      </w:tblCellMar>
    </w:tblPr>
    <w:tcPr>
      <w:shd w:val="clear" w:color="auto" w:fill="E6E7E8"/>
    </w:tcPr>
    <w:tblStylePr w:type="firstRow">
      <w:pPr>
        <w:jc w:val="left"/>
      </w:pPr>
      <w:rPr>
        <w:rFonts w:ascii="Arial" w:hAnsi="Arial"/>
        <w:b/>
        <w:color w:val="000000" w:themeColor="tex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A5CDE1"/>
      </w:tcPr>
    </w:tblStylePr>
    <w:tblStylePr w:type="lastRow">
      <w:pPr>
        <w:jc w:val="left"/>
      </w:pPr>
      <w:rPr>
        <w:rFonts w:ascii="Arial" w:hAnsi="Arial"/>
        <w:color w:val="000000" w:themeColor="text1"/>
        <w:sz w:val="24"/>
      </w:rPr>
      <w:tblPr/>
      <w:tcPr>
        <w:shd w:val="clear" w:color="auto" w:fill="E6E7E8"/>
      </w:tcPr>
    </w:tblStylePr>
    <w:tblStylePr w:type="lastCol">
      <w:rPr>
        <w:rFonts w:ascii="Arial" w:hAnsi="Arial"/>
        <w:sz w:val="24"/>
      </w:rPr>
    </w:tblStylePr>
  </w:style>
  <w:style w:type="table" w:customStyle="1" w:styleId="ILtable2">
    <w:name w:val="IL table 2"/>
    <w:basedOn w:val="TableNormal"/>
    <w:uiPriority w:val="99"/>
    <w:rsid w:val="003F4649"/>
    <w:rPr>
      <w:rFonts w:ascii="Arial" w:hAnsi="Arial"/>
      <w:color w:val="000000" w:themeColor="text1"/>
      <w:sz w:val="20"/>
    </w:rPr>
    <w:tblPr>
      <w:tblBorders>
        <w:bottom w:val="single" w:sz="4" w:space="0" w:color="000000" w:themeColor="text1"/>
        <w:insideH w:val="single" w:sz="4" w:space="0" w:color="000000" w:themeColor="text1"/>
      </w:tblBorders>
      <w:tblCellMar>
        <w:top w:w="170" w:type="dxa"/>
        <w:left w:w="142" w:type="dxa"/>
        <w:bottom w:w="170" w:type="dxa"/>
        <w:right w:w="142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2"/>
          <w:tl2br w:val="nil"/>
          <w:tr2bl w:val="nil"/>
        </w:tcBorders>
        <w:shd w:val="clear" w:color="auto" w:fill="FFD400"/>
      </w:tcPr>
    </w:tblStylePr>
    <w:tblStylePr w:type="lastRow">
      <w:rPr>
        <w:rFonts w:ascii="Arial" w:hAnsi="Arial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IVStyle3">
    <w:name w:val="IV Style3"/>
    <w:basedOn w:val="TableNormal"/>
    <w:uiPriority w:val="99"/>
    <w:rsid w:val="005C6324"/>
    <w:rPr>
      <w:rFonts w:ascii="Arial" w:hAnsi="Arial"/>
    </w:rPr>
    <w:tblPr>
      <w:tblCellMar>
        <w:top w:w="142" w:type="dxa"/>
        <w:left w:w="170" w:type="dxa"/>
        <w:bottom w:w="142" w:type="dxa"/>
        <w:right w:w="170" w:type="dxa"/>
      </w:tblCellMar>
    </w:tblPr>
    <w:tblStylePr w:type="firstRow">
      <w:rPr>
        <w:rFonts w:ascii="Arial" w:hAnsi="Arial"/>
        <w:b/>
        <w:color w:val="000000" w:themeColor="text1"/>
        <w:sz w:val="24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904AD"/>
    <w:rPr>
      <w:color w:val="19523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AD"/>
    <w:rPr>
      <w:color w:val="605E5C"/>
      <w:shd w:val="clear" w:color="auto" w:fill="E1DFDD"/>
    </w:rPr>
  </w:style>
  <w:style w:type="paragraph" w:customStyle="1" w:styleId="Bullets1stlevel">
    <w:name w:val="Bullets 1st level"/>
    <w:basedOn w:val="ListParagraph"/>
    <w:link w:val="Bullets1stlevelChar"/>
    <w:uiPriority w:val="3"/>
    <w:qFormat/>
    <w:rsid w:val="00ED49A4"/>
    <w:pPr>
      <w:ind w:left="340" w:hanging="227"/>
    </w:pPr>
  </w:style>
  <w:style w:type="paragraph" w:customStyle="1" w:styleId="Bullets2ndlevel">
    <w:name w:val="Bullets 2nd level"/>
    <w:basedOn w:val="ListParagraph"/>
    <w:link w:val="Bullets2ndlevelChar"/>
    <w:uiPriority w:val="3"/>
    <w:qFormat/>
    <w:rsid w:val="00ED49A4"/>
    <w:pPr>
      <w:numPr>
        <w:ilvl w:val="1"/>
        <w:numId w:val="2"/>
      </w:numPr>
      <w:ind w:left="567" w:hanging="227"/>
    </w:pPr>
  </w:style>
  <w:style w:type="character" w:customStyle="1" w:styleId="ListParagraphChar">
    <w:name w:val="List Paragraph Char"/>
    <w:aliases w:val="Bullets 1 Char,List Paragraph Red Char,Bullet EY Char,Buletai Char,List Paragraph21 Char,List Paragraph1 Char,List Paragraph2 Char,lp1 Char,Bullet 1 Char,Use Case List Paragraph Char,Numbering Char,ERP-List Paragraph Char"/>
    <w:basedOn w:val="DefaultParagraphFont"/>
    <w:link w:val="ListParagraph"/>
    <w:uiPriority w:val="34"/>
    <w:qFormat/>
    <w:rsid w:val="00ED49A4"/>
    <w:rPr>
      <w:rFonts w:ascii="Arial" w:hAnsi="Arial"/>
      <w:sz w:val="20"/>
    </w:rPr>
  </w:style>
  <w:style w:type="character" w:customStyle="1" w:styleId="Bullets1stlevelChar">
    <w:name w:val="Bullets 1st level Char"/>
    <w:basedOn w:val="ListParagraphChar"/>
    <w:link w:val="Bullets1stlevel"/>
    <w:uiPriority w:val="3"/>
    <w:rsid w:val="007F4C22"/>
    <w:rPr>
      <w:rFonts w:ascii="Arial" w:hAnsi="Arial"/>
      <w:sz w:val="20"/>
    </w:rPr>
  </w:style>
  <w:style w:type="paragraph" w:customStyle="1" w:styleId="Bullets3rdlevel">
    <w:name w:val="Bullets 3rd level"/>
    <w:basedOn w:val="ListParagraph"/>
    <w:link w:val="Bullets3rdlevelChar"/>
    <w:uiPriority w:val="3"/>
    <w:qFormat/>
    <w:rsid w:val="00ED49A4"/>
    <w:pPr>
      <w:numPr>
        <w:ilvl w:val="2"/>
        <w:numId w:val="2"/>
      </w:numPr>
      <w:ind w:left="794" w:hanging="227"/>
    </w:pPr>
  </w:style>
  <w:style w:type="character" w:customStyle="1" w:styleId="Bullets2ndlevelChar">
    <w:name w:val="Bullets 2nd level Char"/>
    <w:basedOn w:val="ListParagraphChar"/>
    <w:link w:val="Bullets2ndlevel"/>
    <w:uiPriority w:val="3"/>
    <w:rsid w:val="007F4C22"/>
    <w:rPr>
      <w:rFonts w:ascii="Arial" w:hAnsi="Arial"/>
      <w:sz w:val="20"/>
    </w:rPr>
  </w:style>
  <w:style w:type="paragraph" w:customStyle="1" w:styleId="Bullets4thlevel">
    <w:name w:val="Bullets 4th level"/>
    <w:basedOn w:val="Bullets3rdlevel"/>
    <w:link w:val="Bullets4thlevelChar"/>
    <w:uiPriority w:val="3"/>
    <w:qFormat/>
    <w:rsid w:val="00D34F96"/>
    <w:pPr>
      <w:numPr>
        <w:numId w:val="3"/>
      </w:numPr>
      <w:ind w:left="1021" w:hanging="227"/>
    </w:pPr>
  </w:style>
  <w:style w:type="character" w:customStyle="1" w:styleId="Bullets3rdlevelChar">
    <w:name w:val="Bullets 3rd level Char"/>
    <w:basedOn w:val="ListParagraphChar"/>
    <w:link w:val="Bullets3rdlevel"/>
    <w:uiPriority w:val="3"/>
    <w:rsid w:val="007F4C22"/>
    <w:rPr>
      <w:rFonts w:ascii="Arial" w:hAnsi="Arial"/>
      <w:sz w:val="20"/>
    </w:rPr>
  </w:style>
  <w:style w:type="paragraph" w:customStyle="1" w:styleId="Tablebullets1stlevel0">
    <w:name w:val="Table_bullets 1st level"/>
    <w:basedOn w:val="Bullets1stlevel"/>
    <w:link w:val="Tablebullets1stlevelChar0"/>
    <w:uiPriority w:val="5"/>
    <w:qFormat/>
    <w:rsid w:val="00360D0B"/>
    <w:pPr>
      <w:spacing w:before="0" w:after="0"/>
    </w:pPr>
  </w:style>
  <w:style w:type="character" w:customStyle="1" w:styleId="Bullets4thlevelChar">
    <w:name w:val="Bullets 4th level Char"/>
    <w:basedOn w:val="Bullets3rdlevelChar"/>
    <w:link w:val="Bullets4thlevel"/>
    <w:uiPriority w:val="3"/>
    <w:rsid w:val="007F4C22"/>
    <w:rPr>
      <w:rFonts w:ascii="Arial" w:hAnsi="Arial"/>
      <w:sz w:val="20"/>
    </w:rPr>
  </w:style>
  <w:style w:type="character" w:customStyle="1" w:styleId="Tablebullets1stlevelChar">
    <w:name w:val="Table bullets 1st level Char"/>
    <w:basedOn w:val="NoSpacingChar"/>
    <w:link w:val="Tablebullets1stlevel"/>
    <w:uiPriority w:val="5"/>
    <w:rsid w:val="00360D0B"/>
    <w:rPr>
      <w:rFonts w:ascii="Arial" w:eastAsiaTheme="minorEastAsia" w:hAnsi="Arial"/>
      <w:sz w:val="20"/>
      <w:szCs w:val="22"/>
      <w:lang w:eastAsia="zh-CN"/>
    </w:rPr>
  </w:style>
  <w:style w:type="paragraph" w:customStyle="1" w:styleId="Tablebullets2ndlevel">
    <w:name w:val="Table_bullets 2nd level"/>
    <w:basedOn w:val="Bullets2ndlevel"/>
    <w:link w:val="Tablebullets2ndlevelChar"/>
    <w:uiPriority w:val="5"/>
    <w:qFormat/>
    <w:rsid w:val="00360D0B"/>
    <w:pPr>
      <w:spacing w:before="0" w:after="0"/>
    </w:pPr>
  </w:style>
  <w:style w:type="character" w:customStyle="1" w:styleId="Tablebullets1stlevelChar0">
    <w:name w:val="Table_bullets 1st level Char"/>
    <w:basedOn w:val="Bullets1stlevelChar"/>
    <w:link w:val="Tablebullets1stlevel0"/>
    <w:uiPriority w:val="5"/>
    <w:rsid w:val="00360D0B"/>
    <w:rPr>
      <w:rFonts w:ascii="Arial" w:hAnsi="Arial"/>
      <w:sz w:val="20"/>
    </w:rPr>
  </w:style>
  <w:style w:type="paragraph" w:customStyle="1" w:styleId="Tablebullets3rdlevel">
    <w:name w:val="Table_bullets 3rd level"/>
    <w:basedOn w:val="Bullets3rdlevel"/>
    <w:link w:val="Tablebullets3rdlevelChar"/>
    <w:uiPriority w:val="5"/>
    <w:qFormat/>
    <w:rsid w:val="00360D0B"/>
    <w:pPr>
      <w:spacing w:before="0" w:after="0"/>
    </w:pPr>
  </w:style>
  <w:style w:type="character" w:customStyle="1" w:styleId="Tablebullets2ndlevelChar">
    <w:name w:val="Table_bullets 2nd level Char"/>
    <w:basedOn w:val="Bullets2ndlevelChar"/>
    <w:link w:val="Tablebullets2ndlevel"/>
    <w:uiPriority w:val="5"/>
    <w:rsid w:val="00360D0B"/>
    <w:rPr>
      <w:rFonts w:ascii="Arial" w:hAnsi="Arial"/>
      <w:sz w:val="20"/>
    </w:rPr>
  </w:style>
  <w:style w:type="paragraph" w:customStyle="1" w:styleId="Tablebullets4thlevel">
    <w:name w:val="Table_bullets 4th level"/>
    <w:basedOn w:val="Bullets4thlevel"/>
    <w:link w:val="Tablebullets4thlevelChar"/>
    <w:uiPriority w:val="5"/>
    <w:qFormat/>
    <w:rsid w:val="00360D0B"/>
    <w:pPr>
      <w:spacing w:before="0" w:after="0"/>
    </w:pPr>
  </w:style>
  <w:style w:type="character" w:customStyle="1" w:styleId="Tablebullets3rdlevelChar">
    <w:name w:val="Table_bullets 3rd level Char"/>
    <w:basedOn w:val="Bullets3rdlevelChar"/>
    <w:link w:val="Tablebullets3rdlevel"/>
    <w:uiPriority w:val="5"/>
    <w:rsid w:val="00360D0B"/>
    <w:rPr>
      <w:rFonts w:ascii="Arial" w:hAnsi="Arial"/>
      <w:sz w:val="20"/>
    </w:rPr>
  </w:style>
  <w:style w:type="character" w:customStyle="1" w:styleId="Tablebullets4thlevelChar">
    <w:name w:val="Table_bullets 4th level Char"/>
    <w:basedOn w:val="Bullets4thlevelChar"/>
    <w:link w:val="Tablebullets4thlevel"/>
    <w:uiPriority w:val="5"/>
    <w:rsid w:val="00360D0B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7B5289"/>
    <w:pPr>
      <w:spacing w:after="150" w:line="240" w:lineRule="auto"/>
    </w:pPr>
    <w:rPr>
      <w:rFonts w:ascii="Times New Roman" w:eastAsia="Times New Roman" w:hAnsi="Times New Roman" w:cs="Times New Roman"/>
      <w:sz w:val="24"/>
      <w:lang w:eastAsia="lt-LT"/>
    </w:rPr>
  </w:style>
  <w:style w:type="paragraph" w:customStyle="1" w:styleId="BasicParagraph">
    <w:name w:val="[Basic Paragraph]"/>
    <w:basedOn w:val="Normal"/>
    <w:uiPriority w:val="99"/>
    <w:rsid w:val="001047D5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hyperlink" Target="mailto:info@investlithuania.com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hyperlink" Target="http://www.investlithuania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Invest Lithuania NEW">
      <a:dk1>
        <a:sysClr val="windowText" lastClr="000000"/>
      </a:dk1>
      <a:lt1>
        <a:sysClr val="window" lastClr="FFFFFF"/>
      </a:lt1>
      <a:dk2>
        <a:srgbClr val="195236"/>
      </a:dk2>
      <a:lt2>
        <a:srgbClr val="FFFFFF"/>
      </a:lt2>
      <a:accent1>
        <a:srgbClr val="FFD400"/>
      </a:accent1>
      <a:accent2>
        <a:srgbClr val="A7BE39"/>
      </a:accent2>
      <a:accent3>
        <a:srgbClr val="A5CDE1"/>
      </a:accent3>
      <a:accent4>
        <a:srgbClr val="E6E7E8"/>
      </a:accent4>
      <a:accent5>
        <a:srgbClr val="188F45"/>
      </a:accent5>
      <a:accent6>
        <a:srgbClr val="195236"/>
      </a:accent6>
      <a:hlink>
        <a:srgbClr val="195236"/>
      </a:hlink>
      <a:folHlink>
        <a:srgbClr val="195236"/>
      </a:folHlink>
    </a:clrScheme>
    <a:fontScheme name="Invest Lithuania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TaxCatchAll xmlns="d3af9b07-c653-4cdf-8f3d-79320ee70a57" xsi:nil="true"/>
    <SharedWithUsers xmlns="d3af9b07-c653-4cdf-8f3d-79320ee70a5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0" ma:contentTypeDescription="Kurkite naują dokumentą." ma:contentTypeScope="" ma:versionID="009f5118a44526742081ee2e90fce271">
  <xsd:schema xmlns:xsd="http://www.w3.org/2001/XMLSchema" xmlns:xs="http://www.w3.org/2001/XMLSchema" xmlns:p="http://schemas.microsoft.com/office/2006/metadata/properties" xmlns:ns2="55c444e1-9f1d-412a-b8d4-ee3c6c7cd61f" xmlns:ns3="d3af9b07-c653-4cdf-8f3d-79320ee70a57" targetNamespace="http://schemas.microsoft.com/office/2006/metadata/properties" ma:root="true" ma:fieldsID="2f399a7c075b6fca3717895676631be7" ns2:_="" ns3:_=""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1FE3D-A087-46BF-A1A4-F030A53A6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2B1EF-19E4-425C-A822-44F3F8AA6FF0}">
  <ds:schemaRefs>
    <ds:schemaRef ds:uri="http://schemas.microsoft.com/office/2006/metadata/properties"/>
    <ds:schemaRef ds:uri="http://schemas.microsoft.com/office/infopath/2007/PartnerControls"/>
    <ds:schemaRef ds:uri="55c444e1-9f1d-412a-b8d4-ee3c6c7cd61f"/>
    <ds:schemaRef ds:uri="d3af9b07-c653-4cdf-8f3d-79320ee70a57"/>
  </ds:schemaRefs>
</ds:datastoreItem>
</file>

<file path=customXml/itemProps3.xml><?xml version="1.0" encoding="utf-8"?>
<ds:datastoreItem xmlns:ds="http://schemas.openxmlformats.org/officeDocument/2006/customXml" ds:itemID="{D16797A5-ABA5-4CF9-A5F1-C2B6F9B4E7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4B1B1-89B8-426B-89FD-297DC4AD5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2021-03-09T11:36:00Z</dcterms:created>
  <dcterms:modified xsi:type="dcterms:W3CDTF">2025-09-19T10:26:00Z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Order">
    <vt:r8>78400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