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EBCE" w14:textId="77777777" w:rsidR="00FD0B0A" w:rsidRPr="00FD5C92" w:rsidRDefault="00FD0B0A" w:rsidP="00FD0B0A">
      <w:pPr>
        <w:keepNext/>
        <w:keepLines/>
        <w:pBdr>
          <w:bottom w:val="single" w:sz="4" w:space="2" w:color="ED7D31" w:themeColor="accent2"/>
        </w:pBdr>
        <w:spacing w:before="360" w:after="120"/>
        <w:jc w:val="right"/>
        <w:outlineLvl w:val="0"/>
        <w:rPr>
          <w:rFonts w:eastAsiaTheme="majorEastAsia"/>
          <w:b/>
          <w:lang w:eastAsia="lt-LT"/>
        </w:rPr>
      </w:pPr>
      <w:bookmarkStart w:id="0" w:name="_Toc124404956"/>
      <w:r w:rsidRPr="00FD5C92">
        <w:rPr>
          <w:rFonts w:eastAsiaTheme="majorEastAsia"/>
          <w:b/>
          <w:lang w:eastAsia="lt-LT"/>
        </w:rPr>
        <w:t>Pirkimo sąlygų 2 priedas „Techninė specifikacija“</w:t>
      </w:r>
      <w:bookmarkEnd w:id="0"/>
    </w:p>
    <w:p w14:paraId="60C0AD2A" w14:textId="77777777" w:rsidR="006F2FE4" w:rsidRPr="00C02586" w:rsidRDefault="006F2FE4" w:rsidP="006F2FE4">
      <w:pPr>
        <w:jc w:val="right"/>
        <w:rPr>
          <w:b/>
        </w:rPr>
      </w:pPr>
    </w:p>
    <w:p w14:paraId="763822C7" w14:textId="49032A76" w:rsidR="00CD125F" w:rsidRPr="00C02586" w:rsidRDefault="00CD125F" w:rsidP="00CD125F">
      <w:pPr>
        <w:jc w:val="center"/>
        <w:rPr>
          <w:b/>
        </w:rPr>
      </w:pPr>
      <w:r w:rsidRPr="00C02586">
        <w:rPr>
          <w:b/>
        </w:rPr>
        <w:t xml:space="preserve">TECHNINĖ </w:t>
      </w:r>
      <w:r w:rsidR="000A56AF">
        <w:rPr>
          <w:b/>
        </w:rPr>
        <w:t>SPECIFIKACIJA</w:t>
      </w:r>
      <w:r w:rsidRPr="00C02586">
        <w:rPr>
          <w:b/>
        </w:rPr>
        <w:t xml:space="preserve"> DĖL </w:t>
      </w:r>
      <w:r w:rsidR="00AC59C6">
        <w:rPr>
          <w:b/>
        </w:rPr>
        <w:t>LIFE PROGRAMOS</w:t>
      </w:r>
      <w:r w:rsidRPr="00C02586">
        <w:rPr>
          <w:b/>
        </w:rPr>
        <w:t xml:space="preserve"> PROJEKTO TIKRIN</w:t>
      </w:r>
      <w:r w:rsidR="001A6C0B">
        <w:rPr>
          <w:b/>
        </w:rPr>
        <w:t xml:space="preserve">IMO </w:t>
      </w:r>
      <w:r w:rsidRPr="00C02586">
        <w:rPr>
          <w:b/>
        </w:rPr>
        <w:t>PASLAUGOS PIRKIMO</w:t>
      </w:r>
    </w:p>
    <w:p w14:paraId="763822C8" w14:textId="77777777" w:rsidR="00CD125F" w:rsidRPr="00C02586" w:rsidRDefault="00CD125F" w:rsidP="00CD125F">
      <w:pPr>
        <w:spacing w:line="360" w:lineRule="auto"/>
        <w:jc w:val="both"/>
        <w:rPr>
          <w:b/>
        </w:rPr>
      </w:pPr>
    </w:p>
    <w:p w14:paraId="7C39EFB4" w14:textId="2CFB17D7" w:rsidR="004F0ED9" w:rsidRPr="003C3253" w:rsidRDefault="00CD125F" w:rsidP="003731A8">
      <w:pPr>
        <w:numPr>
          <w:ilvl w:val="1"/>
          <w:numId w:val="1"/>
        </w:numPr>
        <w:spacing w:line="360" w:lineRule="auto"/>
        <w:ind w:firstLine="357"/>
        <w:jc w:val="both"/>
      </w:pPr>
      <w:r w:rsidRPr="003731A8">
        <w:t xml:space="preserve">1. </w:t>
      </w:r>
      <w:r w:rsidR="004F0ED9" w:rsidRPr="003731A8">
        <w:t xml:space="preserve">Techninė </w:t>
      </w:r>
      <w:r w:rsidR="000A56AF">
        <w:t xml:space="preserve">specifikacija </w:t>
      </w:r>
      <w:r w:rsidR="004F0ED9" w:rsidRPr="003731A8">
        <w:t xml:space="preserve">yra skirta atrinkti </w:t>
      </w:r>
      <w:r w:rsidR="00AC59C6">
        <w:t>LIFE</w:t>
      </w:r>
      <w:r w:rsidR="00E9555A">
        <w:rPr>
          <w:lang w:eastAsia="lt-LT"/>
        </w:rPr>
        <w:t xml:space="preserve"> </w:t>
      </w:r>
      <w:r w:rsidR="004F0ED9" w:rsidRPr="003731A8">
        <w:rPr>
          <w:lang w:eastAsia="lt-LT"/>
        </w:rPr>
        <w:t xml:space="preserve">programos </w:t>
      </w:r>
      <w:r w:rsidR="004F0ED9" w:rsidRPr="003731A8">
        <w:t>projekto ,,</w:t>
      </w:r>
      <w:r w:rsidR="00AC59C6" w:rsidRPr="00AC59C6">
        <w:rPr>
          <w:color w:val="000000"/>
          <w:szCs w:val="24"/>
        </w:rPr>
        <w:t>Cheminių medžiagų rizikos valdymas ir alternatyvų vertinimas: priemonės ir geriausia praktika, padedanti siekti žiediškumo, kurti tvaresnius produktus ir išvengti neefektyvaus pakeitimo</w:t>
      </w:r>
      <w:r w:rsidR="00AC59C6" w:rsidRPr="00AC59C6" w:rsidDel="00AC59C6">
        <w:rPr>
          <w:color w:val="000000"/>
          <w:szCs w:val="24"/>
        </w:rPr>
        <w:t xml:space="preserve"> </w:t>
      </w:r>
      <w:r w:rsidR="00871CE8" w:rsidRPr="00871CE8">
        <w:rPr>
          <w:color w:val="000000"/>
          <w:szCs w:val="24"/>
        </w:rPr>
        <w:t>(angl. “</w:t>
      </w:r>
      <w:r w:rsidR="00AC59C6" w:rsidRPr="00E9555A">
        <w:rPr>
          <w:color w:val="000000"/>
          <w:szCs w:val="24"/>
          <w:lang w:val="en-GB"/>
        </w:rPr>
        <w:t>Chemicals Risk Management and Assessment of Alternatives: Tools and best practices to support circularity, create more sustainable products and avoid regrettable substitution</w:t>
      </w:r>
      <w:r w:rsidR="00871CE8" w:rsidRPr="00871CE8">
        <w:rPr>
          <w:color w:val="000000"/>
          <w:szCs w:val="24"/>
        </w:rPr>
        <w:t xml:space="preserve">“), </w:t>
      </w:r>
      <w:r w:rsidR="00871CE8">
        <w:rPr>
          <w:color w:val="000000"/>
          <w:szCs w:val="24"/>
        </w:rPr>
        <w:t xml:space="preserve"> </w:t>
      </w:r>
      <w:r w:rsidR="004F0ED9" w:rsidRPr="003731A8">
        <w:rPr>
          <w:szCs w:val="24"/>
        </w:rPr>
        <w:t xml:space="preserve">(toliau </w:t>
      </w:r>
      <w:r w:rsidR="00AC59C6" w:rsidRPr="00AC59C6">
        <w:rPr>
          <w:color w:val="000000"/>
          <w:szCs w:val="24"/>
        </w:rPr>
        <w:t>LIFE FitforREACH-2</w:t>
      </w:r>
      <w:r w:rsidR="004F0ED9" w:rsidRPr="003731A8">
        <w:rPr>
          <w:szCs w:val="24"/>
        </w:rPr>
        <w:t xml:space="preserve">) Nr. </w:t>
      </w:r>
      <w:r w:rsidR="00AC59C6" w:rsidRPr="00AC59C6">
        <w:t xml:space="preserve"> </w:t>
      </w:r>
      <w:r w:rsidR="00AC59C6" w:rsidRPr="00AC59C6">
        <w:rPr>
          <w:b/>
          <w:bCs/>
          <w:color w:val="000000"/>
          <w:szCs w:val="24"/>
        </w:rPr>
        <w:t>LIFE22-ENV-EE-LIFE-FitforREACH-2/101113947</w:t>
      </w:r>
      <w:r w:rsidR="004F0ED9" w:rsidRPr="003731A8">
        <w:rPr>
          <w:szCs w:val="24"/>
        </w:rPr>
        <w:t>,</w:t>
      </w:r>
      <w:r w:rsidR="004F0ED9" w:rsidRPr="003731A8">
        <w:rPr>
          <w:color w:val="000000"/>
          <w:szCs w:val="24"/>
        </w:rPr>
        <w:t xml:space="preserve">  </w:t>
      </w:r>
      <w:r w:rsidR="00036DFD">
        <w:rPr>
          <w:color w:val="000000"/>
          <w:szCs w:val="24"/>
        </w:rPr>
        <w:t>į</w:t>
      </w:r>
      <w:r w:rsidR="002A0F18" w:rsidRPr="002A0F18">
        <w:t>gyvendinamo Lietuvos partnerių, įskaitant Kauno technologijos universitetą</w:t>
      </w:r>
      <w:r w:rsidR="00AA48F5">
        <w:t xml:space="preserve"> </w:t>
      </w:r>
      <w:r w:rsidR="002A0F18" w:rsidRPr="002A0F18">
        <w:t>ir kit</w:t>
      </w:r>
      <w:r w:rsidR="002A0F18">
        <w:t>u</w:t>
      </w:r>
      <w:r w:rsidR="002A0F18" w:rsidRPr="002A0F18">
        <w:t xml:space="preserve">s Lietuvos </w:t>
      </w:r>
      <w:r w:rsidR="002A0F18">
        <w:t>partnerius</w:t>
      </w:r>
      <w:r w:rsidR="00E26C35">
        <w:t xml:space="preserve"> (VŠĮ </w:t>
      </w:r>
      <w:r w:rsidR="00E26C35" w:rsidRPr="00E26C35">
        <w:t>Aplinkosaugos valdymo ir  technologijų centras</w:t>
      </w:r>
      <w:r w:rsidR="00E26C35">
        <w:t>, UAB Art Glacio, UAB Elgama-Elektronika)</w:t>
      </w:r>
      <w:r w:rsidR="002A0F18" w:rsidRPr="002A0F18">
        <w:t xml:space="preserve">, </w:t>
      </w:r>
      <w:r w:rsidR="00036DFD">
        <w:t xml:space="preserve">iš </w:t>
      </w:r>
      <w:r w:rsidR="00036DFD" w:rsidRPr="00036DFD">
        <w:t>Aplinkos projektų valdymo agentūr</w:t>
      </w:r>
      <w:r w:rsidR="00036DFD">
        <w:t>os</w:t>
      </w:r>
      <w:r w:rsidR="00036DFD" w:rsidRPr="00036DFD">
        <w:t xml:space="preserve"> </w:t>
      </w:r>
      <w:r w:rsidR="00036DFD">
        <w:t xml:space="preserve">(toliau – Agentūra) </w:t>
      </w:r>
      <w:r w:rsidR="002A0F18" w:rsidRPr="002A0F18">
        <w:t>gauto bendrojo finansavimo lėšų išlaidų teisėtumo ir panaudojimo teisingumo</w:t>
      </w:r>
      <w:r w:rsidR="002A0F18">
        <w:t xml:space="preserve"> </w:t>
      </w:r>
      <w:r w:rsidR="004F0ED9" w:rsidRPr="003731A8">
        <w:t xml:space="preserve">patikras </w:t>
      </w:r>
      <w:r w:rsidR="004F0ED9" w:rsidRPr="003731A8">
        <w:rPr>
          <w:iCs/>
        </w:rPr>
        <w:t xml:space="preserve">(toliau – </w:t>
      </w:r>
      <w:r w:rsidR="004756E7">
        <w:rPr>
          <w:iCs/>
        </w:rPr>
        <w:t>T</w:t>
      </w:r>
      <w:r w:rsidR="004F0ED9" w:rsidRPr="003731A8">
        <w:rPr>
          <w:iCs/>
        </w:rPr>
        <w:t xml:space="preserve">ikrinimas) </w:t>
      </w:r>
      <w:r w:rsidR="004F0ED9" w:rsidRPr="003731A8">
        <w:t>atliekantį</w:t>
      </w:r>
      <w:r w:rsidR="004F0ED9" w:rsidRPr="003C3253">
        <w:t xml:space="preserve"> paslaugos teikėją </w:t>
      </w:r>
      <w:r w:rsidR="004F0ED9" w:rsidRPr="003C3253">
        <w:rPr>
          <w:iCs/>
        </w:rPr>
        <w:t xml:space="preserve">(toliau – </w:t>
      </w:r>
      <w:r w:rsidR="004756E7">
        <w:rPr>
          <w:iCs/>
        </w:rPr>
        <w:t>T</w:t>
      </w:r>
      <w:r w:rsidR="004F0ED9" w:rsidRPr="003C3253">
        <w:rPr>
          <w:iCs/>
        </w:rPr>
        <w:t xml:space="preserve">ikrintoją). </w:t>
      </w:r>
    </w:p>
    <w:p w14:paraId="6170788C" w14:textId="63EDDC65" w:rsidR="00CD4696" w:rsidRDefault="00CD125F" w:rsidP="00C166D7">
      <w:pPr>
        <w:numPr>
          <w:ilvl w:val="1"/>
          <w:numId w:val="1"/>
        </w:numPr>
        <w:spacing w:line="360" w:lineRule="auto"/>
        <w:ind w:firstLine="357"/>
        <w:jc w:val="both"/>
      </w:pPr>
      <w:r w:rsidRPr="00C02586">
        <w:t xml:space="preserve">2. </w:t>
      </w:r>
      <w:r w:rsidR="00CD4696" w:rsidRPr="00CD4696">
        <w:t xml:space="preserve">Tikrinimai turi būti atliekami pagal šią techninę </w:t>
      </w:r>
      <w:r w:rsidR="000A56AF">
        <w:t>specifikaciją</w:t>
      </w:r>
      <w:r w:rsidR="00CD4696" w:rsidRPr="00CD4696">
        <w:t>. Tikrintojas privalo patikrinti, ar Lietuvos partnerių deklaruotos išlaidos yra teisėtos, teisingos ir tinkamos finansuoti, atsižvelgdamas į 2021 m. balandžio 29 d. Europos Parlamento ir Tarybos reglamento (ES) 2021/783, kuriuo įsteigiama Aplinkos ir klimato politikos programa (LIFE), nuostatas, 2018 m. liepos 18 d. Europos Parlamento ir Tarybos reglamento (ES, Euratom) 2018/1046 dėl Europos Sąjungos bendrojo biudžeto finansinių taisyklių (toliau – Finansinis reglamentas) nuostatas, Lietuvos Respublikos aplinkos ministro 2021 m. lapkričio 26 d. įsakymu Nr. D1-696 patvirtinto Bendrojo finansavimo lėšų skyrimo Aplinkos ir klimato politikos programos (LIFE) projektams tvarkos aprašo nuostatas</w:t>
      </w:r>
      <w:r w:rsidR="00C166D7">
        <w:t xml:space="preserve"> bei </w:t>
      </w:r>
      <w:r w:rsidR="00CD4696" w:rsidRPr="00CD4696">
        <w:t>vadov</w:t>
      </w:r>
      <w:r w:rsidR="00C166D7">
        <w:t>autis</w:t>
      </w:r>
      <w:r w:rsidR="00CD4696" w:rsidRPr="00CD4696">
        <w:t>: Tarptautinės buhalterių federacijos patvirtintais tarptautiniais susijusių paslaugų standartais, taikomais užduotims, susijusioms su iš anksto sutartomis procedūromis; Tarptautinės buhalterių federacijos patvirtinto Buhalterių profesionalų etikos kodekso nuostatomis; LIFE dotacijos sutarties bei pagrindiniuose programos dokumentuose nustatytais reikalavimais; kitais taikomais Europos Sąjungos ir nacionaliniais teisės aktais.</w:t>
      </w:r>
    </w:p>
    <w:p w14:paraId="763822CB" w14:textId="77777777" w:rsidR="00CD125F" w:rsidRDefault="00CD125F" w:rsidP="003731A8">
      <w:pPr>
        <w:numPr>
          <w:ilvl w:val="1"/>
          <w:numId w:val="1"/>
        </w:numPr>
        <w:tabs>
          <w:tab w:val="num" w:pos="0"/>
        </w:tabs>
        <w:spacing w:line="360" w:lineRule="auto"/>
        <w:ind w:firstLine="357"/>
        <w:jc w:val="both"/>
      </w:pPr>
      <w:r w:rsidRPr="00C02586">
        <w:t xml:space="preserve"> 3. Tikrintojas turi būti nepriklausomas nuo tikrinamo Lietuvos partnerio laikantis Tarptautinės buhalterių federacijos Buhalterių profesionalų etikos kodekse išdėstytų nepriklausomumo reikalavimų.</w:t>
      </w:r>
    </w:p>
    <w:p w14:paraId="763822CC" w14:textId="7A4D378A" w:rsidR="00CD125F" w:rsidRDefault="00CD125F" w:rsidP="003731A8">
      <w:pPr>
        <w:spacing w:line="360" w:lineRule="auto"/>
        <w:ind w:firstLine="357"/>
        <w:jc w:val="both"/>
      </w:pPr>
      <w:r w:rsidRPr="00C02586">
        <w:t xml:space="preserve">4. Tikrintojas </w:t>
      </w:r>
      <w:r w:rsidRPr="003B3076">
        <w:t>turi užtikrinti iš Lietuvos partneri</w:t>
      </w:r>
      <w:r w:rsidR="00036DFD">
        <w:t>ų</w:t>
      </w:r>
      <w:r w:rsidRPr="003B3076">
        <w:t xml:space="preserve"> gautų dokumentų (ar jų kopijų) ir informacijos konfidencialumą ir duomenų apsaugą</w:t>
      </w:r>
      <w:r>
        <w:t>.</w:t>
      </w:r>
    </w:p>
    <w:p w14:paraId="763822CD" w14:textId="77777777" w:rsidR="00CD125F" w:rsidRDefault="00CD125F" w:rsidP="003731A8">
      <w:pPr>
        <w:spacing w:line="360" w:lineRule="auto"/>
        <w:ind w:firstLine="357"/>
        <w:jc w:val="both"/>
      </w:pPr>
      <w:r>
        <w:t xml:space="preserve">5. </w:t>
      </w:r>
      <w:r w:rsidRPr="003B3076">
        <w:t>Tikrintojas turi užtikrinti, kad tinkamai, pagal Europos Komisijos reglamentuose, nacionaliniuose ir programų dokumentuose nustatytus reikalavimus, dokumentuo</w:t>
      </w:r>
      <w:r>
        <w:t>s</w:t>
      </w:r>
      <w:r w:rsidRPr="003B3076">
        <w:t xml:space="preserve"> teikiamas </w:t>
      </w:r>
      <w:r w:rsidRPr="003B3076">
        <w:lastRenderedPageBreak/>
        <w:t>paslaugas ir tikrintojo darbo dokumentai b</w:t>
      </w:r>
      <w:r>
        <w:t>us</w:t>
      </w:r>
      <w:r w:rsidRPr="003B3076">
        <w:t xml:space="preserve"> prieinami programą įgyvendinančiosioms institucijoms, programos įgyvendinimo priežiūrą vykdančioms institucij</w:t>
      </w:r>
      <w:r>
        <w:t>oms ir jų įgaliotiems atstovams.</w:t>
      </w:r>
    </w:p>
    <w:p w14:paraId="7AD0A357" w14:textId="085F2ED1" w:rsidR="008F73D8" w:rsidRDefault="00CD125F" w:rsidP="008F73D8">
      <w:pPr>
        <w:spacing w:line="360" w:lineRule="auto"/>
        <w:ind w:firstLine="357"/>
        <w:jc w:val="both"/>
      </w:pPr>
      <w:r w:rsidRPr="002553F2">
        <w:t>6. Tikrintojai patikrins ir patvirtins projekto išlaidas pagal programos įgyvendinančios institucijos pagrindiniuose programos dokumentuose nustatytus reikalavimus, bet ne vėliau kaip per 1 (vieną) mėnesį nuo projekto įgyvendinimo ataskaitos ir (arba) dokumentų iš Lietuvos partneri</w:t>
      </w:r>
      <w:r w:rsidR="00036DFD">
        <w:t>ų</w:t>
      </w:r>
      <w:r w:rsidRPr="002553F2">
        <w:t xml:space="preserve"> gavimo dienos, ir ne vėliau kaip per 2 (du) mėnesius nuo projekto ataskaitinio laikotarpio pabaigos.</w:t>
      </w:r>
    </w:p>
    <w:p w14:paraId="763822D0" w14:textId="78679C0D" w:rsidR="00CD125F" w:rsidRPr="008F73D8" w:rsidRDefault="00CD125F" w:rsidP="008F73D8">
      <w:pPr>
        <w:spacing w:line="360" w:lineRule="auto"/>
        <w:ind w:firstLine="357"/>
        <w:jc w:val="both"/>
      </w:pPr>
      <w:r w:rsidRPr="003731A8">
        <w:t>7</w:t>
      </w:r>
      <w:r w:rsidRPr="003731A8">
        <w:rPr>
          <w:szCs w:val="24"/>
        </w:rPr>
        <w:t xml:space="preserve">. Bendroji informacija apie projektą. </w:t>
      </w:r>
      <w:r w:rsidR="002A0F18" w:rsidRPr="00AC59C6">
        <w:rPr>
          <w:color w:val="000000"/>
          <w:szCs w:val="24"/>
        </w:rPr>
        <w:t>LIFE FitforREACH-2</w:t>
      </w:r>
      <w:r w:rsidR="002A0F18">
        <w:rPr>
          <w:color w:val="000000"/>
          <w:szCs w:val="24"/>
        </w:rPr>
        <w:t xml:space="preserve"> </w:t>
      </w:r>
      <w:r w:rsidR="008E703F" w:rsidRPr="008E703F">
        <w:rPr>
          <w:szCs w:val="24"/>
        </w:rPr>
        <w:t>projekto tikslas</w:t>
      </w:r>
      <w:r w:rsidR="00D12F46">
        <w:rPr>
          <w:szCs w:val="24"/>
        </w:rPr>
        <w:t xml:space="preserve"> padėti mažoms ir vidutinėms įmonėms patobulinti cheminių medžiagų rizikos valdymą siekiant sumažinti arba visai pašalinti pavojingų cheminių medžiagų naudojimą, optimizuoti nau</w:t>
      </w:r>
      <w:r w:rsidR="007D7250">
        <w:rPr>
          <w:szCs w:val="24"/>
        </w:rPr>
        <w:t>dojamus išteklius</w:t>
      </w:r>
      <w:r w:rsidR="000F4AFB">
        <w:rPr>
          <w:szCs w:val="24"/>
        </w:rPr>
        <w:t>.</w:t>
      </w:r>
      <w:r w:rsidR="008E703F" w:rsidRPr="008E703F">
        <w:rPr>
          <w:szCs w:val="24"/>
        </w:rPr>
        <w:t xml:space="preserve"> </w:t>
      </w:r>
      <w:r w:rsidR="004F0ED9" w:rsidRPr="003731A8">
        <w:rPr>
          <w:szCs w:val="24"/>
        </w:rPr>
        <w:t xml:space="preserve"> </w:t>
      </w:r>
      <w:r w:rsidR="008E703F" w:rsidRPr="008E703F">
        <w:rPr>
          <w:szCs w:val="24"/>
        </w:rPr>
        <w:t xml:space="preserve">Projekte dalyvauja partneriai iš </w:t>
      </w:r>
      <w:r w:rsidR="00D12F46">
        <w:rPr>
          <w:szCs w:val="24"/>
        </w:rPr>
        <w:t xml:space="preserve"> Estijos, Latvijos, </w:t>
      </w:r>
      <w:r w:rsidR="008E703F" w:rsidRPr="008E703F">
        <w:rPr>
          <w:szCs w:val="24"/>
        </w:rPr>
        <w:t>Lenkijos</w:t>
      </w:r>
      <w:r w:rsidR="00D12F46">
        <w:rPr>
          <w:szCs w:val="24"/>
        </w:rPr>
        <w:t xml:space="preserve"> </w:t>
      </w:r>
      <w:r w:rsidR="008E703F" w:rsidRPr="008E703F">
        <w:rPr>
          <w:szCs w:val="24"/>
        </w:rPr>
        <w:t>ir Lietuvos.</w:t>
      </w:r>
    </w:p>
    <w:p w14:paraId="7838C9EF" w14:textId="4D2D8B33" w:rsidR="00172CFA" w:rsidRPr="00C02586" w:rsidRDefault="00CD125F" w:rsidP="00113D3F">
      <w:pPr>
        <w:spacing w:line="360" w:lineRule="auto"/>
        <w:ind w:firstLine="426"/>
        <w:jc w:val="both"/>
        <w:rPr>
          <w:szCs w:val="24"/>
        </w:rPr>
      </w:pPr>
      <w:bookmarkStart w:id="1" w:name="_Hlk194490091"/>
      <w:r w:rsidRPr="003731A8">
        <w:rPr>
          <w:szCs w:val="24"/>
        </w:rPr>
        <w:t xml:space="preserve">Projekto pagrindiniai koordinatoriai – </w:t>
      </w:r>
      <w:bookmarkEnd w:id="1"/>
      <w:r w:rsidR="007D7250">
        <w:rPr>
          <w:szCs w:val="24"/>
        </w:rPr>
        <w:t xml:space="preserve">Balti keskkonnafoorum (Estija), kiti partneriai: Baltijas vides forum (Latvia), Kauno technologijos universitetas (Lietuva), OU Hendrikson &amp; KO (Estija), </w:t>
      </w:r>
      <w:r w:rsidR="00E26C35">
        <w:rPr>
          <w:szCs w:val="24"/>
        </w:rPr>
        <w:t xml:space="preserve">Ekodizina kompetences centrs (Latvija), </w:t>
      </w:r>
      <w:r w:rsidR="007D7250">
        <w:rPr>
          <w:szCs w:val="24"/>
        </w:rPr>
        <w:t>Pominno Sp. Z O. O</w:t>
      </w:r>
      <w:r w:rsidR="008E703F" w:rsidRPr="008E703F">
        <w:rPr>
          <w:szCs w:val="24"/>
        </w:rPr>
        <w:t>.</w:t>
      </w:r>
      <w:r w:rsidR="007D7250">
        <w:rPr>
          <w:szCs w:val="24"/>
        </w:rPr>
        <w:t xml:space="preserve"> (Lenkija), Latvijas atkritumu saimniecibas uznnemuni asociacija (Latvija), VŠĮ Aplinkosaugos valdymo ir </w:t>
      </w:r>
      <w:r w:rsidR="008E703F">
        <w:rPr>
          <w:szCs w:val="24"/>
        </w:rPr>
        <w:t xml:space="preserve"> </w:t>
      </w:r>
      <w:r w:rsidR="007D7250">
        <w:rPr>
          <w:szCs w:val="24"/>
        </w:rPr>
        <w:t>technologijų centras (Lietuva), Scanfil Osauhing (Estija), As Paldiski Tsingipada (Estija), Kvist (Latvija), Kinetics nail systems (Latvija), UAB Art Glacio (Lietuva), UAB Elgama-Elektronika (Lietuva)</w:t>
      </w:r>
      <w:r w:rsidR="00E26C35">
        <w:rPr>
          <w:szCs w:val="24"/>
        </w:rPr>
        <w:t>, SIA Balticfloc</w:t>
      </w:r>
      <w:r w:rsidR="007D7250">
        <w:rPr>
          <w:szCs w:val="24"/>
        </w:rPr>
        <w:t xml:space="preserve"> </w:t>
      </w:r>
      <w:r w:rsidR="00E26C35">
        <w:rPr>
          <w:szCs w:val="24"/>
        </w:rPr>
        <w:t>(Latvija), Si</w:t>
      </w:r>
      <w:r w:rsidR="00E26C35" w:rsidRPr="00E26C35">
        <w:rPr>
          <w:szCs w:val="24"/>
        </w:rPr>
        <w:t>e</w:t>
      </w:r>
      <w:r w:rsidR="00E26C35">
        <w:rPr>
          <w:szCs w:val="24"/>
        </w:rPr>
        <w:t>c</w:t>
      </w:r>
      <w:r w:rsidR="00E26C35" w:rsidRPr="00E26C35">
        <w:rPr>
          <w:szCs w:val="24"/>
        </w:rPr>
        <w:t xml:space="preserve"> Badawcza </w:t>
      </w:r>
      <w:r w:rsidR="00E26C35">
        <w:rPr>
          <w:szCs w:val="24"/>
        </w:rPr>
        <w:t>L</w:t>
      </w:r>
      <w:r w:rsidR="00E26C35" w:rsidRPr="00E26C35">
        <w:rPr>
          <w:szCs w:val="24"/>
        </w:rPr>
        <w:t>ukasiewicz – Instytut Chemii Przemysłowej imienia Profesora Ignacego Mościckiego</w:t>
      </w:r>
      <w:r w:rsidR="00E26C35">
        <w:rPr>
          <w:szCs w:val="24"/>
        </w:rPr>
        <w:t xml:space="preserve"> (Lenkija</w:t>
      </w:r>
      <w:bookmarkStart w:id="2" w:name="_Hlk208480883"/>
      <w:r w:rsidR="00E26C35">
        <w:rPr>
          <w:szCs w:val="24"/>
        </w:rPr>
        <w:t xml:space="preserve">). </w:t>
      </w:r>
      <w:r w:rsidRPr="003731A8">
        <w:rPr>
          <w:szCs w:val="24"/>
        </w:rPr>
        <w:t>Numatoma preliminari tikrinamo projekto</w:t>
      </w:r>
      <w:r w:rsidR="00E26C35">
        <w:rPr>
          <w:szCs w:val="24"/>
        </w:rPr>
        <w:t xml:space="preserve"> išlaidų suma </w:t>
      </w:r>
      <w:bookmarkEnd w:id="2"/>
      <w:r w:rsidR="00E26C35">
        <w:rPr>
          <w:szCs w:val="24"/>
        </w:rPr>
        <w:t>297 021,90 Eur</w:t>
      </w:r>
      <w:r w:rsidR="00461967">
        <w:rPr>
          <w:szCs w:val="24"/>
        </w:rPr>
        <w:t xml:space="preserve"> iš jų </w:t>
      </w:r>
      <w:r w:rsidR="0031523B" w:rsidRPr="003731A8">
        <w:rPr>
          <w:szCs w:val="24"/>
        </w:rPr>
        <w:t>K</w:t>
      </w:r>
      <w:r w:rsidR="00AA48F5">
        <w:rPr>
          <w:szCs w:val="24"/>
        </w:rPr>
        <w:t>auno technologijos universiteto</w:t>
      </w:r>
      <w:r w:rsidR="00E26C35">
        <w:rPr>
          <w:szCs w:val="24"/>
        </w:rPr>
        <w:t xml:space="preserve"> dalis </w:t>
      </w:r>
      <w:r w:rsidR="0000761D">
        <w:rPr>
          <w:szCs w:val="24"/>
        </w:rPr>
        <w:t xml:space="preserve">– </w:t>
      </w:r>
      <w:r w:rsidR="00E26C35">
        <w:rPr>
          <w:szCs w:val="24"/>
        </w:rPr>
        <w:t xml:space="preserve">122 573,85 Eur, </w:t>
      </w:r>
      <w:r w:rsidR="0000761D">
        <w:rPr>
          <w:szCs w:val="24"/>
        </w:rPr>
        <w:t xml:space="preserve">VŠĮ Aplinkosaugos valdymo ir technologijų centro dalis </w:t>
      </w:r>
      <w:r w:rsidR="0000761D">
        <w:rPr>
          <w:szCs w:val="24"/>
        </w:rPr>
        <w:softHyphen/>
      </w:r>
      <w:r w:rsidR="00461967">
        <w:rPr>
          <w:szCs w:val="24"/>
        </w:rPr>
        <w:softHyphen/>
      </w:r>
      <w:r w:rsidR="00461967">
        <w:rPr>
          <w:szCs w:val="24"/>
        </w:rPr>
        <w:softHyphen/>
      </w:r>
      <w:r w:rsidR="00461967">
        <w:rPr>
          <w:szCs w:val="24"/>
        </w:rPr>
        <w:softHyphen/>
        <w:t>–</w:t>
      </w:r>
      <w:r w:rsidR="00461967">
        <w:rPr>
          <w:szCs w:val="24"/>
        </w:rPr>
        <w:softHyphen/>
        <w:t xml:space="preserve"> 79 123,08 Eur, UAB Art Glacio dalis – 48606,10 Eur, UAB Elgama-Elektronika dalis – 46721,87 Eur</w:t>
      </w:r>
      <w:r w:rsidRPr="003731A8">
        <w:rPr>
          <w:szCs w:val="24"/>
        </w:rPr>
        <w:t xml:space="preserve">. </w:t>
      </w:r>
      <w:r w:rsidR="00364DB4">
        <w:rPr>
          <w:szCs w:val="24"/>
        </w:rPr>
        <w:t xml:space="preserve"> </w:t>
      </w:r>
      <w:r w:rsidRPr="003731A8">
        <w:rPr>
          <w:szCs w:val="24"/>
        </w:rPr>
        <w:t>Projekto trukmė 2023-</w:t>
      </w:r>
      <w:r w:rsidR="00E26C35">
        <w:rPr>
          <w:szCs w:val="24"/>
        </w:rPr>
        <w:t>10</w:t>
      </w:r>
      <w:r w:rsidRPr="003731A8">
        <w:rPr>
          <w:szCs w:val="24"/>
        </w:rPr>
        <w:t>-</w:t>
      </w:r>
      <w:r w:rsidR="008F73D8">
        <w:rPr>
          <w:szCs w:val="24"/>
        </w:rPr>
        <w:t>0</w:t>
      </w:r>
      <w:r w:rsidRPr="003731A8">
        <w:rPr>
          <w:szCs w:val="24"/>
        </w:rPr>
        <w:t>1 – 202</w:t>
      </w:r>
      <w:r w:rsidR="00E26C35">
        <w:rPr>
          <w:szCs w:val="24"/>
        </w:rPr>
        <w:t>7</w:t>
      </w:r>
      <w:r w:rsidR="008F73D8">
        <w:rPr>
          <w:szCs w:val="24"/>
        </w:rPr>
        <w:t>-</w:t>
      </w:r>
      <w:r w:rsidR="00E26C35">
        <w:rPr>
          <w:szCs w:val="24"/>
        </w:rPr>
        <w:t>09</w:t>
      </w:r>
      <w:r w:rsidRPr="003731A8">
        <w:rPr>
          <w:szCs w:val="24"/>
        </w:rPr>
        <w:t>-</w:t>
      </w:r>
      <w:r w:rsidR="0031523B" w:rsidRPr="003731A8">
        <w:rPr>
          <w:szCs w:val="24"/>
        </w:rPr>
        <w:t>3</w:t>
      </w:r>
      <w:r w:rsidR="00E26C35">
        <w:rPr>
          <w:szCs w:val="24"/>
        </w:rPr>
        <w:t>0</w:t>
      </w:r>
      <w:r w:rsidRPr="003731A8">
        <w:rPr>
          <w:szCs w:val="24"/>
        </w:rPr>
        <w:t>.</w:t>
      </w:r>
      <w:r w:rsidR="0006082A">
        <w:rPr>
          <w:szCs w:val="24"/>
        </w:rPr>
        <w:t xml:space="preserve"> </w:t>
      </w:r>
      <w:r w:rsidR="0006082A" w:rsidRPr="0006082A">
        <w:rPr>
          <w:szCs w:val="24"/>
        </w:rPr>
        <w:t>Numatoma preliminari tikrinamo projekto išlaidų suma</w:t>
      </w:r>
      <w:r w:rsidR="0006082A">
        <w:rPr>
          <w:szCs w:val="24"/>
        </w:rPr>
        <w:t xml:space="preserve"> gali būti audituojama etapais pagal poreikį.</w:t>
      </w:r>
    </w:p>
    <w:p w14:paraId="763822D2" w14:textId="77777777" w:rsidR="00CD125F" w:rsidRPr="00C02586" w:rsidRDefault="00CD125F" w:rsidP="00113D3F">
      <w:pPr>
        <w:tabs>
          <w:tab w:val="left" w:pos="0"/>
        </w:tabs>
        <w:spacing w:line="360" w:lineRule="auto"/>
        <w:ind w:firstLine="426"/>
        <w:jc w:val="both"/>
      </w:pPr>
      <w:r>
        <w:t>8</w:t>
      </w:r>
      <w:r w:rsidRPr="00C02586">
        <w:t>. Tikrintojai, vykdydami Lietuvos partnerių deklaruotų projektų išlaidų teisėtumo ir panaudojimo teisingumo tikrinimą, turi:</w:t>
      </w:r>
    </w:p>
    <w:p w14:paraId="763822D3" w14:textId="08B5C859" w:rsidR="00CD125F" w:rsidRPr="00C02586" w:rsidRDefault="00CD125F" w:rsidP="00113D3F">
      <w:pPr>
        <w:tabs>
          <w:tab w:val="left" w:pos="0"/>
          <w:tab w:val="left" w:pos="709"/>
        </w:tabs>
        <w:spacing w:line="360" w:lineRule="auto"/>
        <w:ind w:firstLine="426"/>
        <w:jc w:val="both"/>
      </w:pPr>
      <w:r>
        <w:t>8</w:t>
      </w:r>
      <w:r w:rsidRPr="00C02586">
        <w:t xml:space="preserve">.1. Tinkamai </w:t>
      </w:r>
      <w:r w:rsidR="00461967">
        <w:t xml:space="preserve">(100%) </w:t>
      </w:r>
      <w:r w:rsidRPr="00C02586">
        <w:t>atlikti Lietuvos partneri</w:t>
      </w:r>
      <w:r w:rsidR="000F4AFB">
        <w:t>ų</w:t>
      </w:r>
      <w:r w:rsidRPr="00C02586">
        <w:t xml:space="preserve"> </w:t>
      </w:r>
      <w:r w:rsidR="00036DFD">
        <w:t xml:space="preserve">bendrojo finansavimo </w:t>
      </w:r>
      <w:r w:rsidRPr="00C02586">
        <w:t>deklaruotų projekto išlaidų teisėtumo ir panaudojimo teisingumo tikrinimą, kurio metu turi būti patikrinta:</w:t>
      </w:r>
    </w:p>
    <w:p w14:paraId="763822F3" w14:textId="1A7BDD21" w:rsidR="00CD125F" w:rsidRDefault="00CD125F" w:rsidP="00113D3F">
      <w:pPr>
        <w:pStyle w:val="BodyTextIndent"/>
        <w:spacing w:line="360" w:lineRule="auto"/>
        <w:ind w:firstLine="426"/>
        <w:jc w:val="both"/>
      </w:pPr>
      <w:r>
        <w:t>8</w:t>
      </w:r>
      <w:r w:rsidRPr="00C02586">
        <w:t xml:space="preserve">.1.1. </w:t>
      </w:r>
      <w:r w:rsidR="002D491D" w:rsidRPr="002D491D">
        <w:t>išlaidos padarytos ir susijusios su projekto veiklomis, įrašytomis LIFE projekto sutartyje, sudarytoje su Europos Komisija, ir bendrojo finansavimo paraiškoje, ar išlaidos padarytos LIFE projekto įgyvendinimo laikotarpiu;</w:t>
      </w:r>
    </w:p>
    <w:p w14:paraId="1CDF09E4" w14:textId="061B6761" w:rsidR="002D491D" w:rsidRDefault="002D491D" w:rsidP="00113D3F">
      <w:pPr>
        <w:pStyle w:val="BodyTextIndent"/>
        <w:spacing w:line="360" w:lineRule="auto"/>
        <w:ind w:firstLine="426"/>
        <w:jc w:val="both"/>
      </w:pPr>
      <w:r>
        <w:t>8</w:t>
      </w:r>
      <w:r w:rsidRPr="00C02586">
        <w:t>.1.</w:t>
      </w:r>
      <w:r>
        <w:t xml:space="preserve">2. </w:t>
      </w:r>
      <w:r w:rsidRPr="002D491D">
        <w:t>pirkimai atlikti vadovaujantis Viešųjų pirkimų įstatymu arba Ūkio subjektų, kurie nėra perkančiosios organizacijos pagal Lietuvos Respublikos viešųjų pirkimų įstatymą, pirkimų vykdymo ir priežiūros tvarkos aprašu;</w:t>
      </w:r>
    </w:p>
    <w:p w14:paraId="50F2BA4D" w14:textId="490606A5" w:rsidR="000A56AF" w:rsidRPr="00C02586" w:rsidRDefault="002D491D" w:rsidP="0006082A">
      <w:pPr>
        <w:pStyle w:val="BodyTextIndent"/>
        <w:spacing w:line="360" w:lineRule="auto"/>
        <w:ind w:firstLine="426"/>
        <w:jc w:val="both"/>
      </w:pPr>
      <w:r>
        <w:t xml:space="preserve">8.1.3. </w:t>
      </w:r>
      <w:r w:rsidRPr="002D491D">
        <w:t>LIFE projekto įgyvendinimui naudojamos bendrojo finansavimo lėšos apskaitomos vadovaujantis Lietuvos Respublikos įstatymais ir kitais teisės aktais, nustatančiais buhalterinės apskaitos principus, atsižvelgiant į įmonės tipą.</w:t>
      </w:r>
    </w:p>
    <w:p w14:paraId="763822F4" w14:textId="5ECB433C" w:rsidR="00CD125F" w:rsidRPr="00C02586" w:rsidRDefault="00CD125F" w:rsidP="00113D3F">
      <w:pPr>
        <w:spacing w:line="360" w:lineRule="auto"/>
        <w:ind w:firstLine="426"/>
        <w:jc w:val="both"/>
        <w:rPr>
          <w:szCs w:val="24"/>
        </w:rPr>
      </w:pPr>
      <w:r w:rsidRPr="00C02586">
        <w:rPr>
          <w:szCs w:val="24"/>
        </w:rPr>
        <w:lastRenderedPageBreak/>
        <w:t>T</w:t>
      </w:r>
      <w:r w:rsidRPr="00C02586">
        <w:rPr>
          <w:color w:val="000000"/>
          <w:szCs w:val="24"/>
        </w:rPr>
        <w:t>ikrintojas</w:t>
      </w:r>
      <w:r w:rsidRPr="00C02586">
        <w:rPr>
          <w:szCs w:val="24"/>
        </w:rPr>
        <w:t xml:space="preserve"> turi atlikti šį tikrinimą ir pateikti </w:t>
      </w:r>
      <w:r w:rsidR="00AA48F5">
        <w:rPr>
          <w:szCs w:val="24"/>
        </w:rPr>
        <w:t xml:space="preserve">Kauno technologijos universitetui </w:t>
      </w:r>
      <w:r w:rsidRPr="00C02586">
        <w:rPr>
          <w:szCs w:val="24"/>
        </w:rPr>
        <w:t>Lietuvos partneri</w:t>
      </w:r>
      <w:r w:rsidR="00AA48F5">
        <w:rPr>
          <w:szCs w:val="24"/>
        </w:rPr>
        <w:t>ų</w:t>
      </w:r>
      <w:r w:rsidRPr="00C02586">
        <w:rPr>
          <w:szCs w:val="24"/>
        </w:rPr>
        <w:t xml:space="preserve"> tikrintojo patvirtinimą</w:t>
      </w:r>
      <w:r w:rsidR="00AA48F5" w:rsidRPr="00AA48F5">
        <w:t xml:space="preserve"> </w:t>
      </w:r>
      <w:r w:rsidR="00AA48F5" w:rsidRPr="00AA48F5">
        <w:rPr>
          <w:szCs w:val="24"/>
        </w:rPr>
        <w:t>pagal Bendrojo finansavimo lėšų skyrimo Aplinkos ir klimato politikos programos (LIFE) projektams</w:t>
      </w:r>
      <w:r w:rsidR="00AA48F5">
        <w:rPr>
          <w:szCs w:val="24"/>
        </w:rPr>
        <w:t xml:space="preserve"> </w:t>
      </w:r>
      <w:r w:rsidR="00AA48F5" w:rsidRPr="00AA48F5">
        <w:rPr>
          <w:szCs w:val="24"/>
        </w:rPr>
        <w:t>nustatytus reikalavimus</w:t>
      </w:r>
      <w:r w:rsidR="00AA48F5">
        <w:rPr>
          <w:szCs w:val="24"/>
        </w:rPr>
        <w:t>,</w:t>
      </w:r>
      <w:r w:rsidRPr="00C02586">
        <w:rPr>
          <w:szCs w:val="24"/>
        </w:rPr>
        <w:t xml:space="preserve"> </w:t>
      </w:r>
      <w:r w:rsidR="00AA48F5">
        <w:rPr>
          <w:szCs w:val="24"/>
        </w:rPr>
        <w:t>bei pagal</w:t>
      </w:r>
      <w:r w:rsidRPr="00C02586">
        <w:rPr>
          <w:szCs w:val="24"/>
        </w:rPr>
        <w:t xml:space="preserve"> </w:t>
      </w:r>
      <w:r w:rsidR="00036DFD" w:rsidRPr="00036DFD">
        <w:rPr>
          <w:szCs w:val="24"/>
        </w:rPr>
        <w:t>Agentūros nustatytos formos finansinę ataskaitą apie įsigytas prekes, atliktus darbus ir (arba) paslaugas, apie išmokėtų bendrojo finansavimo lėšų panaudojimą</w:t>
      </w:r>
      <w:r w:rsidRPr="00C02586">
        <w:rPr>
          <w:szCs w:val="24"/>
        </w:rPr>
        <w:t xml:space="preserve">, </w:t>
      </w:r>
      <w:r w:rsidRPr="002553F2">
        <w:rPr>
          <w:szCs w:val="24"/>
        </w:rPr>
        <w:t>per 1 mėnesį nuo projekto įgyvendinimo ataskaitos iš Lietuvos partnerio gavimo dienos, bet ne vėliau kaip per 2 mėnesius nuo projekto ataskaitinio laikotarpio pabaigos.</w:t>
      </w:r>
      <w:r w:rsidRPr="00C02586">
        <w:rPr>
          <w:szCs w:val="24"/>
        </w:rPr>
        <w:t xml:space="preserve"> </w:t>
      </w:r>
    </w:p>
    <w:p w14:paraId="763822F5" w14:textId="134FFCA4" w:rsidR="00CD125F" w:rsidRPr="00C02586" w:rsidRDefault="00CD125F" w:rsidP="00113D3F">
      <w:pPr>
        <w:pStyle w:val="BodyTextIndent"/>
        <w:spacing w:line="360" w:lineRule="auto"/>
        <w:ind w:firstLine="426"/>
        <w:jc w:val="both"/>
      </w:pPr>
      <w:r w:rsidRPr="00C02586">
        <w:t>Tikrintojas, radęs Europos Sąjungos, Lietuvos Respublikos teisės aktų ir pagrindinių programos dokumentų reikalavimų neatitikimų, turi juos nurodyti. Kiekvienas atvejis turi būti įvertintas atsižvelgiant į projekto biudžeto išlaidų kategorijas, išlaidų sumą.</w:t>
      </w:r>
    </w:p>
    <w:p w14:paraId="76382304" w14:textId="0B5FB267" w:rsidR="00CD125F" w:rsidRPr="00C02586" w:rsidRDefault="00CD125F" w:rsidP="00113D3F">
      <w:pPr>
        <w:pStyle w:val="BodyTextIndent"/>
        <w:spacing w:line="360" w:lineRule="auto"/>
        <w:ind w:firstLine="426"/>
        <w:jc w:val="both"/>
        <w:rPr>
          <w:iCs/>
        </w:rPr>
      </w:pPr>
      <w:r>
        <w:rPr>
          <w:iCs/>
        </w:rPr>
        <w:t>8</w:t>
      </w:r>
      <w:r w:rsidRPr="00C02586">
        <w:rPr>
          <w:iCs/>
        </w:rPr>
        <w:t>.</w:t>
      </w:r>
      <w:r w:rsidR="004B5214">
        <w:rPr>
          <w:iCs/>
        </w:rPr>
        <w:t>2</w:t>
      </w:r>
      <w:r w:rsidRPr="00C02586">
        <w:rPr>
          <w:iCs/>
        </w:rPr>
        <w:t>. Tikrintojas turi konsultuoti Lietuvos partnerį žodžiu ir raštu projekto finansinės apskaitos, projekto išlaidų atitikties finansavimo reikalavimams klausimais.</w:t>
      </w:r>
    </w:p>
    <w:p w14:paraId="3EEBBA89" w14:textId="025C91C0" w:rsidR="00672CDA" w:rsidRDefault="00CD125F" w:rsidP="00113D3F">
      <w:pPr>
        <w:tabs>
          <w:tab w:val="num" w:pos="720"/>
        </w:tabs>
        <w:spacing w:line="360" w:lineRule="auto"/>
        <w:ind w:firstLine="426"/>
        <w:jc w:val="both"/>
      </w:pPr>
      <w:r>
        <w:rPr>
          <w:iCs/>
        </w:rPr>
        <w:t>8</w:t>
      </w:r>
      <w:r w:rsidRPr="00C02586">
        <w:rPr>
          <w:iCs/>
        </w:rPr>
        <w:t>.</w:t>
      </w:r>
      <w:r w:rsidR="004B5214">
        <w:rPr>
          <w:iCs/>
        </w:rPr>
        <w:t>3</w:t>
      </w:r>
      <w:r w:rsidRPr="00C02586">
        <w:rPr>
          <w:iCs/>
        </w:rPr>
        <w:t xml:space="preserve">. Pareikalavus teikti informaciją ir paaiškinimus </w:t>
      </w:r>
      <w:r w:rsidRPr="00C02586">
        <w:t xml:space="preserve">apie aplinkybes, kurioms esant buvo prieita prie išvados dėl projekto veiklų ir lėšų panaudojimo, tikrintojas turi sudaryti sąlygas gauti tikrinamus dokumentus, darbo dokumentus </w:t>
      </w:r>
      <w:r w:rsidR="000F4AFB">
        <w:t>LIFE</w:t>
      </w:r>
      <w:r w:rsidRPr="00C02586">
        <w:t xml:space="preserve"> </w:t>
      </w:r>
      <w:r w:rsidRPr="00C02586">
        <w:rPr>
          <w:iCs/>
        </w:rPr>
        <w:t>programą įgyvendinančioms institucijoms</w:t>
      </w:r>
      <w:r w:rsidRPr="00C02586">
        <w:t xml:space="preserve"> bei </w:t>
      </w:r>
      <w:r w:rsidRPr="00C02586">
        <w:rPr>
          <w:iCs/>
        </w:rPr>
        <w:t>kitoms programos įgyvendinimo priežiūrą vykdančioms institucijoms ir jų įgaliotiems atstovams.</w:t>
      </w:r>
    </w:p>
    <w:p w14:paraId="1F59819F" w14:textId="39DF9BE1" w:rsidR="00672CDA" w:rsidRDefault="00E6111D" w:rsidP="00113D3F">
      <w:pPr>
        <w:tabs>
          <w:tab w:val="left" w:pos="0"/>
          <w:tab w:val="left" w:pos="709"/>
        </w:tabs>
        <w:spacing w:line="360" w:lineRule="auto"/>
        <w:ind w:firstLine="426"/>
        <w:jc w:val="both"/>
      </w:pPr>
      <w:r>
        <w:t xml:space="preserve">9. </w:t>
      </w:r>
      <w:bookmarkStart w:id="3" w:name="_Hlk179204615"/>
      <w:r w:rsidRPr="006B586F">
        <w:rPr>
          <w:bCs/>
          <w:szCs w:val="24"/>
        </w:rPr>
        <w:t xml:space="preserve">Viešasis pirkimas laikomas žaliuoju, kadangi viešojo pirkimo objektas atitinka Aplinkos apsaugos kriterijų taikymo, vykdant žaliuosius pirkimus, tvarkos aprašo, patvirtinto Lietuvos Respublikos aplinkos ministro </w:t>
      </w:r>
      <w:r w:rsidRPr="006B586F">
        <w:rPr>
          <w:color w:val="000000"/>
        </w:rPr>
        <w:t>2011 m. birželio 28 d</w:t>
      </w:r>
      <w:r w:rsidRPr="006B586F">
        <w:rPr>
          <w:bCs/>
          <w:szCs w:val="24"/>
        </w:rPr>
        <w:t xml:space="preserve"> įsakymu</w:t>
      </w:r>
      <w:r w:rsidRPr="006B586F">
        <w:rPr>
          <w:color w:val="000000"/>
        </w:rPr>
        <w:t>. Nr. D1-508</w:t>
      </w:r>
      <w:r w:rsidRPr="006B586F">
        <w:rPr>
          <w:bCs/>
          <w:szCs w:val="24"/>
        </w:rPr>
        <w:t xml:space="preserve"> „Dėl Aplinkos apsaugos kriterijų taikymo, vykdant žaliuosius pirkimus, tvarkos aprašo patvirtinimo“, 4.4.3 papunktyje nurodytus reikalavimus: 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bookmarkEnd w:id="3"/>
      <w:r>
        <w:rPr>
          <w:bCs/>
          <w:szCs w:val="24"/>
        </w:rPr>
        <w:t>.</w:t>
      </w:r>
    </w:p>
    <w:p w14:paraId="58E49069" w14:textId="77777777" w:rsidR="00672CDA" w:rsidRDefault="00672CDA" w:rsidP="00113D3F">
      <w:pPr>
        <w:tabs>
          <w:tab w:val="left" w:pos="0"/>
          <w:tab w:val="left" w:pos="709"/>
        </w:tabs>
        <w:spacing w:line="360" w:lineRule="auto"/>
      </w:pPr>
    </w:p>
    <w:p w14:paraId="2E26F2D2" w14:textId="77777777" w:rsidR="00672CDA" w:rsidRDefault="00672CDA" w:rsidP="00113D3F">
      <w:pPr>
        <w:tabs>
          <w:tab w:val="left" w:pos="0"/>
          <w:tab w:val="left" w:pos="709"/>
        </w:tabs>
      </w:pPr>
    </w:p>
    <w:p w14:paraId="76382306" w14:textId="5384F139" w:rsidR="00CD125F" w:rsidRPr="00C02586" w:rsidRDefault="00CD125F" w:rsidP="00CD125F">
      <w:pPr>
        <w:tabs>
          <w:tab w:val="left" w:pos="0"/>
          <w:tab w:val="left" w:pos="709"/>
        </w:tabs>
        <w:ind w:left="360"/>
      </w:pPr>
      <w:r w:rsidRPr="00C02586">
        <w:t xml:space="preserve">                                             ____________________</w:t>
      </w:r>
    </w:p>
    <w:p w14:paraId="76382307" w14:textId="77777777" w:rsidR="006D308F" w:rsidRDefault="006D308F" w:rsidP="00CD125F">
      <w:pPr>
        <w:tabs>
          <w:tab w:val="left" w:pos="0"/>
          <w:tab w:val="left" w:pos="709"/>
        </w:tabs>
        <w:spacing w:line="360" w:lineRule="auto"/>
      </w:pPr>
    </w:p>
    <w:p w14:paraId="7638230E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0F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0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1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2" w14:textId="77777777" w:rsidR="0081125E" w:rsidRDefault="0081125E" w:rsidP="0081125E">
      <w:pPr>
        <w:tabs>
          <w:tab w:val="left" w:pos="360"/>
          <w:tab w:val="left" w:pos="720"/>
        </w:tabs>
        <w:spacing w:line="360" w:lineRule="auto"/>
        <w:ind w:left="6120" w:firstLine="360"/>
        <w:jc w:val="right"/>
        <w:rPr>
          <w:sz w:val="22"/>
          <w:szCs w:val="22"/>
        </w:rPr>
      </w:pPr>
    </w:p>
    <w:p w14:paraId="76382316" w14:textId="77777777" w:rsidR="0081125E" w:rsidRDefault="0081125E" w:rsidP="007374C9">
      <w:pPr>
        <w:tabs>
          <w:tab w:val="left" w:pos="360"/>
          <w:tab w:val="left" w:pos="720"/>
        </w:tabs>
        <w:spacing w:line="360" w:lineRule="auto"/>
        <w:rPr>
          <w:sz w:val="22"/>
          <w:szCs w:val="22"/>
        </w:rPr>
      </w:pPr>
    </w:p>
    <w:sectPr w:rsidR="0081125E" w:rsidSect="000002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7480"/>
    <w:multiLevelType w:val="hybridMultilevel"/>
    <w:tmpl w:val="122A3940"/>
    <w:lvl w:ilvl="0" w:tplc="C75C9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320F64">
      <w:numFmt w:val="none"/>
      <w:lvlText w:val=""/>
      <w:lvlJc w:val="left"/>
      <w:pPr>
        <w:tabs>
          <w:tab w:val="num" w:pos="360"/>
        </w:tabs>
      </w:pPr>
    </w:lvl>
    <w:lvl w:ilvl="2" w:tplc="F0EE9750">
      <w:numFmt w:val="none"/>
      <w:lvlText w:val=""/>
      <w:lvlJc w:val="left"/>
      <w:pPr>
        <w:tabs>
          <w:tab w:val="num" w:pos="360"/>
        </w:tabs>
      </w:pPr>
    </w:lvl>
    <w:lvl w:ilvl="3" w:tplc="860E293C">
      <w:numFmt w:val="none"/>
      <w:lvlText w:val=""/>
      <w:lvlJc w:val="left"/>
      <w:pPr>
        <w:tabs>
          <w:tab w:val="num" w:pos="360"/>
        </w:tabs>
      </w:pPr>
    </w:lvl>
    <w:lvl w:ilvl="4" w:tplc="65723E0C">
      <w:numFmt w:val="none"/>
      <w:lvlText w:val=""/>
      <w:lvlJc w:val="left"/>
      <w:pPr>
        <w:tabs>
          <w:tab w:val="num" w:pos="360"/>
        </w:tabs>
      </w:pPr>
    </w:lvl>
    <w:lvl w:ilvl="5" w:tplc="DBD03AA0">
      <w:numFmt w:val="none"/>
      <w:lvlText w:val=""/>
      <w:lvlJc w:val="left"/>
      <w:pPr>
        <w:tabs>
          <w:tab w:val="num" w:pos="360"/>
        </w:tabs>
      </w:pPr>
    </w:lvl>
    <w:lvl w:ilvl="6" w:tplc="59A0BC06">
      <w:numFmt w:val="none"/>
      <w:lvlText w:val=""/>
      <w:lvlJc w:val="left"/>
      <w:pPr>
        <w:tabs>
          <w:tab w:val="num" w:pos="360"/>
        </w:tabs>
      </w:pPr>
    </w:lvl>
    <w:lvl w:ilvl="7" w:tplc="DD3494E6">
      <w:numFmt w:val="none"/>
      <w:lvlText w:val=""/>
      <w:lvlJc w:val="left"/>
      <w:pPr>
        <w:tabs>
          <w:tab w:val="num" w:pos="360"/>
        </w:tabs>
      </w:pPr>
    </w:lvl>
    <w:lvl w:ilvl="8" w:tplc="B9241FB4">
      <w:numFmt w:val="none"/>
      <w:lvlText w:val=""/>
      <w:lvlJc w:val="left"/>
      <w:pPr>
        <w:tabs>
          <w:tab w:val="num" w:pos="360"/>
        </w:tabs>
      </w:pPr>
    </w:lvl>
  </w:abstractNum>
  <w:num w:numId="1" w16cid:durableId="4960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5F"/>
    <w:rsid w:val="000002E7"/>
    <w:rsid w:val="0000761D"/>
    <w:rsid w:val="00036DFD"/>
    <w:rsid w:val="000518A0"/>
    <w:rsid w:val="0006082A"/>
    <w:rsid w:val="000A56AF"/>
    <w:rsid w:val="000C18A2"/>
    <w:rsid w:val="000D5DC1"/>
    <w:rsid w:val="000F4AFB"/>
    <w:rsid w:val="00113D3F"/>
    <w:rsid w:val="00172CFA"/>
    <w:rsid w:val="00182087"/>
    <w:rsid w:val="001A6C0B"/>
    <w:rsid w:val="001E7A94"/>
    <w:rsid w:val="002553F2"/>
    <w:rsid w:val="00267915"/>
    <w:rsid w:val="00271BE3"/>
    <w:rsid w:val="002A0F18"/>
    <w:rsid w:val="002C6B29"/>
    <w:rsid w:val="002D491D"/>
    <w:rsid w:val="002E074D"/>
    <w:rsid w:val="0031523B"/>
    <w:rsid w:val="00364DB4"/>
    <w:rsid w:val="003731A8"/>
    <w:rsid w:val="00373357"/>
    <w:rsid w:val="003C3253"/>
    <w:rsid w:val="003D1BEE"/>
    <w:rsid w:val="00402ABF"/>
    <w:rsid w:val="00461967"/>
    <w:rsid w:val="004756E7"/>
    <w:rsid w:val="004B5214"/>
    <w:rsid w:val="004F0ED9"/>
    <w:rsid w:val="005776DE"/>
    <w:rsid w:val="00582637"/>
    <w:rsid w:val="005B2B8B"/>
    <w:rsid w:val="006077C1"/>
    <w:rsid w:val="00672CDA"/>
    <w:rsid w:val="006A11BB"/>
    <w:rsid w:val="006D308F"/>
    <w:rsid w:val="006F2FE4"/>
    <w:rsid w:val="007103F9"/>
    <w:rsid w:val="007143BB"/>
    <w:rsid w:val="007346A8"/>
    <w:rsid w:val="007374C9"/>
    <w:rsid w:val="0078710C"/>
    <w:rsid w:val="007C6093"/>
    <w:rsid w:val="007D7250"/>
    <w:rsid w:val="0081125E"/>
    <w:rsid w:val="00845EE0"/>
    <w:rsid w:val="00871CE8"/>
    <w:rsid w:val="00884EBA"/>
    <w:rsid w:val="008E14DB"/>
    <w:rsid w:val="008E703F"/>
    <w:rsid w:val="008F73D8"/>
    <w:rsid w:val="00AA48F5"/>
    <w:rsid w:val="00AC59C6"/>
    <w:rsid w:val="00AF778D"/>
    <w:rsid w:val="00B2470F"/>
    <w:rsid w:val="00C166D7"/>
    <w:rsid w:val="00C36A51"/>
    <w:rsid w:val="00C654BB"/>
    <w:rsid w:val="00C7309F"/>
    <w:rsid w:val="00C76819"/>
    <w:rsid w:val="00CD125F"/>
    <w:rsid w:val="00CD17A5"/>
    <w:rsid w:val="00CD4696"/>
    <w:rsid w:val="00CE1C9B"/>
    <w:rsid w:val="00D12F46"/>
    <w:rsid w:val="00D24741"/>
    <w:rsid w:val="00E26C35"/>
    <w:rsid w:val="00E6111D"/>
    <w:rsid w:val="00E9555A"/>
    <w:rsid w:val="00EC1EEE"/>
    <w:rsid w:val="00FC1FA7"/>
    <w:rsid w:val="00FC4585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22C4"/>
  <w15:chartTrackingRefBased/>
  <w15:docId w15:val="{E58A7651-3701-40DD-848B-8B49973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125F"/>
    <w:pPr>
      <w:ind w:firstLine="720"/>
    </w:pPr>
    <w:rPr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CD12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3">
    <w:name w:val="Body Text Indent 3"/>
    <w:basedOn w:val="Normal"/>
    <w:link w:val="BodyTextIndent3Char"/>
    <w:rsid w:val="00CD12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125F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aliases w:val="Alna"/>
    <w:uiPriority w:val="99"/>
    <w:rsid w:val="0081125E"/>
    <w:rPr>
      <w:color w:val="0000FF"/>
      <w:u w:val="single"/>
    </w:rPr>
  </w:style>
  <w:style w:type="table" w:styleId="TableGrid">
    <w:name w:val="Table Grid"/>
    <w:basedOn w:val="TableNormal"/>
    <w:uiPriority w:val="39"/>
    <w:rsid w:val="0081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1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7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7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7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7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7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985</Words>
  <Characters>6942</Characters>
  <Application>Microsoft Office Word</Application>
  <DocSecurity>0</DocSecurity>
  <Lines>247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Sližienė</dc:creator>
  <cp:keywords/>
  <dc:description/>
  <cp:lastModifiedBy>Edita Baltrėnaitė</cp:lastModifiedBy>
  <cp:revision>32</cp:revision>
  <dcterms:created xsi:type="dcterms:W3CDTF">2024-10-03T12:20:00Z</dcterms:created>
  <dcterms:modified xsi:type="dcterms:W3CDTF">2025-09-17T10:11:00Z</dcterms:modified>
</cp:coreProperties>
</file>