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475CA" w14:textId="04473484" w:rsidR="006E3D25" w:rsidRPr="00C97FE4" w:rsidRDefault="00657BE2" w:rsidP="00657BE2">
      <w:pPr>
        <w:jc w:val="center"/>
        <w:rPr>
          <w:rFonts w:ascii="Times New Roman" w:hAnsi="Times New Roman"/>
          <w:lang w:val="lt-LT"/>
        </w:rPr>
      </w:pPr>
      <w:r w:rsidRPr="005706A2">
        <w:rPr>
          <w:noProof/>
        </w:rPr>
        <w:drawing>
          <wp:inline distT="0" distB="0" distL="0" distR="0" wp14:anchorId="3AB66F04" wp14:editId="03CDB5BD">
            <wp:extent cx="1000125" cy="684770"/>
            <wp:effectExtent l="0" t="0" r="0" b="1270"/>
            <wp:docPr id="1085379912" name="Paveikslėlis 3"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79912" name="Paveikslėlis 3" descr="Paveikslėlis, kuriame yra eskizas, piešimas, Linijinis piešimas, iliustracija&#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684770"/>
                    </a:xfrm>
                    <a:prstGeom prst="rect">
                      <a:avLst/>
                    </a:prstGeom>
                    <a:noFill/>
                    <a:ln>
                      <a:noFill/>
                    </a:ln>
                  </pic:spPr>
                </pic:pic>
              </a:graphicData>
            </a:graphic>
          </wp:inline>
        </w:drawing>
      </w:r>
    </w:p>
    <w:p w14:paraId="527306AB" w14:textId="77777777" w:rsidR="005A7E53" w:rsidRPr="005A7E53" w:rsidRDefault="005A7E53" w:rsidP="00657BE2">
      <w:pPr>
        <w:rPr>
          <w:rFonts w:ascii="Times New Roman" w:hAnsi="Times New Roman"/>
          <w:b/>
          <w:szCs w:val="24"/>
        </w:rPr>
      </w:pPr>
    </w:p>
    <w:p w14:paraId="21D39D53"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4E472C67" w14:textId="77777777" w:rsidR="006A5859" w:rsidRPr="00C97FE4" w:rsidRDefault="006A5859" w:rsidP="00FB72BD">
      <w:pPr>
        <w:jc w:val="center"/>
        <w:rPr>
          <w:rFonts w:ascii="Times New Roman" w:hAnsi="Times New Roman"/>
          <w:lang w:val="lt-LT"/>
        </w:rPr>
      </w:pPr>
    </w:p>
    <w:p w14:paraId="1B7F4E8D" w14:textId="77777777" w:rsidR="002D59F1" w:rsidRDefault="00E35FE2" w:rsidP="00432747">
      <w:pPr>
        <w:jc w:val="center"/>
        <w:rPr>
          <w:rFonts w:ascii="Times New Roman" w:hAnsi="Times New Roman"/>
          <w:sz w:val="18"/>
          <w:szCs w:val="18"/>
          <w:lang w:val="lt-LT"/>
        </w:rPr>
      </w:pPr>
      <w:r w:rsidRPr="00432747">
        <w:rPr>
          <w:rFonts w:ascii="Times New Roman" w:hAnsi="Times New Roman"/>
          <w:sz w:val="18"/>
          <w:szCs w:val="18"/>
          <w:lang w:val="lt-LT"/>
        </w:rPr>
        <w:t>Biudžetinė įstaiga, Gedimino pr. 19, 01103 Vilnius</w:t>
      </w:r>
      <w:r w:rsidR="00432747" w:rsidRPr="00432747">
        <w:rPr>
          <w:rFonts w:ascii="Times New Roman" w:hAnsi="Times New Roman"/>
          <w:sz w:val="18"/>
          <w:szCs w:val="18"/>
          <w:lang w:val="lt-LT"/>
        </w:rPr>
        <w:t xml:space="preserve">, tel. +370 5 239 1001, </w:t>
      </w:r>
    </w:p>
    <w:p w14:paraId="7DF5369C" w14:textId="77777777" w:rsidR="00432747" w:rsidRPr="00432747" w:rsidRDefault="002D59F1" w:rsidP="00432747">
      <w:pPr>
        <w:jc w:val="center"/>
        <w:rPr>
          <w:rFonts w:ascii="Times New Roman" w:hAnsi="Times New Roman"/>
          <w:sz w:val="18"/>
          <w:szCs w:val="18"/>
          <w:lang w:val="lt-LT"/>
        </w:rPr>
      </w:pPr>
      <w:r>
        <w:rPr>
          <w:rFonts w:ascii="Times New Roman" w:hAnsi="Times New Roman"/>
          <w:sz w:val="18"/>
          <w:szCs w:val="18"/>
          <w:lang w:val="lt-LT"/>
        </w:rPr>
        <w:t>E</w:t>
      </w:r>
      <w:r w:rsidR="00432747" w:rsidRPr="00432747">
        <w:rPr>
          <w:rFonts w:ascii="Times New Roman" w:hAnsi="Times New Roman"/>
          <w:sz w:val="18"/>
          <w:szCs w:val="18"/>
          <w:lang w:val="lt-LT"/>
        </w:rPr>
        <w:t xml:space="preserve">l. paštas </w:t>
      </w:r>
      <w:hyperlink r:id="rId8" w:history="1">
        <w:r w:rsidR="00432747" w:rsidRPr="00432747">
          <w:rPr>
            <w:rStyle w:val="Hipersaitas"/>
            <w:rFonts w:ascii="Times New Roman" w:hAnsi="Times New Roman"/>
            <w:sz w:val="18"/>
            <w:szCs w:val="18"/>
            <w:lang w:val="lt-LT"/>
          </w:rPr>
          <w:t>zum@zum.lt</w:t>
        </w:r>
      </w:hyperlink>
      <w:r w:rsidR="00432747" w:rsidRPr="00432747">
        <w:rPr>
          <w:rStyle w:val="Hipersaitas"/>
          <w:rFonts w:ascii="Times New Roman" w:hAnsi="Times New Roman"/>
          <w:sz w:val="18"/>
          <w:szCs w:val="18"/>
          <w:lang w:val="lt-LT"/>
        </w:rPr>
        <w:t xml:space="preserve">, </w:t>
      </w:r>
      <w:hyperlink r:id="rId9" w:history="1">
        <w:r w:rsidR="00432747" w:rsidRPr="00432747">
          <w:rPr>
            <w:rStyle w:val="Hipersaitas"/>
            <w:rFonts w:ascii="Times New Roman" w:hAnsi="Times New Roman"/>
            <w:sz w:val="18"/>
            <w:szCs w:val="18"/>
            <w:lang w:val="lt-LT"/>
          </w:rPr>
          <w:t>http://www.zum.lt</w:t>
        </w:r>
      </w:hyperlink>
    </w:p>
    <w:p w14:paraId="433CF223" w14:textId="77777777" w:rsidR="0006585C" w:rsidRDefault="00E35FE2" w:rsidP="00FB72BD">
      <w:pPr>
        <w:pBdr>
          <w:bottom w:val="single" w:sz="4" w:space="1" w:color="auto"/>
        </w:pBdr>
        <w:jc w:val="center"/>
        <w:rPr>
          <w:rFonts w:ascii="Times New Roman" w:hAnsi="Times New Roman"/>
          <w:sz w:val="18"/>
          <w:szCs w:val="18"/>
          <w:lang w:val="lt-LT"/>
        </w:rPr>
      </w:pPr>
      <w:r w:rsidRPr="00432747">
        <w:rPr>
          <w:rFonts w:ascii="Times New Roman" w:hAnsi="Times New Roman"/>
          <w:sz w:val="18"/>
          <w:szCs w:val="18"/>
          <w:lang w:val="lt-LT"/>
        </w:rPr>
        <w:t>Duomenys kaupiami ir saugomi Juridinių asmenų registre, kodas 188675190</w:t>
      </w:r>
    </w:p>
    <w:p w14:paraId="1421FF1C" w14:textId="77777777" w:rsidR="00432747" w:rsidRDefault="00432747" w:rsidP="00432747">
      <w:pPr>
        <w:jc w:val="center"/>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296"/>
        <w:gridCol w:w="1707"/>
        <w:gridCol w:w="530"/>
        <w:gridCol w:w="2287"/>
      </w:tblGrid>
      <w:tr w:rsidR="0089191C" w14:paraId="6AE3AD9C" w14:textId="77777777" w:rsidTr="004541CC">
        <w:tc>
          <w:tcPr>
            <w:tcW w:w="4920" w:type="dxa"/>
            <w:vMerge w:val="restart"/>
          </w:tcPr>
          <w:p w14:paraId="77449934" w14:textId="2D6A64AB" w:rsidR="001E15F2" w:rsidRPr="0089191C" w:rsidRDefault="0089191C" w:rsidP="004541CC">
            <w:pPr>
              <w:jc w:val="both"/>
              <w:rPr>
                <w:rFonts w:ascii="Times New Roman" w:hAnsi="Times New Roman"/>
                <w:lang w:val="lt-LT"/>
              </w:rPr>
            </w:pPr>
            <w:r>
              <w:rPr>
                <w:rFonts w:ascii="Times New Roman" w:hAnsi="Times New Roman"/>
                <w:lang w:val="lt-LT"/>
              </w:rPr>
              <w:t>Prie pirkimo prisijungusiems tiekėjams</w:t>
            </w:r>
          </w:p>
          <w:p w14:paraId="1DB65D66" w14:textId="77777777" w:rsidR="001E15F2" w:rsidRDefault="001E15F2" w:rsidP="004541CC">
            <w:pPr>
              <w:jc w:val="both"/>
              <w:rPr>
                <w:rFonts w:ascii="Times New Roman" w:hAnsi="Times New Roman"/>
                <w:lang w:val="lt-LT"/>
              </w:rPr>
            </w:pPr>
          </w:p>
        </w:tc>
        <w:tc>
          <w:tcPr>
            <w:tcW w:w="296" w:type="dxa"/>
          </w:tcPr>
          <w:p w14:paraId="7829CF1E" w14:textId="77777777" w:rsidR="001E15F2" w:rsidRDefault="001E15F2" w:rsidP="004541CC">
            <w:pPr>
              <w:jc w:val="both"/>
              <w:rPr>
                <w:rFonts w:ascii="Times New Roman" w:hAnsi="Times New Roman"/>
                <w:lang w:val="lt-LT"/>
              </w:rPr>
            </w:pPr>
          </w:p>
        </w:tc>
        <w:tc>
          <w:tcPr>
            <w:tcW w:w="1755" w:type="dxa"/>
            <w:tcBorders>
              <w:bottom w:val="single" w:sz="4" w:space="0" w:color="auto"/>
            </w:tcBorders>
          </w:tcPr>
          <w:p w14:paraId="76FBB385" w14:textId="77777777" w:rsidR="001E15F2" w:rsidRDefault="001E15F2" w:rsidP="004541CC">
            <w:pPr>
              <w:jc w:val="both"/>
              <w:rPr>
                <w:rFonts w:ascii="Times New Roman" w:hAnsi="Times New Roman"/>
                <w:lang w:val="lt-LT"/>
              </w:rPr>
            </w:pPr>
          </w:p>
        </w:tc>
        <w:tc>
          <w:tcPr>
            <w:tcW w:w="530" w:type="dxa"/>
          </w:tcPr>
          <w:p w14:paraId="3122FED0" w14:textId="77777777" w:rsidR="001E15F2" w:rsidRDefault="001E15F2" w:rsidP="004541CC">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26963107" w14:textId="77777777" w:rsidR="001E15F2" w:rsidRDefault="001E15F2" w:rsidP="004541CC">
            <w:pPr>
              <w:jc w:val="both"/>
              <w:rPr>
                <w:rFonts w:ascii="Times New Roman" w:hAnsi="Times New Roman"/>
                <w:lang w:val="lt-LT"/>
              </w:rPr>
            </w:pPr>
          </w:p>
        </w:tc>
      </w:tr>
      <w:tr w:rsidR="0089191C" w14:paraId="691C384A" w14:textId="77777777" w:rsidTr="004541CC">
        <w:tc>
          <w:tcPr>
            <w:tcW w:w="4920" w:type="dxa"/>
            <w:vMerge/>
          </w:tcPr>
          <w:p w14:paraId="3B88323B" w14:textId="77777777" w:rsidR="001E15F2" w:rsidRDefault="001E15F2" w:rsidP="004541CC">
            <w:pPr>
              <w:jc w:val="both"/>
              <w:rPr>
                <w:rFonts w:ascii="Times New Roman" w:hAnsi="Times New Roman"/>
                <w:lang w:val="lt-LT"/>
              </w:rPr>
            </w:pPr>
          </w:p>
        </w:tc>
        <w:tc>
          <w:tcPr>
            <w:tcW w:w="296" w:type="dxa"/>
          </w:tcPr>
          <w:p w14:paraId="72FBE54F" w14:textId="77777777" w:rsidR="001E15F2" w:rsidRDefault="001E15F2" w:rsidP="004541C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44990CC6" w14:textId="77777777" w:rsidR="001E15F2" w:rsidRDefault="001E15F2" w:rsidP="004541CC">
            <w:pPr>
              <w:spacing w:before="120"/>
              <w:jc w:val="both"/>
              <w:rPr>
                <w:rFonts w:ascii="Times New Roman" w:hAnsi="Times New Roman"/>
                <w:lang w:val="lt-LT"/>
              </w:rPr>
            </w:pPr>
          </w:p>
        </w:tc>
        <w:tc>
          <w:tcPr>
            <w:tcW w:w="530" w:type="dxa"/>
          </w:tcPr>
          <w:p w14:paraId="3E8BD22F" w14:textId="77777777" w:rsidR="001E15F2" w:rsidRDefault="001E15F2" w:rsidP="004541C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150B2F24" w14:textId="77777777" w:rsidR="001E15F2" w:rsidRDefault="001E15F2" w:rsidP="004541CC">
            <w:pPr>
              <w:spacing w:before="120"/>
              <w:jc w:val="both"/>
              <w:rPr>
                <w:rFonts w:ascii="Times New Roman" w:hAnsi="Times New Roman"/>
                <w:lang w:val="lt-LT"/>
              </w:rPr>
            </w:pPr>
          </w:p>
        </w:tc>
      </w:tr>
      <w:tr w:rsidR="0089191C" w14:paraId="5AD09392" w14:textId="77777777" w:rsidTr="004541CC">
        <w:trPr>
          <w:trHeight w:val="113"/>
        </w:trPr>
        <w:tc>
          <w:tcPr>
            <w:tcW w:w="4920" w:type="dxa"/>
            <w:vMerge/>
          </w:tcPr>
          <w:p w14:paraId="7AA86245" w14:textId="77777777" w:rsidR="001E15F2" w:rsidRDefault="001E15F2" w:rsidP="004541CC">
            <w:pPr>
              <w:jc w:val="both"/>
              <w:rPr>
                <w:rFonts w:ascii="Times New Roman" w:hAnsi="Times New Roman"/>
                <w:lang w:val="lt-LT"/>
              </w:rPr>
            </w:pPr>
          </w:p>
        </w:tc>
        <w:tc>
          <w:tcPr>
            <w:tcW w:w="296" w:type="dxa"/>
          </w:tcPr>
          <w:p w14:paraId="28CEE6C8" w14:textId="77777777" w:rsidR="001E15F2" w:rsidRDefault="001E15F2" w:rsidP="004541CC">
            <w:pPr>
              <w:spacing w:before="120"/>
              <w:jc w:val="both"/>
              <w:rPr>
                <w:rFonts w:ascii="Times New Roman" w:hAnsi="Times New Roman"/>
                <w:lang w:val="lt-LT"/>
              </w:rPr>
            </w:pPr>
          </w:p>
        </w:tc>
        <w:tc>
          <w:tcPr>
            <w:tcW w:w="1755" w:type="dxa"/>
            <w:tcBorders>
              <w:top w:val="single" w:sz="4" w:space="0" w:color="auto"/>
            </w:tcBorders>
          </w:tcPr>
          <w:p w14:paraId="247847EC" w14:textId="77777777" w:rsidR="001E15F2" w:rsidRDefault="001E15F2" w:rsidP="004541CC">
            <w:pPr>
              <w:spacing w:before="120"/>
              <w:jc w:val="both"/>
              <w:rPr>
                <w:rFonts w:ascii="Times New Roman" w:hAnsi="Times New Roman"/>
                <w:lang w:val="lt-LT"/>
              </w:rPr>
            </w:pPr>
          </w:p>
        </w:tc>
        <w:tc>
          <w:tcPr>
            <w:tcW w:w="530" w:type="dxa"/>
          </w:tcPr>
          <w:p w14:paraId="356BE43A" w14:textId="77777777" w:rsidR="001E15F2" w:rsidRDefault="001E15F2" w:rsidP="004541CC">
            <w:pPr>
              <w:spacing w:before="120"/>
              <w:jc w:val="both"/>
              <w:rPr>
                <w:rFonts w:ascii="Times New Roman" w:hAnsi="Times New Roman"/>
                <w:lang w:val="lt-LT"/>
              </w:rPr>
            </w:pPr>
          </w:p>
        </w:tc>
        <w:tc>
          <w:tcPr>
            <w:tcW w:w="2354" w:type="dxa"/>
            <w:tcBorders>
              <w:top w:val="single" w:sz="4" w:space="0" w:color="auto"/>
            </w:tcBorders>
          </w:tcPr>
          <w:p w14:paraId="071F6774" w14:textId="77777777" w:rsidR="001E15F2" w:rsidRDefault="001E15F2" w:rsidP="004541CC">
            <w:pPr>
              <w:spacing w:before="120"/>
              <w:jc w:val="both"/>
              <w:rPr>
                <w:rFonts w:ascii="Times New Roman" w:hAnsi="Times New Roman"/>
                <w:lang w:val="lt-LT"/>
              </w:rPr>
            </w:pPr>
          </w:p>
        </w:tc>
      </w:tr>
    </w:tbl>
    <w:p w14:paraId="19F6D545" w14:textId="77777777" w:rsidR="006A5859" w:rsidRPr="00C97FE4" w:rsidRDefault="006A5859" w:rsidP="006A5859">
      <w:pPr>
        <w:jc w:val="both"/>
        <w:rPr>
          <w:rFonts w:ascii="Times New Roman" w:hAnsi="Times New Roman"/>
          <w:lang w:val="lt-LT"/>
        </w:rPr>
      </w:pPr>
    </w:p>
    <w:p w14:paraId="2D6071FD" w14:textId="02CD61D3" w:rsidR="004F6DFE" w:rsidRPr="00D82CA3" w:rsidRDefault="00A22B78" w:rsidP="006A5859">
      <w:pPr>
        <w:jc w:val="both"/>
        <w:rPr>
          <w:rFonts w:ascii="Times New Roman" w:hAnsi="Times New Roman"/>
          <w:b/>
          <w:lang w:val="en-US"/>
        </w:rPr>
      </w:pPr>
      <w:r>
        <w:rPr>
          <w:rFonts w:ascii="Times New Roman" w:hAnsi="Times New Roman"/>
          <w:b/>
        </w:rPr>
        <w:t xml:space="preserve">DĖL VIEŠOJO PIRKIMO NR. </w:t>
      </w:r>
      <w:r w:rsidR="00426379">
        <w:rPr>
          <w:rFonts w:ascii="Times New Roman" w:hAnsi="Times New Roman"/>
          <w:b/>
          <w:lang w:val="en-US"/>
        </w:rPr>
        <w:t>4182500</w:t>
      </w:r>
    </w:p>
    <w:p w14:paraId="6801BA0B" w14:textId="77777777" w:rsidR="004F6DFE" w:rsidRPr="00C97FE4" w:rsidRDefault="004F6DFE" w:rsidP="006A5859">
      <w:pPr>
        <w:jc w:val="both"/>
        <w:rPr>
          <w:rFonts w:ascii="Times New Roman" w:hAnsi="Times New Roman"/>
          <w:lang w:val="lt-LT"/>
        </w:rPr>
      </w:pPr>
    </w:p>
    <w:p w14:paraId="254B2E9C" w14:textId="77777777" w:rsidR="004F6DFE" w:rsidRPr="00D46316" w:rsidRDefault="004F6DFE" w:rsidP="008B2159">
      <w:pPr>
        <w:spacing w:line="276" w:lineRule="auto"/>
        <w:jc w:val="both"/>
        <w:rPr>
          <w:rFonts w:ascii="Times New Roman" w:hAnsi="Times New Roman"/>
          <w:sz w:val="22"/>
          <w:lang w:val="lt-LT"/>
        </w:rPr>
      </w:pPr>
    </w:p>
    <w:p w14:paraId="30113381" w14:textId="0BC7A479" w:rsidR="00D82CA3" w:rsidRDefault="00A22B78" w:rsidP="0057483A">
      <w:pPr>
        <w:spacing w:line="360" w:lineRule="auto"/>
        <w:ind w:firstLine="720"/>
        <w:jc w:val="both"/>
        <w:rPr>
          <w:rFonts w:ascii="Times New Roman" w:hAnsi="Times New Roman"/>
          <w:szCs w:val="24"/>
          <w:lang w:val="lt-LT"/>
        </w:rPr>
      </w:pPr>
      <w:r w:rsidRPr="00A22B78">
        <w:rPr>
          <w:rFonts w:ascii="Times New Roman" w:hAnsi="Times New Roman"/>
          <w:szCs w:val="24"/>
          <w:lang w:val="lt-LT"/>
        </w:rPr>
        <w:t>Lietuvos Respublikos žemės ūkio ministerijos Viešojo pirkimo komisija, vykdydama</w:t>
      </w:r>
      <w:r>
        <w:rPr>
          <w:rFonts w:ascii="Times New Roman" w:hAnsi="Times New Roman"/>
          <w:szCs w:val="24"/>
          <w:lang w:val="lt-LT"/>
        </w:rPr>
        <w:t xml:space="preserve"> </w:t>
      </w:r>
      <w:r w:rsidR="00426379">
        <w:rPr>
          <w:rFonts w:ascii="Times New Roman" w:hAnsi="Times New Roman"/>
          <w:szCs w:val="24"/>
          <w:lang w:val="lt-LT"/>
        </w:rPr>
        <w:t>Lietuvos žemės ir maisto ūkio, tautinio paveldo produktų ir patiekalų ekspozicijos įrengimo ir aptarnavimo</w:t>
      </w:r>
      <w:r w:rsidR="008266A5" w:rsidRPr="008266A5">
        <w:rPr>
          <w:rFonts w:ascii="Times New Roman" w:hAnsi="Times New Roman"/>
          <w:szCs w:val="24"/>
          <w:lang w:val="lt-LT"/>
        </w:rPr>
        <w:t xml:space="preserve"> </w:t>
      </w:r>
      <w:r w:rsidR="00D82CA3" w:rsidRPr="00D82CA3">
        <w:rPr>
          <w:rFonts w:ascii="Times New Roman" w:hAnsi="Times New Roman"/>
          <w:szCs w:val="24"/>
          <w:lang w:val="lt-LT"/>
        </w:rPr>
        <w:t xml:space="preserve">paslaugų </w:t>
      </w:r>
      <w:r w:rsidRPr="00A22B78">
        <w:rPr>
          <w:rFonts w:ascii="Times New Roman" w:hAnsi="Times New Roman"/>
          <w:szCs w:val="24"/>
          <w:lang w:val="lt-LT"/>
        </w:rPr>
        <w:t>pirkimo</w:t>
      </w:r>
      <w:r w:rsidR="00D82CA3">
        <w:rPr>
          <w:rFonts w:ascii="Times New Roman" w:hAnsi="Times New Roman"/>
          <w:szCs w:val="24"/>
          <w:lang w:val="lt-LT"/>
        </w:rPr>
        <w:t xml:space="preserve"> (toliau – Pirkimas)</w:t>
      </w:r>
      <w:r w:rsidRPr="00A22B78">
        <w:rPr>
          <w:rFonts w:ascii="Times New Roman" w:hAnsi="Times New Roman"/>
          <w:szCs w:val="24"/>
          <w:lang w:val="lt-LT"/>
        </w:rPr>
        <w:t xml:space="preserve"> atviro konkurso būdu procedūras,</w:t>
      </w:r>
      <w:r>
        <w:rPr>
          <w:rFonts w:ascii="Times New Roman" w:hAnsi="Times New Roman"/>
          <w:szCs w:val="24"/>
          <w:lang w:val="lt-LT"/>
        </w:rPr>
        <w:t xml:space="preserve"> </w:t>
      </w:r>
      <w:r w:rsidR="00D82CA3">
        <w:rPr>
          <w:rFonts w:ascii="Times New Roman" w:hAnsi="Times New Roman"/>
          <w:szCs w:val="24"/>
          <w:lang w:val="lt-LT"/>
        </w:rPr>
        <w:t>atsako į tiekėj</w:t>
      </w:r>
      <w:r w:rsidR="008F2F48">
        <w:rPr>
          <w:rFonts w:ascii="Times New Roman" w:hAnsi="Times New Roman"/>
          <w:szCs w:val="24"/>
          <w:lang w:val="lt-LT"/>
        </w:rPr>
        <w:t>ų</w:t>
      </w:r>
      <w:r w:rsidR="00D82CA3">
        <w:rPr>
          <w:rFonts w:ascii="Times New Roman" w:hAnsi="Times New Roman"/>
          <w:szCs w:val="24"/>
          <w:lang w:val="lt-LT"/>
        </w:rPr>
        <w:t xml:space="preserve"> klausim</w:t>
      </w:r>
      <w:r w:rsidR="0094180C">
        <w:rPr>
          <w:rFonts w:ascii="Times New Roman" w:hAnsi="Times New Roman"/>
          <w:szCs w:val="24"/>
          <w:lang w:val="lt-LT"/>
        </w:rPr>
        <w:t>us</w:t>
      </w:r>
      <w:r w:rsidR="00D82CA3">
        <w:rPr>
          <w:rFonts w:ascii="Times New Roman" w:hAnsi="Times New Roman"/>
          <w:szCs w:val="24"/>
          <w:lang w:val="lt-LT"/>
        </w:rPr>
        <w:t xml:space="preserve"> ir paaiškina Pirkimo dokumentus.</w:t>
      </w:r>
    </w:p>
    <w:tbl>
      <w:tblPr>
        <w:tblStyle w:val="Lentelstinklelis1"/>
        <w:tblW w:w="0" w:type="auto"/>
        <w:tblLook w:val="04A0" w:firstRow="1" w:lastRow="0" w:firstColumn="1" w:lastColumn="0" w:noHBand="0" w:noVBand="1"/>
      </w:tblPr>
      <w:tblGrid>
        <w:gridCol w:w="570"/>
        <w:gridCol w:w="3711"/>
        <w:gridCol w:w="5348"/>
      </w:tblGrid>
      <w:tr w:rsidR="008F2F48" w:rsidRPr="008F2F48" w14:paraId="3EB1C1B7" w14:textId="77777777" w:rsidTr="008F2F48">
        <w:tc>
          <w:tcPr>
            <w:tcW w:w="570" w:type="dxa"/>
            <w:shd w:val="clear" w:color="auto" w:fill="E8E8E8"/>
          </w:tcPr>
          <w:p w14:paraId="6F1D2F06" w14:textId="77777777" w:rsidR="008F2F48" w:rsidRPr="008F2F48" w:rsidRDefault="008F2F48" w:rsidP="008F2F48">
            <w:pPr>
              <w:overflowPunct/>
              <w:autoSpaceDE/>
              <w:autoSpaceDN/>
              <w:adjustRightInd/>
              <w:jc w:val="both"/>
              <w:textAlignment w:val="auto"/>
              <w:rPr>
                <w:rFonts w:ascii="Times New Roman" w:hAnsi="Times New Roman"/>
                <w:b/>
                <w:bCs/>
                <w:lang w:val="lt-LT"/>
              </w:rPr>
            </w:pPr>
            <w:r w:rsidRPr="008F2F48">
              <w:rPr>
                <w:rFonts w:ascii="Times New Roman" w:hAnsi="Times New Roman"/>
                <w:b/>
                <w:bCs/>
                <w:lang w:val="lt-LT"/>
              </w:rPr>
              <w:t>Eil. Nr.</w:t>
            </w:r>
          </w:p>
        </w:tc>
        <w:tc>
          <w:tcPr>
            <w:tcW w:w="3711" w:type="dxa"/>
            <w:shd w:val="clear" w:color="auto" w:fill="E8E8E8"/>
          </w:tcPr>
          <w:p w14:paraId="4DA1E6A6" w14:textId="77777777" w:rsidR="008F2F48" w:rsidRPr="008F2F48" w:rsidRDefault="008F2F48" w:rsidP="008F2F48">
            <w:pPr>
              <w:overflowPunct/>
              <w:autoSpaceDE/>
              <w:autoSpaceDN/>
              <w:adjustRightInd/>
              <w:jc w:val="both"/>
              <w:textAlignment w:val="auto"/>
              <w:rPr>
                <w:rFonts w:ascii="Times New Roman" w:hAnsi="Times New Roman"/>
                <w:b/>
                <w:bCs/>
                <w:lang w:val="lt-LT"/>
              </w:rPr>
            </w:pPr>
            <w:r w:rsidRPr="008F2F48">
              <w:rPr>
                <w:rFonts w:ascii="Times New Roman" w:hAnsi="Times New Roman"/>
                <w:b/>
                <w:bCs/>
                <w:lang w:val="lt-LT"/>
              </w:rPr>
              <w:t>Tiekėjų CVPIS priemonėmis pateikti klausimai</w:t>
            </w:r>
          </w:p>
          <w:p w14:paraId="571A56AE" w14:textId="77777777" w:rsidR="008F2F48" w:rsidRPr="008F2F48" w:rsidRDefault="008F2F48" w:rsidP="008F2F48">
            <w:pPr>
              <w:overflowPunct/>
              <w:autoSpaceDE/>
              <w:autoSpaceDN/>
              <w:adjustRightInd/>
              <w:jc w:val="both"/>
              <w:textAlignment w:val="auto"/>
              <w:rPr>
                <w:rFonts w:ascii="Times New Roman" w:hAnsi="Times New Roman"/>
                <w:i/>
                <w:iCs/>
                <w:lang w:val="lt-LT"/>
              </w:rPr>
            </w:pPr>
            <w:r w:rsidRPr="008F2F48">
              <w:rPr>
                <w:rFonts w:ascii="Times New Roman" w:hAnsi="Times New Roman"/>
                <w:i/>
                <w:iCs/>
                <w:lang w:val="lt-LT"/>
              </w:rPr>
              <w:t>(klausimų kalba netaisyta)</w:t>
            </w:r>
          </w:p>
        </w:tc>
        <w:tc>
          <w:tcPr>
            <w:tcW w:w="5348" w:type="dxa"/>
            <w:shd w:val="clear" w:color="auto" w:fill="E8E8E8"/>
          </w:tcPr>
          <w:p w14:paraId="287C2C07" w14:textId="77777777" w:rsidR="008F2F48" w:rsidRPr="008F2F48" w:rsidRDefault="008F2F48" w:rsidP="008F2F48">
            <w:pPr>
              <w:overflowPunct/>
              <w:autoSpaceDE/>
              <w:autoSpaceDN/>
              <w:adjustRightInd/>
              <w:jc w:val="both"/>
              <w:textAlignment w:val="auto"/>
              <w:rPr>
                <w:rFonts w:ascii="Times New Roman" w:hAnsi="Times New Roman"/>
                <w:b/>
                <w:bCs/>
                <w:lang w:val="lt-LT"/>
              </w:rPr>
            </w:pPr>
            <w:r w:rsidRPr="008F2F48">
              <w:rPr>
                <w:rFonts w:ascii="Times New Roman" w:hAnsi="Times New Roman"/>
                <w:b/>
                <w:bCs/>
                <w:lang w:val="lt-LT"/>
              </w:rPr>
              <w:t>Atsakymai</w:t>
            </w:r>
          </w:p>
        </w:tc>
      </w:tr>
      <w:tr w:rsidR="008F2F48" w:rsidRPr="00657BE2" w14:paraId="2584E48F" w14:textId="77777777" w:rsidTr="008F2F48">
        <w:tc>
          <w:tcPr>
            <w:tcW w:w="570" w:type="dxa"/>
            <w:shd w:val="clear" w:color="auto" w:fill="E8E8E8"/>
          </w:tcPr>
          <w:p w14:paraId="446153A9"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lang w:val="lt-LT"/>
              </w:rPr>
              <w:t>1.</w:t>
            </w:r>
          </w:p>
        </w:tc>
        <w:tc>
          <w:tcPr>
            <w:tcW w:w="3711" w:type="dxa"/>
          </w:tcPr>
          <w:p w14:paraId="64D34D7D" w14:textId="77777777" w:rsidR="008F2F48" w:rsidRPr="008F2F48" w:rsidRDefault="008F2F48" w:rsidP="008F2F48">
            <w:pPr>
              <w:jc w:val="both"/>
              <w:rPr>
                <w:rFonts w:ascii="Times New Roman" w:hAnsi="Times New Roman"/>
                <w:lang w:val="lt-LT"/>
              </w:rPr>
            </w:pPr>
            <w:r w:rsidRPr="008F2F48">
              <w:rPr>
                <w:rFonts w:ascii="Times New Roman" w:hAnsi="Times New Roman"/>
                <w:lang w:val="lt-LT"/>
              </w:rPr>
              <w:t>„Reikalavimai, susiję su nacionaliniu saugumu. Punkte 5.3 nurodyta, kad tiekėjas kartu su pasiūlymu turi pateikti laisvos formos atitikties deklaraciją dėl atitikties VPĮ 45 straipsnio 2</w:t>
            </w:r>
            <w:r w:rsidRPr="008F2F48">
              <w:rPr>
                <w:rFonts w:ascii="Times New Roman" w:hAnsi="Times New Roman"/>
                <w:vertAlign w:val="superscript"/>
                <w:lang w:val="lt-LT"/>
              </w:rPr>
              <w:t>1</w:t>
            </w:r>
            <w:r w:rsidRPr="008F2F48">
              <w:rPr>
                <w:rFonts w:ascii="Times New Roman" w:hAnsi="Times New Roman"/>
                <w:lang w:val="lt-LT"/>
              </w:rPr>
              <w:t xml:space="preserve"> dalies 1, 2, 3 ir 6 punktams. Ar teisingai suprantame, kad kartu su pasiūlymu papildomai turime pateikti ne tik EBVPD, bet ir 5.3 punkte numatyta atitikties deklaraciją laisvos formą bei užpildytą deklaraciją pagal 8 priedą.“</w:t>
            </w:r>
          </w:p>
          <w:p w14:paraId="19509F1C" w14:textId="77777777" w:rsidR="008F2F48" w:rsidRPr="008F2F48" w:rsidRDefault="008F2F48" w:rsidP="008F2F48">
            <w:pPr>
              <w:overflowPunct/>
              <w:autoSpaceDE/>
              <w:autoSpaceDN/>
              <w:adjustRightInd/>
              <w:jc w:val="both"/>
              <w:textAlignment w:val="auto"/>
              <w:rPr>
                <w:rFonts w:ascii="Times New Roman" w:hAnsi="Times New Roman"/>
                <w:lang w:val="lt-LT"/>
              </w:rPr>
            </w:pPr>
          </w:p>
        </w:tc>
        <w:tc>
          <w:tcPr>
            <w:tcW w:w="5348" w:type="dxa"/>
          </w:tcPr>
          <w:p w14:paraId="7CBC8E85" w14:textId="77777777" w:rsidR="008F2F48" w:rsidRPr="008F2F48" w:rsidRDefault="008F2F48" w:rsidP="008F2F48">
            <w:pPr>
              <w:overflowPunct/>
              <w:autoSpaceDE/>
              <w:autoSpaceDN/>
              <w:adjustRightInd/>
              <w:spacing w:before="100" w:beforeAutospacing="1" w:after="100" w:afterAutospacing="1"/>
              <w:textAlignment w:val="auto"/>
              <w:rPr>
                <w:rFonts w:ascii="Times New Roman" w:hAnsi="Times New Roman"/>
                <w:lang w:val="lt-LT" w:eastAsia="lt-LT"/>
              </w:rPr>
            </w:pPr>
            <w:r w:rsidRPr="008F2F48">
              <w:rPr>
                <w:rFonts w:ascii="Times New Roman" w:hAnsi="Times New Roman"/>
                <w:lang w:val="lt-LT" w:eastAsia="lt-LT"/>
              </w:rPr>
              <w:t>Taip, teisingai suprantate – kartu su pasiūlymu reikia pateikti:</w:t>
            </w:r>
          </w:p>
          <w:p w14:paraId="68B48078" w14:textId="5318DF98" w:rsidR="008F2F48" w:rsidRPr="008F2F48" w:rsidRDefault="008F2F48" w:rsidP="008F2F48">
            <w:pPr>
              <w:numPr>
                <w:ilvl w:val="0"/>
                <w:numId w:val="2"/>
              </w:numPr>
              <w:overflowPunct/>
              <w:autoSpaceDE/>
              <w:autoSpaceDN/>
              <w:adjustRightInd/>
              <w:spacing w:before="100" w:beforeAutospacing="1" w:after="100" w:afterAutospacing="1"/>
              <w:textAlignment w:val="auto"/>
              <w:rPr>
                <w:rFonts w:ascii="Times New Roman" w:hAnsi="Times New Roman"/>
                <w:lang w:val="lt-LT" w:eastAsia="lt-LT"/>
              </w:rPr>
            </w:pPr>
            <w:r w:rsidRPr="008F2F48">
              <w:rPr>
                <w:rFonts w:ascii="Times New Roman" w:hAnsi="Times New Roman"/>
                <w:lang w:val="lt-LT" w:eastAsia="lt-LT"/>
              </w:rPr>
              <w:t>EBVPD (5 priedas)</w:t>
            </w:r>
            <w:r>
              <w:rPr>
                <w:rFonts w:ascii="Times New Roman" w:hAnsi="Times New Roman"/>
                <w:lang w:val="lt-LT" w:eastAsia="lt-LT"/>
              </w:rPr>
              <w:t>;</w:t>
            </w:r>
          </w:p>
          <w:p w14:paraId="6FB17B0B" w14:textId="3C448E4E" w:rsidR="008F2F48" w:rsidRPr="008F2F48" w:rsidRDefault="008F2F48" w:rsidP="008F2F48">
            <w:pPr>
              <w:numPr>
                <w:ilvl w:val="0"/>
                <w:numId w:val="2"/>
              </w:numPr>
              <w:overflowPunct/>
              <w:autoSpaceDE/>
              <w:autoSpaceDN/>
              <w:adjustRightInd/>
              <w:spacing w:before="100" w:beforeAutospacing="1" w:after="100" w:afterAutospacing="1"/>
              <w:textAlignment w:val="auto"/>
              <w:rPr>
                <w:rFonts w:ascii="Times New Roman" w:hAnsi="Times New Roman"/>
                <w:lang w:val="lt-LT" w:eastAsia="lt-LT"/>
              </w:rPr>
            </w:pPr>
            <w:r w:rsidRPr="008F2F48">
              <w:rPr>
                <w:rFonts w:ascii="Times New Roman" w:hAnsi="Times New Roman"/>
                <w:lang w:val="lt-LT" w:eastAsia="lt-LT"/>
              </w:rPr>
              <w:t>laisvos formos deklaraciją dėl VPĮ 45 str. 2</w:t>
            </w:r>
            <w:r w:rsidRPr="008F2F48">
              <w:rPr>
                <w:rFonts w:ascii="Times New Roman" w:hAnsi="Times New Roman"/>
                <w:vertAlign w:val="superscript"/>
                <w:lang w:val="lt-LT" w:eastAsia="lt-LT"/>
              </w:rPr>
              <w:t>1</w:t>
            </w:r>
            <w:r w:rsidRPr="008F2F48">
              <w:rPr>
                <w:rFonts w:ascii="Times New Roman" w:hAnsi="Times New Roman"/>
                <w:lang w:val="lt-LT" w:eastAsia="lt-LT"/>
              </w:rPr>
              <w:t xml:space="preserve"> d. 1, 2, 3 ir 6 p.</w:t>
            </w:r>
            <w:r>
              <w:rPr>
                <w:rFonts w:ascii="Times New Roman" w:hAnsi="Times New Roman"/>
                <w:lang w:val="lt-LT" w:eastAsia="lt-LT"/>
              </w:rPr>
              <w:t>;</w:t>
            </w:r>
          </w:p>
          <w:p w14:paraId="06CA5414" w14:textId="77777777" w:rsidR="008F2F48" w:rsidRPr="008F2F48" w:rsidRDefault="008F2F48" w:rsidP="008F2F48">
            <w:pPr>
              <w:numPr>
                <w:ilvl w:val="0"/>
                <w:numId w:val="2"/>
              </w:numPr>
              <w:overflowPunct/>
              <w:autoSpaceDE/>
              <w:autoSpaceDN/>
              <w:adjustRightInd/>
              <w:spacing w:before="100" w:beforeAutospacing="1" w:after="100" w:afterAutospacing="1"/>
              <w:textAlignment w:val="auto"/>
              <w:rPr>
                <w:rFonts w:ascii="Times New Roman" w:hAnsi="Times New Roman"/>
                <w:lang w:val="lt-LT" w:eastAsia="lt-LT"/>
              </w:rPr>
            </w:pPr>
            <w:r w:rsidRPr="008F2F48">
              <w:rPr>
                <w:rFonts w:ascii="Times New Roman" w:hAnsi="Times New Roman"/>
                <w:lang w:val="lt-LT" w:eastAsia="lt-LT"/>
              </w:rPr>
              <w:t>deklaraciją pagal 8 priedą (jei tiekėjas – juridinis asmuo) arba 9 priedą (jei fizinis asmuo).</w:t>
            </w:r>
          </w:p>
          <w:p w14:paraId="1B083924" w14:textId="77777777" w:rsidR="008F2F48" w:rsidRPr="008F2F48" w:rsidRDefault="008F2F48" w:rsidP="008F2F48">
            <w:pPr>
              <w:overflowPunct/>
              <w:autoSpaceDE/>
              <w:autoSpaceDN/>
              <w:adjustRightInd/>
              <w:jc w:val="both"/>
              <w:textAlignment w:val="auto"/>
              <w:rPr>
                <w:rFonts w:ascii="Times New Roman" w:hAnsi="Times New Roman"/>
                <w:lang w:val="lt-LT"/>
              </w:rPr>
            </w:pPr>
          </w:p>
        </w:tc>
      </w:tr>
      <w:tr w:rsidR="008F2F48" w:rsidRPr="008F2F48" w14:paraId="5AEA5D9F" w14:textId="77777777" w:rsidTr="008F2F48">
        <w:trPr>
          <w:trHeight w:val="115"/>
        </w:trPr>
        <w:tc>
          <w:tcPr>
            <w:tcW w:w="570" w:type="dxa"/>
            <w:vMerge w:val="restart"/>
            <w:shd w:val="clear" w:color="auto" w:fill="E8E8E8"/>
          </w:tcPr>
          <w:p w14:paraId="76410A8D"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lang w:val="lt-LT"/>
              </w:rPr>
              <w:t>2.</w:t>
            </w:r>
          </w:p>
        </w:tc>
        <w:tc>
          <w:tcPr>
            <w:tcW w:w="9059" w:type="dxa"/>
            <w:gridSpan w:val="2"/>
          </w:tcPr>
          <w:p w14:paraId="383EC3CD"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lang w:val="lt-LT"/>
              </w:rPr>
              <w:t>Specialieji reikalavimai pasiūlymų rengimui</w:t>
            </w:r>
          </w:p>
        </w:tc>
      </w:tr>
      <w:tr w:rsidR="008F2F48" w:rsidRPr="00657BE2" w14:paraId="0F33243A" w14:textId="77777777" w:rsidTr="008F2F48">
        <w:trPr>
          <w:trHeight w:val="115"/>
        </w:trPr>
        <w:tc>
          <w:tcPr>
            <w:tcW w:w="570" w:type="dxa"/>
            <w:vMerge/>
            <w:shd w:val="clear" w:color="auto" w:fill="E8E8E8"/>
          </w:tcPr>
          <w:p w14:paraId="6C1687E8" w14:textId="77777777" w:rsidR="008F2F48" w:rsidRPr="008F2F48" w:rsidRDefault="008F2F48" w:rsidP="008F2F48">
            <w:pPr>
              <w:overflowPunct/>
              <w:autoSpaceDE/>
              <w:autoSpaceDN/>
              <w:adjustRightInd/>
              <w:jc w:val="both"/>
              <w:textAlignment w:val="auto"/>
              <w:rPr>
                <w:rFonts w:ascii="Times New Roman" w:hAnsi="Times New Roman"/>
                <w:lang w:val="lt-LT"/>
              </w:rPr>
            </w:pPr>
          </w:p>
        </w:tc>
        <w:tc>
          <w:tcPr>
            <w:tcW w:w="3711" w:type="dxa"/>
          </w:tcPr>
          <w:p w14:paraId="3768C5BE"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b/>
                <w:bCs/>
                <w:lang w:val="lt-LT"/>
              </w:rPr>
              <w:t>1.</w:t>
            </w:r>
            <w:r w:rsidRPr="008F2F48">
              <w:rPr>
                <w:rFonts w:ascii="Times New Roman" w:hAnsi="Times New Roman"/>
                <w:lang w:val="lt-LT"/>
              </w:rPr>
              <w:t xml:space="preserve"> Punktuose 6.1.5 ir 7.1 nurodyta, kad tiekėjas privalo užtikrinti savo pasiūlymo galiojimą netesybomis. Gal galite patikslinti ar turime kokį nors dokumentą Jums pateikti pasiūlymo galiojimo užtikrinimui.</w:t>
            </w:r>
          </w:p>
        </w:tc>
        <w:tc>
          <w:tcPr>
            <w:tcW w:w="5348" w:type="dxa"/>
          </w:tcPr>
          <w:p w14:paraId="72131B51"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 xml:space="preserve">Taip, pagal konkurso sąlygas, tiekėjas </w:t>
            </w:r>
            <w:r w:rsidRPr="008F2F48">
              <w:rPr>
                <w:rFonts w:ascii="Times New Roman" w:eastAsia="Times New Roman" w:hAnsi="Times New Roman"/>
                <w:b/>
                <w:bCs/>
                <w:lang w:val="lt-LT" w:eastAsia="lt-LT"/>
              </w:rPr>
              <w:t>neturi teikti atskiro dokumento</w:t>
            </w:r>
            <w:r w:rsidRPr="008F2F48">
              <w:rPr>
                <w:rFonts w:ascii="Times New Roman" w:hAnsi="Times New Roman"/>
                <w:lang w:val="lt-LT" w:eastAsia="lt-LT"/>
              </w:rPr>
              <w:t xml:space="preserve"> pasiūlymo galiojimo užtikrinimui.</w:t>
            </w:r>
          </w:p>
          <w:p w14:paraId="620BD88D"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 xml:space="preserve">Kaip nurodyta 6.1.5 ir 7.1 punktuose, pasiūlymo galiojimas užtikrinamas </w:t>
            </w:r>
            <w:r w:rsidRPr="008F2F48">
              <w:rPr>
                <w:rFonts w:ascii="Times New Roman" w:eastAsia="Times New Roman" w:hAnsi="Times New Roman"/>
                <w:b/>
                <w:bCs/>
                <w:lang w:val="lt-LT" w:eastAsia="lt-LT"/>
              </w:rPr>
              <w:t>netesybomis (bauda)</w:t>
            </w:r>
            <w:r w:rsidRPr="008F2F48">
              <w:rPr>
                <w:rFonts w:ascii="Times New Roman" w:hAnsi="Times New Roman"/>
                <w:lang w:val="lt-LT" w:eastAsia="lt-LT"/>
              </w:rPr>
              <w:t>, o ne atskiru užtikrinimo dokumentu.</w:t>
            </w:r>
          </w:p>
          <w:p w14:paraId="7B7F893D"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lastRenderedPageBreak/>
              <w:t xml:space="preserve">Todėl kartu su pasiūlymu </w:t>
            </w:r>
            <w:r w:rsidRPr="008F2F48">
              <w:rPr>
                <w:rFonts w:ascii="Times New Roman" w:eastAsia="Times New Roman" w:hAnsi="Times New Roman"/>
                <w:b/>
                <w:bCs/>
                <w:lang w:val="lt-LT" w:eastAsia="lt-LT"/>
              </w:rPr>
              <w:t>papildomo dokumento teikti nereikia</w:t>
            </w:r>
            <w:r w:rsidRPr="008F2F48">
              <w:rPr>
                <w:rFonts w:ascii="Times New Roman" w:hAnsi="Times New Roman"/>
                <w:lang w:val="lt-LT" w:eastAsia="lt-LT"/>
              </w:rPr>
              <w:t>.</w:t>
            </w:r>
          </w:p>
          <w:p w14:paraId="66C0D834" w14:textId="77777777" w:rsidR="008F2F48" w:rsidRPr="008F2F48" w:rsidRDefault="008F2F48" w:rsidP="008F2F48">
            <w:pPr>
              <w:overflowPunct/>
              <w:autoSpaceDE/>
              <w:autoSpaceDN/>
              <w:adjustRightInd/>
              <w:jc w:val="both"/>
              <w:textAlignment w:val="auto"/>
              <w:rPr>
                <w:rFonts w:ascii="Times New Roman" w:hAnsi="Times New Roman"/>
                <w:lang w:val="lt-LT"/>
              </w:rPr>
            </w:pPr>
          </w:p>
        </w:tc>
      </w:tr>
      <w:tr w:rsidR="008F2F48" w:rsidRPr="00657BE2" w14:paraId="346AD5F4" w14:textId="77777777" w:rsidTr="008F2F48">
        <w:trPr>
          <w:trHeight w:val="115"/>
        </w:trPr>
        <w:tc>
          <w:tcPr>
            <w:tcW w:w="570" w:type="dxa"/>
            <w:vMerge/>
            <w:shd w:val="clear" w:color="auto" w:fill="E8E8E8"/>
          </w:tcPr>
          <w:p w14:paraId="380176AC" w14:textId="77777777" w:rsidR="008F2F48" w:rsidRPr="008F2F48" w:rsidRDefault="008F2F48" w:rsidP="008F2F48">
            <w:pPr>
              <w:overflowPunct/>
              <w:autoSpaceDE/>
              <w:autoSpaceDN/>
              <w:adjustRightInd/>
              <w:jc w:val="both"/>
              <w:textAlignment w:val="auto"/>
              <w:rPr>
                <w:rFonts w:ascii="Times New Roman" w:hAnsi="Times New Roman"/>
                <w:lang w:val="lt-LT"/>
              </w:rPr>
            </w:pPr>
          </w:p>
        </w:tc>
        <w:tc>
          <w:tcPr>
            <w:tcW w:w="3711" w:type="dxa"/>
          </w:tcPr>
          <w:p w14:paraId="2B3287C4"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b/>
                <w:bCs/>
                <w:lang w:val="lt-LT"/>
              </w:rPr>
              <w:t>2.</w:t>
            </w:r>
            <w:r w:rsidRPr="008F2F48">
              <w:rPr>
                <w:rFonts w:ascii="Times New Roman" w:hAnsi="Times New Roman"/>
                <w:lang w:val="lt-LT"/>
              </w:rPr>
              <w:t xml:space="preserve"> Punkte 6.5 punkte nurodyta, kad kainos bus vertinamos su visais mokesčiais. Prašome patikslinti, kaip bus vertinamas kitos Europos Sąjungos valstybės tiekėjo pasiūlymas, jei tiekėjas pateiks stendo nuomos kainą be PVM.“</w:t>
            </w:r>
          </w:p>
        </w:tc>
        <w:tc>
          <w:tcPr>
            <w:tcW w:w="5348" w:type="dxa"/>
          </w:tcPr>
          <w:p w14:paraId="4C8F3787"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 xml:space="preserve">Jeigu tiekėjas iš </w:t>
            </w:r>
            <w:r w:rsidRPr="008F2F48">
              <w:rPr>
                <w:rFonts w:ascii="Times New Roman" w:eastAsia="Times New Roman" w:hAnsi="Times New Roman"/>
                <w:b/>
                <w:bCs/>
                <w:lang w:val="lt-LT" w:eastAsia="lt-LT"/>
              </w:rPr>
              <w:t>kitos Europos Sąjungos valstybės</w:t>
            </w:r>
            <w:r w:rsidRPr="008F2F48">
              <w:rPr>
                <w:rFonts w:ascii="Times New Roman" w:hAnsi="Times New Roman"/>
                <w:lang w:val="lt-LT" w:eastAsia="lt-LT"/>
              </w:rPr>
              <w:t xml:space="preserve"> pateikia stendo nuomos kainą </w:t>
            </w:r>
            <w:r w:rsidRPr="008F2F48">
              <w:rPr>
                <w:rFonts w:ascii="Times New Roman" w:eastAsia="Times New Roman" w:hAnsi="Times New Roman"/>
                <w:b/>
                <w:bCs/>
                <w:lang w:val="lt-LT" w:eastAsia="lt-LT"/>
              </w:rPr>
              <w:t>be PVM</w:t>
            </w:r>
            <w:r w:rsidRPr="008F2F48">
              <w:rPr>
                <w:rFonts w:ascii="Times New Roman" w:hAnsi="Times New Roman"/>
                <w:lang w:val="lt-LT" w:eastAsia="lt-LT"/>
              </w:rPr>
              <w:t xml:space="preserve">, o </w:t>
            </w:r>
            <w:r w:rsidRPr="008F2F48">
              <w:rPr>
                <w:rFonts w:ascii="Times New Roman" w:eastAsia="Times New Roman" w:hAnsi="Times New Roman"/>
                <w:b/>
                <w:bCs/>
                <w:lang w:val="lt-LT" w:eastAsia="lt-LT"/>
              </w:rPr>
              <w:t>perkančiajai organizacijai neatsiranda prievolės apskaičiuoti ir sumokėti PVM į valstybės biudžetą</w:t>
            </w:r>
            <w:r w:rsidRPr="008F2F48">
              <w:rPr>
                <w:rFonts w:ascii="Times New Roman" w:hAnsi="Times New Roman"/>
                <w:lang w:val="lt-LT" w:eastAsia="lt-LT"/>
              </w:rPr>
              <w:t xml:space="preserve">, tuomet jo pasiūlymas </w:t>
            </w:r>
            <w:r w:rsidRPr="008F2F48">
              <w:rPr>
                <w:rFonts w:ascii="Times New Roman" w:eastAsia="Times New Roman" w:hAnsi="Times New Roman"/>
                <w:b/>
                <w:bCs/>
                <w:lang w:val="lt-LT" w:eastAsia="lt-LT"/>
              </w:rPr>
              <w:t>vertinamas taip, kaip pateiktas – su 0 % PVM</w:t>
            </w:r>
            <w:r w:rsidRPr="008F2F48">
              <w:rPr>
                <w:rFonts w:ascii="Times New Roman" w:hAnsi="Times New Roman"/>
                <w:lang w:val="lt-LT" w:eastAsia="lt-LT"/>
              </w:rPr>
              <w:t>.</w:t>
            </w:r>
          </w:p>
          <w:p w14:paraId="2D522144"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 xml:space="preserve">Tuo tarpu </w:t>
            </w:r>
            <w:r w:rsidRPr="008F2F48">
              <w:rPr>
                <w:rFonts w:ascii="Times New Roman" w:eastAsia="Times New Roman" w:hAnsi="Times New Roman"/>
                <w:b/>
                <w:bCs/>
                <w:lang w:val="lt-LT" w:eastAsia="lt-LT"/>
              </w:rPr>
              <w:t>Lietuvos tiekėjų pasiūlymai vertinami su 21 % PVM</w:t>
            </w:r>
            <w:r w:rsidRPr="008F2F48">
              <w:rPr>
                <w:rFonts w:ascii="Times New Roman" w:hAnsi="Times New Roman"/>
                <w:lang w:val="lt-LT" w:eastAsia="lt-LT"/>
              </w:rPr>
              <w:t>, kaip jie ir pateikti.</w:t>
            </w:r>
          </w:p>
          <w:p w14:paraId="42D304C5"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lang w:val="lt-LT"/>
              </w:rPr>
              <w:t xml:space="preserve">Detali informacija: </w:t>
            </w:r>
            <w:hyperlink r:id="rId10" w:history="1">
              <w:r w:rsidRPr="008F2F48">
                <w:rPr>
                  <w:rFonts w:ascii="Times New Roman" w:hAnsi="Times New Roman"/>
                  <w:color w:val="467886"/>
                  <w:u w:val="single"/>
                  <w:lang w:val="lt-LT"/>
                </w:rPr>
                <w:t>https://klausk.vpt.lt/hc/lt/articles/115005730785-Kaip-vertinti-pasi%C5%ABlymus-kai-tiek%C4%97j%C5%B3-statusas-pagal-PVM-mok%C4%97jim%C4%85-yra-nevienodas</w:t>
              </w:r>
            </w:hyperlink>
            <w:r w:rsidRPr="008F2F48">
              <w:rPr>
                <w:rFonts w:ascii="Times New Roman" w:hAnsi="Times New Roman"/>
                <w:lang w:val="lt-LT"/>
              </w:rPr>
              <w:t xml:space="preserve"> </w:t>
            </w:r>
          </w:p>
        </w:tc>
      </w:tr>
      <w:tr w:rsidR="008F2F48" w:rsidRPr="00657BE2" w14:paraId="60474386" w14:textId="77777777" w:rsidTr="008F2F48">
        <w:trPr>
          <w:trHeight w:val="38"/>
        </w:trPr>
        <w:tc>
          <w:tcPr>
            <w:tcW w:w="570" w:type="dxa"/>
            <w:vMerge w:val="restart"/>
            <w:shd w:val="clear" w:color="auto" w:fill="E8E8E8"/>
          </w:tcPr>
          <w:p w14:paraId="019ECA0F"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lang w:val="lt-LT"/>
              </w:rPr>
              <w:t>3.</w:t>
            </w:r>
          </w:p>
        </w:tc>
        <w:tc>
          <w:tcPr>
            <w:tcW w:w="9059" w:type="dxa"/>
            <w:gridSpan w:val="2"/>
          </w:tcPr>
          <w:p w14:paraId="43BA61D0"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lang w:val="lt-LT"/>
              </w:rPr>
              <w:t>„2 priedas. Techninė specifikacija. Kadangi nurodyta, kad pridėtas projektas skirtas tik kaip pagalbinė medžiaga ir yra tik pavyzdys ekspozicijos funkcijos išpildymui, turime klausimų dėl minimalių poreikių projektui, kad būtų galima tiksliai apskaičiuoti viso projekto įgyvendinimo kainą.</w:t>
            </w:r>
          </w:p>
        </w:tc>
      </w:tr>
      <w:tr w:rsidR="008F2F48" w:rsidRPr="00657BE2" w14:paraId="466CB810" w14:textId="77777777" w:rsidTr="008F2F48">
        <w:trPr>
          <w:trHeight w:val="32"/>
        </w:trPr>
        <w:tc>
          <w:tcPr>
            <w:tcW w:w="570" w:type="dxa"/>
            <w:vMerge/>
            <w:shd w:val="clear" w:color="auto" w:fill="E8E8E8"/>
          </w:tcPr>
          <w:p w14:paraId="28F6649E" w14:textId="77777777" w:rsidR="008F2F48" w:rsidRPr="008F2F48" w:rsidRDefault="008F2F48" w:rsidP="008F2F48">
            <w:pPr>
              <w:overflowPunct/>
              <w:autoSpaceDE/>
              <w:autoSpaceDN/>
              <w:adjustRightInd/>
              <w:jc w:val="both"/>
              <w:textAlignment w:val="auto"/>
              <w:rPr>
                <w:rFonts w:ascii="Times New Roman" w:hAnsi="Times New Roman"/>
                <w:lang w:val="lt-LT"/>
              </w:rPr>
            </w:pPr>
          </w:p>
        </w:tc>
        <w:tc>
          <w:tcPr>
            <w:tcW w:w="3711" w:type="dxa"/>
          </w:tcPr>
          <w:p w14:paraId="0F7EBB52" w14:textId="77777777" w:rsidR="008F2F48" w:rsidRPr="008F2F48" w:rsidRDefault="008F2F48" w:rsidP="008F2F48">
            <w:pPr>
              <w:overflowPunct/>
              <w:autoSpaceDE/>
              <w:autoSpaceDN/>
              <w:adjustRightInd/>
              <w:textAlignment w:val="auto"/>
              <w:rPr>
                <w:rFonts w:ascii="Times New Roman" w:hAnsi="Times New Roman"/>
                <w:lang w:val="lt-LT"/>
              </w:rPr>
            </w:pPr>
            <w:r w:rsidRPr="008F2F48">
              <w:rPr>
                <w:rFonts w:ascii="Times New Roman" w:hAnsi="Times New Roman"/>
                <w:b/>
                <w:bCs/>
                <w:lang w:val="lt-LT"/>
              </w:rPr>
              <w:t>1.</w:t>
            </w:r>
            <w:r w:rsidRPr="008F2F48">
              <w:rPr>
                <w:rFonts w:ascii="Times New Roman" w:hAnsi="Times New Roman"/>
                <w:lang w:val="lt-LT"/>
              </w:rPr>
              <w:t xml:space="preserve"> Punkte 4.3.1 numatyta, kad Zona1 turi būti suprojektuota virtuvės erdvė su visa reikalinga įranga maisto ruošimui, punkte 4.3.5 numatyta, kad turi būti suprojektuota vieta kompiuterinei darbo vietai, dokumentų spausdinimui ir t.t.</w:t>
            </w:r>
          </w:p>
          <w:p w14:paraId="0BE4FBEE"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lang w:val="lt-LT"/>
              </w:rPr>
              <w:t>Norime pasiteirauti ar įrangos maisto ruošimui, kompiuterinės įrangos nuoma turi būti įtraukta į šio pirkimo sąmatą.</w:t>
            </w:r>
          </w:p>
        </w:tc>
        <w:tc>
          <w:tcPr>
            <w:tcW w:w="5348" w:type="dxa"/>
          </w:tcPr>
          <w:p w14:paraId="5138B56A"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Pagal techninę specifikaciją:</w:t>
            </w:r>
          </w:p>
          <w:p w14:paraId="0794734F" w14:textId="77777777" w:rsidR="008F2F48" w:rsidRPr="008F2F48" w:rsidRDefault="008F2F48" w:rsidP="008F2F48">
            <w:pPr>
              <w:numPr>
                <w:ilvl w:val="0"/>
                <w:numId w:val="3"/>
              </w:num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4.3.1 punkte reikalaujama, kad virtuvės erdvė būtų „su visa reikalinga įranga maisto ruošimui vietoje“ – tai reiškia, kad maisto gamybai reikalinga įranga turi būti numatyta ir įtraukta į pasiūlymo kainą.</w:t>
            </w:r>
          </w:p>
          <w:p w14:paraId="65186255" w14:textId="77777777" w:rsidR="008F2F48" w:rsidRPr="008F2F48" w:rsidRDefault="008F2F48" w:rsidP="008F2F48">
            <w:pPr>
              <w:numPr>
                <w:ilvl w:val="0"/>
                <w:numId w:val="3"/>
              </w:num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4.3.5 punkte nurodyta, kad Zona 5 (II a.) turi būti skirta administraciniam darbui – joje turi būti suprojektuota vieta kompiuterinei darbo vietai, dokumentų spausdinimui ir pan. Tai reiškia, kad turi būti suformuota funkcionali erdvė su stalu, kėde ir kita būtina infrastruktūra darbo vietai. Kompiuterį planuoja atsivežti užsakovas, tačiau dokumentų spausdinimui būtina ne tik vieta, bet ir turi būti numatytas ir pateiktas spausdintuvas.</w:t>
            </w:r>
          </w:p>
          <w:p w14:paraId="73813F67"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Visi šie elementai turi būti įtraukti į bendrą pasiūlymo kainą.</w:t>
            </w:r>
          </w:p>
          <w:p w14:paraId="406A3B2B" w14:textId="77777777" w:rsidR="008F2F48" w:rsidRPr="008F2F48" w:rsidRDefault="008F2F48" w:rsidP="008F2F48">
            <w:pPr>
              <w:overflowPunct/>
              <w:autoSpaceDE/>
              <w:autoSpaceDN/>
              <w:adjustRightInd/>
              <w:jc w:val="both"/>
              <w:textAlignment w:val="auto"/>
              <w:rPr>
                <w:rFonts w:ascii="Times New Roman" w:hAnsi="Times New Roman"/>
                <w:highlight w:val="yellow"/>
                <w:lang w:val="lt-LT"/>
              </w:rPr>
            </w:pPr>
          </w:p>
        </w:tc>
      </w:tr>
      <w:tr w:rsidR="008F2F48" w:rsidRPr="00657BE2" w14:paraId="6644E9F1" w14:textId="77777777" w:rsidTr="008F2F48">
        <w:trPr>
          <w:trHeight w:val="32"/>
        </w:trPr>
        <w:tc>
          <w:tcPr>
            <w:tcW w:w="570" w:type="dxa"/>
            <w:vMerge/>
            <w:shd w:val="clear" w:color="auto" w:fill="E8E8E8"/>
          </w:tcPr>
          <w:p w14:paraId="53DE16AD" w14:textId="77777777" w:rsidR="008F2F48" w:rsidRPr="008F2F48" w:rsidRDefault="008F2F48" w:rsidP="008F2F48">
            <w:pPr>
              <w:overflowPunct/>
              <w:autoSpaceDE/>
              <w:autoSpaceDN/>
              <w:adjustRightInd/>
              <w:jc w:val="both"/>
              <w:textAlignment w:val="auto"/>
              <w:rPr>
                <w:rFonts w:ascii="Times New Roman" w:hAnsi="Times New Roman"/>
                <w:lang w:val="lt-LT"/>
              </w:rPr>
            </w:pPr>
          </w:p>
        </w:tc>
        <w:tc>
          <w:tcPr>
            <w:tcW w:w="3711" w:type="dxa"/>
          </w:tcPr>
          <w:p w14:paraId="0A18D506" w14:textId="77777777" w:rsidR="008F2F48" w:rsidRPr="008F2F48" w:rsidRDefault="008F2F48" w:rsidP="008F2F48">
            <w:pPr>
              <w:overflowPunct/>
              <w:autoSpaceDE/>
              <w:autoSpaceDN/>
              <w:adjustRightInd/>
              <w:ind w:firstLine="29"/>
              <w:jc w:val="both"/>
              <w:textAlignment w:val="auto"/>
              <w:rPr>
                <w:rFonts w:ascii="Times New Roman" w:hAnsi="Times New Roman"/>
                <w:lang w:val="lt-LT"/>
              </w:rPr>
            </w:pPr>
            <w:r w:rsidRPr="008F2F48">
              <w:rPr>
                <w:rFonts w:ascii="Times New Roman" w:hAnsi="Times New Roman"/>
                <w:b/>
                <w:bCs/>
                <w:lang w:val="lt-LT"/>
              </w:rPr>
              <w:t>2.</w:t>
            </w:r>
            <w:r w:rsidRPr="008F2F48">
              <w:rPr>
                <w:rFonts w:ascii="Times New Roman" w:hAnsi="Times New Roman"/>
                <w:lang w:val="lt-LT"/>
              </w:rPr>
              <w:t xml:space="preserve"> Punkte 4.3.1 numatyta, kad Zona1 turi būti suprojektuota sėdimų vietų erdvė lankytojams. Prašome patikslinti ar yra numatyta kiek minimaliai sėdimų vietų turi būti numatyta lankytojams Zona1 ar </w:t>
            </w:r>
            <w:r w:rsidRPr="008F2F48">
              <w:rPr>
                <w:rFonts w:ascii="Times New Roman" w:hAnsi="Times New Roman"/>
                <w:lang w:val="lt-LT"/>
              </w:rPr>
              <w:lastRenderedPageBreak/>
              <w:t>tiekėjas turi nuspręsti sėdimų vietų skaičių iš pridėtų brėžinių.</w:t>
            </w:r>
          </w:p>
        </w:tc>
        <w:tc>
          <w:tcPr>
            <w:tcW w:w="5348" w:type="dxa"/>
          </w:tcPr>
          <w:p w14:paraId="75B1096A"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lastRenderedPageBreak/>
              <w:t>Pagal techninės specifikacijos 4.3.1 punktą, Zona 1 (I a.) turi būti skirta maisto ruošimui, pristatymui bei sėdimų vietų erdvei lankytojams. Konkretaus minimaliai reikalingo sėdimų vietų skaičiaus šiame punkte nenustatyta.</w:t>
            </w:r>
          </w:p>
          <w:p w14:paraId="23C3173A"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lastRenderedPageBreak/>
              <w:t>Tačiau techninėje specifikacijoje taip pat nurodyta, kad tiekėjai gali susipažinti su 2025 metų ekspozicijos sprendimais, pateiktais projektiniame pavyzdyje (Priedas Nr. 1). Šie brėžiniai skirti padėti tiekėjui suprasti funkcinius poreikius ir gali būti naudojami kaip orientacinė medžiaga planuojant sėdimų vietų kiekį.</w:t>
            </w:r>
          </w:p>
          <w:p w14:paraId="0E5EDF52"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Todėl tiekėjas, planuodamas sėdimų vietų skaičių Zona 1, turi atsižvelgti į:</w:t>
            </w:r>
          </w:p>
          <w:p w14:paraId="68A9F8B2" w14:textId="77777777" w:rsidR="008F2F48" w:rsidRPr="008F2F48" w:rsidRDefault="008F2F48" w:rsidP="008F2F48">
            <w:pPr>
              <w:numPr>
                <w:ilvl w:val="0"/>
                <w:numId w:val="4"/>
              </w:num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bendrą erdvės funkcionalumą,</w:t>
            </w:r>
          </w:p>
          <w:p w14:paraId="5BB6AF6F" w14:textId="77777777" w:rsidR="008F2F48" w:rsidRPr="008F2F48" w:rsidRDefault="008F2F48" w:rsidP="008F2F48">
            <w:pPr>
              <w:numPr>
                <w:ilvl w:val="0"/>
                <w:numId w:val="4"/>
              </w:num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komfortą lankytojams ir personalui,</w:t>
            </w:r>
          </w:p>
          <w:p w14:paraId="0A752F50" w14:textId="77777777" w:rsidR="008F2F48" w:rsidRPr="008F2F48" w:rsidRDefault="008F2F48" w:rsidP="008F2F48">
            <w:pPr>
              <w:numPr>
                <w:ilvl w:val="0"/>
                <w:numId w:val="4"/>
              </w:num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ir pavyzdinę ekspoziciją, pateiktą kartu su konkurso dokumentais.</w:t>
            </w:r>
          </w:p>
          <w:p w14:paraId="4CA4B873" w14:textId="77777777" w:rsidR="008F2F48" w:rsidRPr="008F2F48" w:rsidRDefault="008F2F48" w:rsidP="008F2F48">
            <w:pPr>
              <w:overflowPunct/>
              <w:autoSpaceDE/>
              <w:autoSpaceDN/>
              <w:adjustRightInd/>
              <w:jc w:val="both"/>
              <w:textAlignment w:val="auto"/>
              <w:rPr>
                <w:rFonts w:ascii="Times New Roman" w:hAnsi="Times New Roman"/>
                <w:lang w:val="lt-LT"/>
              </w:rPr>
            </w:pPr>
          </w:p>
        </w:tc>
      </w:tr>
      <w:tr w:rsidR="008F2F48" w:rsidRPr="00657BE2" w14:paraId="31B81B62" w14:textId="77777777" w:rsidTr="008F2F48">
        <w:trPr>
          <w:trHeight w:val="32"/>
        </w:trPr>
        <w:tc>
          <w:tcPr>
            <w:tcW w:w="570" w:type="dxa"/>
            <w:vMerge/>
            <w:shd w:val="clear" w:color="auto" w:fill="E8E8E8"/>
          </w:tcPr>
          <w:p w14:paraId="7CCFBE67" w14:textId="77777777" w:rsidR="008F2F48" w:rsidRPr="008F2F48" w:rsidRDefault="008F2F48" w:rsidP="008F2F48">
            <w:pPr>
              <w:overflowPunct/>
              <w:autoSpaceDE/>
              <w:autoSpaceDN/>
              <w:adjustRightInd/>
              <w:jc w:val="both"/>
              <w:textAlignment w:val="auto"/>
              <w:rPr>
                <w:rFonts w:ascii="Times New Roman" w:hAnsi="Times New Roman"/>
                <w:lang w:val="lt-LT"/>
              </w:rPr>
            </w:pPr>
          </w:p>
        </w:tc>
        <w:tc>
          <w:tcPr>
            <w:tcW w:w="3711" w:type="dxa"/>
          </w:tcPr>
          <w:p w14:paraId="48C87F49"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b/>
                <w:bCs/>
                <w:lang w:val="lt-LT"/>
              </w:rPr>
              <w:t>3.</w:t>
            </w:r>
            <w:r w:rsidRPr="008F2F48">
              <w:rPr>
                <w:rFonts w:ascii="Times New Roman" w:hAnsi="Times New Roman"/>
                <w:lang w:val="lt-LT"/>
              </w:rPr>
              <w:t xml:space="preserve"> Punkte 4.3.2 numatyta, kad turi būti įrengtos 2 pagalbinės patalpos, tačiau nenurodyta kokia įranga turi būti ir koks minimalus įrangos kiekis turi būti minėtose patalpose. Ar teisingai suprantame, kad įrangos kiekis turi pilnai atitikti numatytus pridėtuose brėžiniuose ir turi būti įtraukta į sąmatą?</w:t>
            </w:r>
          </w:p>
        </w:tc>
        <w:tc>
          <w:tcPr>
            <w:tcW w:w="5348" w:type="dxa"/>
          </w:tcPr>
          <w:p w14:paraId="4EC7F5C0"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Pagal techninės specifikacijos 4.3.2 punktą, Zona 2 turi apimti kelias funkcines erdves, įskaitant dvi pagalbines patalpas, skirtas sandėliavimui, drabužinei ir trumpalaikei darbuotojų poilsio zonai. Nors konkreti įranga ir jos kiekiai šiose patalpose nenustatyti, dokumente aiškiai nurodyta, kad tiekėjai gali susipažinti su 2025 m. ekspozicijos sprendimais, pateiktais projektiniame pavyzdyje (Priedas Nr. 1).</w:t>
            </w:r>
          </w:p>
          <w:p w14:paraId="682BA59B"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 xml:space="preserve"> Todėl:</w:t>
            </w:r>
          </w:p>
          <w:p w14:paraId="6D7D29DC" w14:textId="77777777" w:rsidR="008F2F48" w:rsidRPr="008F2F48" w:rsidRDefault="008F2F48" w:rsidP="008F2F48">
            <w:pPr>
              <w:numPr>
                <w:ilvl w:val="0"/>
                <w:numId w:val="5"/>
              </w:num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Įrangos kiekis ir išdėstymas pagalbinėse patalpose turi būti suplanuotas taip, kad būtų užtikrintas patalpų funkcionalumas, kaip apibrėžta specifikacijoje.</w:t>
            </w:r>
          </w:p>
          <w:p w14:paraId="75BBD51B" w14:textId="77777777" w:rsidR="008F2F48" w:rsidRPr="008F2F48" w:rsidRDefault="008F2F48" w:rsidP="008F2F48">
            <w:pPr>
              <w:numPr>
                <w:ilvl w:val="0"/>
                <w:numId w:val="5"/>
              </w:num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Sprendiniai turi atitikti pavyzdinę ekspoziciją ir ją pilnai išpildyti.</w:t>
            </w:r>
          </w:p>
          <w:p w14:paraId="41EB5423" w14:textId="77777777" w:rsidR="008F2F48" w:rsidRPr="008F2F48" w:rsidRDefault="008F2F48" w:rsidP="008F2F48">
            <w:pPr>
              <w:numPr>
                <w:ilvl w:val="0"/>
                <w:numId w:val="5"/>
              </w:num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Visa reikalinga įranga ir jos įsigijimas arba nuoma turi būti įtraukta į pasiūlymo sąmatą.</w:t>
            </w:r>
          </w:p>
          <w:p w14:paraId="7C0788C5"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Tiekėjas atsako už tai, kad pagalbinės patalpos būtų pilnai funkcionalios, įrengtos pagal pavyzdinius brėžinius ir atitiktų visus numatytus poreikius.</w:t>
            </w:r>
          </w:p>
          <w:p w14:paraId="4816E766" w14:textId="77777777" w:rsidR="008F2F48" w:rsidRPr="008F2F48" w:rsidRDefault="008F2F48" w:rsidP="008F2F48">
            <w:pPr>
              <w:overflowPunct/>
              <w:autoSpaceDE/>
              <w:autoSpaceDN/>
              <w:adjustRightInd/>
              <w:jc w:val="both"/>
              <w:textAlignment w:val="auto"/>
              <w:rPr>
                <w:rFonts w:ascii="Times New Roman" w:hAnsi="Times New Roman"/>
                <w:lang w:val="lt-LT"/>
              </w:rPr>
            </w:pPr>
          </w:p>
        </w:tc>
      </w:tr>
      <w:tr w:rsidR="008F2F48" w:rsidRPr="00657BE2" w14:paraId="156917F3" w14:textId="77777777" w:rsidTr="008F2F48">
        <w:trPr>
          <w:trHeight w:val="32"/>
        </w:trPr>
        <w:tc>
          <w:tcPr>
            <w:tcW w:w="570" w:type="dxa"/>
            <w:vMerge/>
            <w:shd w:val="clear" w:color="auto" w:fill="E8E8E8"/>
          </w:tcPr>
          <w:p w14:paraId="7EFF4495" w14:textId="77777777" w:rsidR="008F2F48" w:rsidRPr="008F2F48" w:rsidRDefault="008F2F48" w:rsidP="008F2F48">
            <w:pPr>
              <w:overflowPunct/>
              <w:autoSpaceDE/>
              <w:autoSpaceDN/>
              <w:adjustRightInd/>
              <w:jc w:val="both"/>
              <w:textAlignment w:val="auto"/>
              <w:rPr>
                <w:rFonts w:ascii="Times New Roman" w:hAnsi="Times New Roman"/>
                <w:lang w:val="lt-LT"/>
              </w:rPr>
            </w:pPr>
          </w:p>
        </w:tc>
        <w:tc>
          <w:tcPr>
            <w:tcW w:w="3711" w:type="dxa"/>
          </w:tcPr>
          <w:p w14:paraId="21F6FAFF"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b/>
                <w:bCs/>
                <w:lang w:val="lt-LT"/>
              </w:rPr>
              <w:t>4.</w:t>
            </w:r>
            <w:r w:rsidRPr="008F2F48">
              <w:rPr>
                <w:rFonts w:ascii="Times New Roman" w:hAnsi="Times New Roman"/>
                <w:lang w:val="lt-LT"/>
              </w:rPr>
              <w:t xml:space="preserve"> Punkte 5.9. punkte numatyta, kad „visos transporto, apgyvendinimo, leidimų ir paslaugų organizavimo išlaidos turi būti įskaičiuotos į bendrą kainą“. Patvirtinkite, prašau, kad punkte 5.9 numatytos išlaidos yra susijusios tik su ekspozicijos </w:t>
            </w:r>
            <w:proofErr w:type="spellStart"/>
            <w:r w:rsidRPr="008F2F48">
              <w:rPr>
                <w:rFonts w:ascii="Times New Roman" w:hAnsi="Times New Roman"/>
                <w:lang w:val="lt-LT"/>
              </w:rPr>
              <w:t>įrengėjo</w:t>
            </w:r>
            <w:proofErr w:type="spellEnd"/>
            <w:r w:rsidRPr="008F2F48">
              <w:rPr>
                <w:rFonts w:ascii="Times New Roman" w:hAnsi="Times New Roman"/>
                <w:lang w:val="lt-LT"/>
              </w:rPr>
              <w:t xml:space="preserve"> personalu.</w:t>
            </w:r>
          </w:p>
        </w:tc>
        <w:tc>
          <w:tcPr>
            <w:tcW w:w="5348" w:type="dxa"/>
          </w:tcPr>
          <w:p w14:paraId="1B07CDA6" w14:textId="25E04B76"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lang w:val="lt-LT"/>
              </w:rPr>
              <w:t>Atsižvelgiant į tai, kad konkrečios transporto, apgyvendinimo ir kitos organizacinės išlaidos, susijusios su seminarų dalyviais (5.14 p.), eksponatų pristatytojais (5.16 p.) ir muzikos programos atlikėjais (5.17 p.), yra aiškiai išdėstytos atskiruose techninės specifikacijos</w:t>
            </w:r>
            <w:r w:rsidRPr="008F2F48">
              <w:rPr>
                <w:rFonts w:ascii="Times New Roman" w:hAnsi="Times New Roman"/>
                <w:b/>
                <w:bCs/>
                <w:lang w:val="lt-LT"/>
              </w:rPr>
              <w:t xml:space="preserve"> </w:t>
            </w:r>
            <w:r w:rsidRPr="008F2F48">
              <w:rPr>
                <w:rFonts w:ascii="Times New Roman" w:hAnsi="Times New Roman"/>
                <w:lang w:val="lt-LT"/>
              </w:rPr>
              <w:t>punktuose</w:t>
            </w:r>
            <w:r w:rsidRPr="00657BE2">
              <w:rPr>
                <w:rFonts w:ascii="Times New Roman" w:hAnsi="Times New Roman"/>
                <w:lang w:val="lt-LT"/>
              </w:rPr>
              <w:t>,</w:t>
            </w:r>
            <w:r w:rsidRPr="008F2F48">
              <w:rPr>
                <w:rFonts w:ascii="Times New Roman" w:hAnsi="Times New Roman"/>
                <w:lang w:val="lt-LT"/>
              </w:rPr>
              <w:t xml:space="preserve"> galima pagrįstai teigti, jog 5.9 punkte įvardytos „visos transporto, apgyvendinimo, leidimų ir paslaugų organizavimo išlaidos“</w:t>
            </w:r>
            <w:r w:rsidRPr="008F2F48">
              <w:rPr>
                <w:rFonts w:ascii="Times New Roman" w:hAnsi="Times New Roman"/>
                <w:b/>
                <w:bCs/>
                <w:lang w:val="lt-LT"/>
              </w:rPr>
              <w:t xml:space="preserve"> </w:t>
            </w:r>
            <w:r w:rsidRPr="008F2F48">
              <w:rPr>
                <w:rFonts w:ascii="Times New Roman" w:hAnsi="Times New Roman"/>
                <w:lang w:val="lt-LT"/>
              </w:rPr>
              <w:t>yra susijusios</w:t>
            </w:r>
            <w:r w:rsidRPr="008F2F48">
              <w:rPr>
                <w:rFonts w:ascii="Times New Roman" w:hAnsi="Times New Roman"/>
                <w:b/>
                <w:bCs/>
                <w:lang w:val="lt-LT"/>
              </w:rPr>
              <w:t xml:space="preserve"> </w:t>
            </w:r>
            <w:r w:rsidRPr="008F2F48">
              <w:rPr>
                <w:rFonts w:ascii="Times New Roman" w:hAnsi="Times New Roman"/>
                <w:lang w:val="lt-LT"/>
              </w:rPr>
              <w:t>su tiekėjo personalu</w:t>
            </w:r>
            <w:r w:rsidRPr="00657BE2">
              <w:rPr>
                <w:rFonts w:ascii="Times New Roman" w:hAnsi="Times New Roman"/>
                <w:lang w:val="lt-LT"/>
              </w:rPr>
              <w:t>,</w:t>
            </w:r>
            <w:r w:rsidRPr="008F2F48">
              <w:rPr>
                <w:rFonts w:ascii="Times New Roman" w:hAnsi="Times New Roman"/>
                <w:lang w:val="lt-LT"/>
              </w:rPr>
              <w:t xml:space="preserve"> reikalingu ekspozicijos įgyvendinimui ir </w:t>
            </w:r>
            <w:r w:rsidRPr="008F2F48">
              <w:rPr>
                <w:rFonts w:ascii="Times New Roman" w:hAnsi="Times New Roman"/>
                <w:lang w:val="lt-LT"/>
              </w:rPr>
              <w:lastRenderedPageBreak/>
              <w:t>aptarnavimui</w:t>
            </w:r>
            <w:r w:rsidR="005B27C1">
              <w:rPr>
                <w:rFonts w:ascii="Times New Roman" w:hAnsi="Times New Roman"/>
                <w:lang w:val="lt-LT"/>
              </w:rPr>
              <w:t>,</w:t>
            </w:r>
            <w:r w:rsidRPr="008F2F48">
              <w:rPr>
                <w:rFonts w:ascii="Times New Roman" w:hAnsi="Times New Roman"/>
                <w:lang w:val="lt-LT"/>
              </w:rPr>
              <w:t xml:space="preserve"> t. y. tokiais darbuotojais kaip atrinktos viešojo maitinimo įstaigos personalas, techninis personalas, atsakingas už ekspozicijos įrengimą, priežiūrą ir pan.</w:t>
            </w:r>
          </w:p>
        </w:tc>
      </w:tr>
      <w:tr w:rsidR="008F2F48" w:rsidRPr="00657BE2" w14:paraId="583E5FFF" w14:textId="77777777" w:rsidTr="008F2F48">
        <w:trPr>
          <w:trHeight w:val="32"/>
        </w:trPr>
        <w:tc>
          <w:tcPr>
            <w:tcW w:w="570" w:type="dxa"/>
            <w:vMerge/>
            <w:shd w:val="clear" w:color="auto" w:fill="E8E8E8"/>
          </w:tcPr>
          <w:p w14:paraId="7BC8730E" w14:textId="77777777" w:rsidR="008F2F48" w:rsidRPr="008F2F48" w:rsidRDefault="008F2F48" w:rsidP="008F2F48">
            <w:pPr>
              <w:overflowPunct/>
              <w:autoSpaceDE/>
              <w:autoSpaceDN/>
              <w:adjustRightInd/>
              <w:jc w:val="both"/>
              <w:textAlignment w:val="auto"/>
              <w:rPr>
                <w:rFonts w:ascii="Times New Roman" w:hAnsi="Times New Roman"/>
                <w:lang w:val="lt-LT"/>
              </w:rPr>
            </w:pPr>
          </w:p>
        </w:tc>
        <w:tc>
          <w:tcPr>
            <w:tcW w:w="3711" w:type="dxa"/>
          </w:tcPr>
          <w:p w14:paraId="53F2DF9D"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b/>
                <w:bCs/>
                <w:lang w:val="lt-LT"/>
              </w:rPr>
              <w:t>5.</w:t>
            </w:r>
            <w:r w:rsidRPr="008F2F48">
              <w:rPr>
                <w:rFonts w:ascii="Times New Roman" w:hAnsi="Times New Roman"/>
                <w:lang w:val="lt-LT"/>
              </w:rPr>
              <w:t xml:space="preserve"> Punkte 5.10 numatyta, kad „maitinimo funkcijai įgyvendinti tiekėjas turi atrinkti viešojo maitinimo įstaigą“. Ar teisingai suprantame, kad viešojo maitinimo įstaigos galima neįtraukti į subtiekėjų sąrašus ir, kad tiekėjas gali atrinkti viešojo maitinimo įstaigą po sutarties pasirašymo.</w:t>
            </w:r>
          </w:p>
        </w:tc>
        <w:tc>
          <w:tcPr>
            <w:tcW w:w="5348" w:type="dxa"/>
          </w:tcPr>
          <w:p w14:paraId="277969DF"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Pagal techninės specifikacijos 5.10 punktą, maitinimo funkcijai įgyvendinti tiekėjas turi atrinkti viešojo maitinimo įstaigą, galinčią paruošti Lietuvai būdingus patiekalus pagal sertifikuotus receptus.</w:t>
            </w:r>
          </w:p>
          <w:p w14:paraId="77DF4FB3"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Jeigu tiekėjas planuoja šią funkciją perduoti kitam juridiniam asmeniui, t. y. pasitelkti subtiekėją, jis turi nurodyti šį subtiekėją pasiūlyme, vadovaujantis Viešųjų pirkimų įstatymo ir pirkimo sąlygų reikalavimais.</w:t>
            </w:r>
          </w:p>
          <w:p w14:paraId="4D016F00"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Jei tiekėjas:</w:t>
            </w:r>
          </w:p>
          <w:p w14:paraId="4B0C3F45" w14:textId="77777777" w:rsidR="008F2F48" w:rsidRPr="008F2F48" w:rsidRDefault="008F2F48" w:rsidP="008F2F48">
            <w:pPr>
              <w:numPr>
                <w:ilvl w:val="0"/>
                <w:numId w:val="6"/>
              </w:num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pats vykdo viešojo maitinimo veiklą ir turi teisę ruošti sertifikuotus lietuviškus patiekalus – tuomet subtiekėjo nurodyti nereikia, nes funkciją atliks savarankiškai.</w:t>
            </w:r>
          </w:p>
          <w:p w14:paraId="2FE425F7" w14:textId="77777777" w:rsidR="008F2F48" w:rsidRPr="008F2F48" w:rsidRDefault="008F2F48" w:rsidP="008F2F48">
            <w:pPr>
              <w:numPr>
                <w:ilvl w:val="0"/>
                <w:numId w:val="6"/>
              </w:num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neplanuoja pats vykdyti maitinimo veiklos ir dar nežino, kokia įstaiga bus pasitelkta – jis turi pasiūlyme aiškiai nurodyti, kad pasitelks „nežinomą subtiekėją“, kaip tai leidžia VPĮ ir EBVPD struktūra.</w:t>
            </w:r>
          </w:p>
          <w:p w14:paraId="5E913DC9"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 xml:space="preserve">Tokiu būdu tiekėjas išpildo pareigą informuoti perkančiąją organizaciją apie planuojamą </w:t>
            </w:r>
            <w:proofErr w:type="spellStart"/>
            <w:r w:rsidRPr="008F2F48">
              <w:rPr>
                <w:rFonts w:ascii="Times New Roman" w:hAnsi="Times New Roman"/>
                <w:lang w:val="lt-LT" w:eastAsia="lt-LT"/>
              </w:rPr>
              <w:t>subtiekimą</w:t>
            </w:r>
            <w:proofErr w:type="spellEnd"/>
            <w:r w:rsidRPr="008F2F48">
              <w:rPr>
                <w:rFonts w:ascii="Times New Roman" w:hAnsi="Times New Roman"/>
                <w:lang w:val="lt-LT" w:eastAsia="lt-LT"/>
              </w:rPr>
              <w:t>, net jei šiuo metu konkreti įstaiga dar nėra žinoma.</w:t>
            </w:r>
          </w:p>
          <w:p w14:paraId="04FC25AF" w14:textId="77777777" w:rsidR="008F2F48" w:rsidRPr="008F2F48" w:rsidRDefault="008F2F48" w:rsidP="008F2F48">
            <w:pPr>
              <w:overflowPunct/>
              <w:autoSpaceDE/>
              <w:autoSpaceDN/>
              <w:adjustRightInd/>
              <w:jc w:val="both"/>
              <w:textAlignment w:val="auto"/>
              <w:rPr>
                <w:rFonts w:ascii="Times New Roman" w:hAnsi="Times New Roman"/>
                <w:lang w:val="lt-LT"/>
              </w:rPr>
            </w:pPr>
          </w:p>
        </w:tc>
      </w:tr>
      <w:tr w:rsidR="008F2F48" w:rsidRPr="00657BE2" w14:paraId="311DC3A0" w14:textId="77777777" w:rsidTr="008F2F48">
        <w:trPr>
          <w:trHeight w:val="32"/>
        </w:trPr>
        <w:tc>
          <w:tcPr>
            <w:tcW w:w="570" w:type="dxa"/>
            <w:vMerge/>
            <w:shd w:val="clear" w:color="auto" w:fill="E8E8E8"/>
          </w:tcPr>
          <w:p w14:paraId="6BF5A708" w14:textId="77777777" w:rsidR="008F2F48" w:rsidRPr="008F2F48" w:rsidRDefault="008F2F48" w:rsidP="008F2F48">
            <w:pPr>
              <w:overflowPunct/>
              <w:autoSpaceDE/>
              <w:autoSpaceDN/>
              <w:adjustRightInd/>
              <w:jc w:val="both"/>
              <w:textAlignment w:val="auto"/>
              <w:rPr>
                <w:rFonts w:ascii="Times New Roman" w:hAnsi="Times New Roman"/>
                <w:lang w:val="lt-LT"/>
              </w:rPr>
            </w:pPr>
          </w:p>
        </w:tc>
        <w:tc>
          <w:tcPr>
            <w:tcW w:w="3711" w:type="dxa"/>
          </w:tcPr>
          <w:p w14:paraId="4A15BF3D"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b/>
                <w:bCs/>
                <w:lang w:val="lt-LT"/>
              </w:rPr>
              <w:t>6.</w:t>
            </w:r>
            <w:r w:rsidRPr="008F2F48">
              <w:rPr>
                <w:rFonts w:ascii="Times New Roman" w:hAnsi="Times New Roman"/>
                <w:lang w:val="lt-LT"/>
              </w:rPr>
              <w:t xml:space="preserve"> Punkte 7.1.4.2 numatytas įpareigojimas tiekėjui pateikti sertifikatus, susijusius su maisto gamyba. Ar teisingai suprantame, kad čia prašoma sertifikatų tų įmonių, kurių gaminiai bus atrinkti pristatymui parodoje?“</w:t>
            </w:r>
          </w:p>
        </w:tc>
        <w:tc>
          <w:tcPr>
            <w:tcW w:w="5348" w:type="dxa"/>
          </w:tcPr>
          <w:p w14:paraId="3F565F34"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Pagal techninės specifikacijos 7.1.4.2 punktą, tiekėjas įsipareigoja, kad sutarties vykdymo metu pateiks dokumentus, įrodančius maisto produktų atitiktį aplinkos apsaugos kriterijams, tokius kaip:</w:t>
            </w:r>
          </w:p>
          <w:p w14:paraId="6F8F11C6" w14:textId="77777777" w:rsidR="008F2F48" w:rsidRPr="008F2F48" w:rsidRDefault="008F2F48" w:rsidP="008F2F48">
            <w:pPr>
              <w:numPr>
                <w:ilvl w:val="0"/>
                <w:numId w:val="7"/>
              </w:num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ekologinės gamybos sertifikatai,</w:t>
            </w:r>
          </w:p>
          <w:p w14:paraId="5EA9C87F" w14:textId="77777777" w:rsidR="008F2F48" w:rsidRPr="008F2F48" w:rsidRDefault="008F2F48" w:rsidP="008F2F48">
            <w:pPr>
              <w:numPr>
                <w:ilvl w:val="0"/>
                <w:numId w:val="7"/>
              </w:num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NKP sertifikatai,</w:t>
            </w:r>
          </w:p>
          <w:p w14:paraId="327D9BCF" w14:textId="77777777" w:rsidR="008F2F48" w:rsidRPr="008F2F48" w:rsidRDefault="008F2F48" w:rsidP="008F2F48">
            <w:pPr>
              <w:numPr>
                <w:ilvl w:val="0"/>
                <w:numId w:val="7"/>
              </w:num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sertifikatai dėl saugomų nuorodų (SKVN, SGN, GTG) ir kt.</w:t>
            </w:r>
          </w:p>
          <w:p w14:paraId="17CF2EB7"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Šie sertifikatai yra susiję ne su pačiu tiekėju, o su tais produktais ir gamintojais, kurių gaminius tiekėjas atrinks pristatymui parodoje, kaip numatyta 5.14 punkte.</w:t>
            </w:r>
          </w:p>
          <w:p w14:paraId="023FE625" w14:textId="77777777" w:rsidR="008F2F48" w:rsidRPr="008F2F48" w:rsidRDefault="008F2F48" w:rsidP="008F2F48">
            <w:pPr>
              <w:overflowPunct/>
              <w:autoSpaceDE/>
              <w:autoSpaceDN/>
              <w:adjustRightInd/>
              <w:spacing w:before="100" w:beforeAutospacing="1" w:after="100" w:afterAutospacing="1"/>
              <w:jc w:val="both"/>
              <w:textAlignment w:val="auto"/>
              <w:rPr>
                <w:rFonts w:ascii="Times New Roman" w:hAnsi="Times New Roman"/>
                <w:lang w:val="lt-LT" w:eastAsia="lt-LT"/>
              </w:rPr>
            </w:pPr>
            <w:r w:rsidRPr="008F2F48">
              <w:rPr>
                <w:rFonts w:ascii="Times New Roman" w:hAnsi="Times New Roman"/>
                <w:lang w:val="lt-LT" w:eastAsia="lt-LT"/>
              </w:rPr>
              <w:t>Todėl teisingai suprantate – 7.1.4.2 punkte nurodyti sertifikatai turi būti pateikti tų gamintojų ir gaminių, kurie bus atrinkti parodai, o ne tiekėjo ar jo partnerių vardu, nebent jie patys tiekia tuos produktus.</w:t>
            </w:r>
          </w:p>
          <w:p w14:paraId="686CCDBD" w14:textId="77777777" w:rsidR="008F2F48" w:rsidRPr="008F2F48" w:rsidRDefault="008F2F48" w:rsidP="008F2F48">
            <w:pPr>
              <w:overflowPunct/>
              <w:autoSpaceDE/>
              <w:autoSpaceDN/>
              <w:adjustRightInd/>
              <w:jc w:val="both"/>
              <w:textAlignment w:val="auto"/>
              <w:rPr>
                <w:rFonts w:ascii="Times New Roman" w:hAnsi="Times New Roman"/>
                <w:lang w:val="lt-LT"/>
              </w:rPr>
            </w:pPr>
          </w:p>
        </w:tc>
      </w:tr>
      <w:tr w:rsidR="008F2F48" w:rsidRPr="00657BE2" w14:paraId="3BD2630C" w14:textId="77777777" w:rsidTr="008F2F48">
        <w:tc>
          <w:tcPr>
            <w:tcW w:w="570" w:type="dxa"/>
            <w:shd w:val="clear" w:color="auto" w:fill="E8E8E8"/>
          </w:tcPr>
          <w:p w14:paraId="5DE6942F"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lang w:val="lt-LT"/>
              </w:rPr>
              <w:lastRenderedPageBreak/>
              <w:t>4.</w:t>
            </w:r>
          </w:p>
        </w:tc>
        <w:tc>
          <w:tcPr>
            <w:tcW w:w="3711" w:type="dxa"/>
          </w:tcPr>
          <w:p w14:paraId="71CFBEB7"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lang w:val="lt-LT"/>
              </w:rPr>
              <w:t>„norime Jūsų pasitikslinti dėl EBVPD C13 punkto pildymo.</w:t>
            </w:r>
          </w:p>
          <w:p w14:paraId="49D4650C"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8F2F48">
              <w:rPr>
                <w:rFonts w:ascii="Times New Roman" w:hAnsi="Times New Roman"/>
                <w:lang w:val="lt-LT"/>
              </w:rPr>
              <w:t>&lt;...&gt; EBVPD C13 punkte yra klausiama dėl tiesioginio arba netiesioginio dalyvavimo „rengiant šią pirkimo procedūrą (46 str. 4 d. 3 p.) Ar ekonominės veiklos vykdytojas arba su juo susijusi įmonė konsultavo perkančiąją organizaciją ar perkantįjį subjektą arba kitaip dalyvavo rengiant pirkimo procedūrą?“ &lt;...&gt;</w:t>
            </w:r>
          </w:p>
        </w:tc>
        <w:tc>
          <w:tcPr>
            <w:tcW w:w="5348" w:type="dxa"/>
          </w:tcPr>
          <w:p w14:paraId="74354CDB" w14:textId="77777777" w:rsidR="008F2F48" w:rsidRPr="008F2F48" w:rsidRDefault="008F2F48" w:rsidP="008F2F48">
            <w:pPr>
              <w:overflowPunct/>
              <w:autoSpaceDE/>
              <w:autoSpaceDN/>
              <w:adjustRightInd/>
              <w:jc w:val="both"/>
              <w:textAlignment w:val="auto"/>
              <w:rPr>
                <w:rFonts w:ascii="Times New Roman" w:hAnsi="Times New Roman"/>
                <w:lang w:val="lt-LT"/>
              </w:rPr>
            </w:pPr>
            <w:r w:rsidRPr="00A22BC7">
              <w:rPr>
                <w:rFonts w:ascii="Times New Roman" w:hAnsi="Times New Roman"/>
                <w:lang w:val="lt-LT"/>
              </w:rPr>
              <w:t>Paaiškiname, kad tiekėjai, dalyvavę rinkos tyrime ar pateikę informaciją ir (ar) dokumentus, naudotus rengiant Pirkimo dokumentus, pildydami EBVPD III dalies C13 punktą privalo atsakyti „Taip“ bei nurodyti dalyvavimo pobūdį; ši aplinkybė savaime nėra pašalinimo pagrindas, tačiau perkančioji organizacija įvertins, ar tai nesuteikė nepagrįsto pranašumo.</w:t>
            </w:r>
          </w:p>
        </w:tc>
      </w:tr>
    </w:tbl>
    <w:p w14:paraId="381E86A5" w14:textId="77777777" w:rsidR="00A22B78" w:rsidRPr="00C92092" w:rsidRDefault="00A22B78" w:rsidP="00A22B78">
      <w:pPr>
        <w:spacing w:line="360" w:lineRule="auto"/>
        <w:jc w:val="both"/>
        <w:rPr>
          <w:rFonts w:ascii="Times New Roman" w:hAnsi="Times New Roman"/>
          <w:szCs w:val="24"/>
          <w:lang w:val="lt-LT"/>
        </w:rPr>
      </w:pPr>
    </w:p>
    <w:p w14:paraId="1F9C5AEA" w14:textId="1B5B501A" w:rsidR="00A22B78" w:rsidRPr="00A22B78" w:rsidRDefault="0057734F" w:rsidP="00A22B78">
      <w:pPr>
        <w:spacing w:line="360" w:lineRule="auto"/>
        <w:jc w:val="both"/>
        <w:rPr>
          <w:rFonts w:ascii="Times New Roman" w:hAnsi="Times New Roman"/>
          <w:szCs w:val="24"/>
          <w:lang w:val="lt-LT"/>
        </w:rPr>
      </w:pPr>
      <w:r>
        <w:rPr>
          <w:rFonts w:ascii="Times New Roman" w:hAnsi="Times New Roman"/>
          <w:szCs w:val="24"/>
          <w:lang w:val="lt-LT"/>
        </w:rPr>
        <w:t>V</w:t>
      </w:r>
      <w:r w:rsidR="00A22B78">
        <w:rPr>
          <w:rFonts w:ascii="Times New Roman" w:hAnsi="Times New Roman"/>
          <w:szCs w:val="24"/>
          <w:lang w:val="lt-LT"/>
        </w:rPr>
        <w:t xml:space="preserve">iešųjų pirkimų skyriaus </w:t>
      </w:r>
      <w:r>
        <w:rPr>
          <w:rFonts w:ascii="Times New Roman" w:hAnsi="Times New Roman"/>
          <w:szCs w:val="24"/>
          <w:lang w:val="lt-LT"/>
        </w:rPr>
        <w:t>ved</w:t>
      </w:r>
      <w:r w:rsidR="00A22B78">
        <w:rPr>
          <w:rFonts w:ascii="Times New Roman" w:hAnsi="Times New Roman"/>
          <w:szCs w:val="24"/>
          <w:lang w:val="lt-LT"/>
        </w:rPr>
        <w:t xml:space="preserve">ėja                                                                   </w:t>
      </w:r>
      <w:r w:rsidR="0094180C">
        <w:rPr>
          <w:rFonts w:ascii="Times New Roman" w:hAnsi="Times New Roman"/>
          <w:szCs w:val="24"/>
          <w:lang w:val="lt-LT"/>
        </w:rPr>
        <w:t xml:space="preserve">   </w:t>
      </w:r>
      <w:r>
        <w:rPr>
          <w:rFonts w:ascii="Times New Roman" w:hAnsi="Times New Roman"/>
          <w:szCs w:val="24"/>
          <w:lang w:val="lt-LT"/>
        </w:rPr>
        <w:t xml:space="preserve">          </w:t>
      </w:r>
      <w:proofErr w:type="spellStart"/>
      <w:r>
        <w:rPr>
          <w:rFonts w:ascii="Times New Roman" w:hAnsi="Times New Roman"/>
          <w:szCs w:val="24"/>
          <w:lang w:val="lt-LT"/>
        </w:rPr>
        <w:t>Česlava</w:t>
      </w:r>
      <w:proofErr w:type="spellEnd"/>
      <w:r>
        <w:rPr>
          <w:rFonts w:ascii="Times New Roman" w:hAnsi="Times New Roman"/>
          <w:szCs w:val="24"/>
          <w:lang w:val="lt-LT"/>
        </w:rPr>
        <w:t xml:space="preserve"> Vaznienė</w:t>
      </w:r>
    </w:p>
    <w:p w14:paraId="703961E9" w14:textId="77777777" w:rsidR="00A10874" w:rsidRDefault="00A10874" w:rsidP="00813491">
      <w:pPr>
        <w:jc w:val="both"/>
        <w:rPr>
          <w:rFonts w:ascii="Times New Roman" w:hAnsi="Times New Roman"/>
          <w:lang w:val="lt-LT"/>
        </w:rPr>
      </w:pPr>
    </w:p>
    <w:p w14:paraId="300C6332" w14:textId="77777777" w:rsidR="0094180C" w:rsidRDefault="0094180C" w:rsidP="00A22B78">
      <w:pPr>
        <w:rPr>
          <w:rFonts w:ascii="Times New Roman" w:hAnsi="Times New Roman"/>
          <w:lang w:val="lt-LT"/>
        </w:rPr>
      </w:pPr>
    </w:p>
    <w:p w14:paraId="321B0D7E" w14:textId="77777777" w:rsidR="0094180C" w:rsidRDefault="0094180C" w:rsidP="00A22B78">
      <w:pPr>
        <w:rPr>
          <w:rFonts w:ascii="Times New Roman" w:hAnsi="Times New Roman"/>
          <w:lang w:val="lt-LT"/>
        </w:rPr>
      </w:pPr>
    </w:p>
    <w:p w14:paraId="2E6E9AC5" w14:textId="77777777" w:rsidR="0094180C" w:rsidRDefault="0094180C" w:rsidP="00A22B78">
      <w:pPr>
        <w:rPr>
          <w:rFonts w:ascii="Times New Roman" w:hAnsi="Times New Roman"/>
          <w:lang w:val="lt-LT"/>
        </w:rPr>
      </w:pPr>
    </w:p>
    <w:p w14:paraId="428EDDB5" w14:textId="77777777" w:rsidR="0094180C" w:rsidRDefault="0094180C" w:rsidP="00A22B78">
      <w:pPr>
        <w:rPr>
          <w:rFonts w:ascii="Times New Roman" w:hAnsi="Times New Roman"/>
          <w:lang w:val="lt-LT"/>
        </w:rPr>
      </w:pPr>
    </w:p>
    <w:p w14:paraId="076C21F4" w14:textId="77777777" w:rsidR="0094180C" w:rsidRDefault="0094180C" w:rsidP="00A22B78">
      <w:pPr>
        <w:rPr>
          <w:rFonts w:ascii="Times New Roman" w:hAnsi="Times New Roman"/>
          <w:lang w:val="lt-LT"/>
        </w:rPr>
      </w:pPr>
    </w:p>
    <w:p w14:paraId="00C6A375" w14:textId="77777777" w:rsidR="00C271E5" w:rsidRDefault="00C271E5" w:rsidP="00A22B78">
      <w:pPr>
        <w:rPr>
          <w:rFonts w:ascii="Times New Roman" w:hAnsi="Times New Roman"/>
          <w:lang w:val="lt-LT"/>
        </w:rPr>
      </w:pPr>
    </w:p>
    <w:p w14:paraId="506262AF" w14:textId="77777777" w:rsidR="00C271E5" w:rsidRDefault="00C271E5" w:rsidP="00A22B78">
      <w:pPr>
        <w:rPr>
          <w:rFonts w:ascii="Times New Roman" w:hAnsi="Times New Roman"/>
          <w:lang w:val="lt-LT"/>
        </w:rPr>
      </w:pPr>
    </w:p>
    <w:p w14:paraId="25518F4F" w14:textId="77777777" w:rsidR="00C271E5" w:rsidRDefault="00C271E5" w:rsidP="00A22B78">
      <w:pPr>
        <w:rPr>
          <w:rFonts w:ascii="Times New Roman" w:hAnsi="Times New Roman"/>
          <w:lang w:val="lt-LT"/>
        </w:rPr>
      </w:pPr>
    </w:p>
    <w:p w14:paraId="4D15CD82" w14:textId="77777777" w:rsidR="00C271E5" w:rsidRDefault="00C271E5" w:rsidP="00A22B78">
      <w:pPr>
        <w:rPr>
          <w:rFonts w:ascii="Times New Roman" w:hAnsi="Times New Roman"/>
          <w:lang w:val="lt-LT"/>
        </w:rPr>
      </w:pPr>
    </w:p>
    <w:p w14:paraId="5658B786" w14:textId="77777777" w:rsidR="00C271E5" w:rsidRDefault="00C271E5" w:rsidP="00A22B78">
      <w:pPr>
        <w:rPr>
          <w:rFonts w:ascii="Times New Roman" w:hAnsi="Times New Roman"/>
          <w:lang w:val="lt-LT"/>
        </w:rPr>
      </w:pPr>
    </w:p>
    <w:p w14:paraId="2FD72657" w14:textId="77777777" w:rsidR="00C271E5" w:rsidRDefault="00C271E5" w:rsidP="00A22B78">
      <w:pPr>
        <w:rPr>
          <w:rFonts w:ascii="Times New Roman" w:hAnsi="Times New Roman"/>
          <w:lang w:val="lt-LT"/>
        </w:rPr>
      </w:pPr>
    </w:p>
    <w:p w14:paraId="097D7342" w14:textId="77777777" w:rsidR="00C271E5" w:rsidRDefault="00C271E5" w:rsidP="00A22B78">
      <w:pPr>
        <w:rPr>
          <w:rFonts w:ascii="Times New Roman" w:hAnsi="Times New Roman"/>
          <w:lang w:val="lt-LT"/>
        </w:rPr>
      </w:pPr>
    </w:p>
    <w:p w14:paraId="2A7121D5" w14:textId="77777777" w:rsidR="00C271E5" w:rsidRDefault="00C271E5" w:rsidP="00A22B78">
      <w:pPr>
        <w:rPr>
          <w:rFonts w:ascii="Times New Roman" w:hAnsi="Times New Roman"/>
          <w:lang w:val="lt-LT"/>
        </w:rPr>
      </w:pPr>
    </w:p>
    <w:p w14:paraId="75EFC95D" w14:textId="77777777" w:rsidR="008F2F48" w:rsidRDefault="008F2F48" w:rsidP="00A22B78">
      <w:pPr>
        <w:rPr>
          <w:rFonts w:ascii="Times New Roman" w:hAnsi="Times New Roman"/>
          <w:lang w:val="lt-LT"/>
        </w:rPr>
      </w:pPr>
    </w:p>
    <w:p w14:paraId="2C2FFAE5" w14:textId="77777777" w:rsidR="008F2F48" w:rsidRDefault="008F2F48" w:rsidP="00A22B78">
      <w:pPr>
        <w:rPr>
          <w:rFonts w:ascii="Times New Roman" w:hAnsi="Times New Roman"/>
          <w:lang w:val="lt-LT"/>
        </w:rPr>
      </w:pPr>
    </w:p>
    <w:p w14:paraId="7FF35012" w14:textId="77777777" w:rsidR="00C271E5" w:rsidRDefault="00C271E5" w:rsidP="00A22B78">
      <w:pPr>
        <w:rPr>
          <w:rFonts w:ascii="Times New Roman" w:hAnsi="Times New Roman"/>
          <w:lang w:val="lt-LT"/>
        </w:rPr>
      </w:pPr>
    </w:p>
    <w:p w14:paraId="0293D68C" w14:textId="77777777" w:rsidR="001B0786" w:rsidRDefault="001B0786" w:rsidP="00A22B78">
      <w:pPr>
        <w:rPr>
          <w:rFonts w:ascii="Times New Roman" w:hAnsi="Times New Roman"/>
          <w:lang w:val="lt-LT"/>
        </w:rPr>
      </w:pPr>
    </w:p>
    <w:p w14:paraId="4B187278" w14:textId="77777777" w:rsidR="001B0786" w:rsidRDefault="001B0786" w:rsidP="00A22B78">
      <w:pPr>
        <w:rPr>
          <w:rFonts w:ascii="Times New Roman" w:hAnsi="Times New Roman"/>
          <w:lang w:val="lt-LT"/>
        </w:rPr>
      </w:pPr>
    </w:p>
    <w:p w14:paraId="18981F04" w14:textId="77777777" w:rsidR="001B0786" w:rsidRDefault="001B0786" w:rsidP="00A22B78">
      <w:pPr>
        <w:rPr>
          <w:rFonts w:ascii="Times New Roman" w:hAnsi="Times New Roman"/>
          <w:lang w:val="lt-LT"/>
        </w:rPr>
      </w:pPr>
    </w:p>
    <w:p w14:paraId="2B5AC433" w14:textId="77777777" w:rsidR="001B0786" w:rsidRDefault="001B0786" w:rsidP="00A22B78">
      <w:pPr>
        <w:rPr>
          <w:rFonts w:ascii="Times New Roman" w:hAnsi="Times New Roman"/>
          <w:lang w:val="lt-LT"/>
        </w:rPr>
      </w:pPr>
    </w:p>
    <w:p w14:paraId="4155FE91" w14:textId="77777777" w:rsidR="001B0786" w:rsidRDefault="001B0786" w:rsidP="00A22B78">
      <w:pPr>
        <w:rPr>
          <w:rFonts w:ascii="Times New Roman" w:hAnsi="Times New Roman"/>
          <w:lang w:val="lt-LT"/>
        </w:rPr>
      </w:pPr>
    </w:p>
    <w:p w14:paraId="6498C147" w14:textId="77777777" w:rsidR="001B0786" w:rsidRDefault="001B0786" w:rsidP="00A22B78">
      <w:pPr>
        <w:rPr>
          <w:rFonts w:ascii="Times New Roman" w:hAnsi="Times New Roman"/>
          <w:lang w:val="lt-LT"/>
        </w:rPr>
      </w:pPr>
    </w:p>
    <w:p w14:paraId="32ECB067" w14:textId="77777777" w:rsidR="001B0786" w:rsidRDefault="001B0786" w:rsidP="00A22B78">
      <w:pPr>
        <w:rPr>
          <w:rFonts w:ascii="Times New Roman" w:hAnsi="Times New Roman"/>
          <w:lang w:val="lt-LT"/>
        </w:rPr>
      </w:pPr>
    </w:p>
    <w:p w14:paraId="2CE319B9" w14:textId="77777777" w:rsidR="001B0786" w:rsidRDefault="001B0786" w:rsidP="00A22B78">
      <w:pPr>
        <w:rPr>
          <w:rFonts w:ascii="Times New Roman" w:hAnsi="Times New Roman"/>
          <w:lang w:val="lt-LT"/>
        </w:rPr>
      </w:pPr>
    </w:p>
    <w:p w14:paraId="0DE5E016" w14:textId="77777777" w:rsidR="001B0786" w:rsidRDefault="001B0786" w:rsidP="00A22B78">
      <w:pPr>
        <w:rPr>
          <w:rFonts w:ascii="Times New Roman" w:hAnsi="Times New Roman"/>
          <w:lang w:val="lt-LT"/>
        </w:rPr>
      </w:pPr>
    </w:p>
    <w:p w14:paraId="0FEA4D2A" w14:textId="77777777" w:rsidR="001B0786" w:rsidRDefault="001B0786" w:rsidP="00A22B78">
      <w:pPr>
        <w:rPr>
          <w:rFonts w:ascii="Times New Roman" w:hAnsi="Times New Roman"/>
          <w:lang w:val="lt-LT"/>
        </w:rPr>
      </w:pPr>
    </w:p>
    <w:p w14:paraId="31EE5DD0" w14:textId="77777777" w:rsidR="001B0786" w:rsidRDefault="001B0786" w:rsidP="00A22B78">
      <w:pPr>
        <w:rPr>
          <w:rFonts w:ascii="Times New Roman" w:hAnsi="Times New Roman"/>
          <w:lang w:val="lt-LT"/>
        </w:rPr>
      </w:pPr>
    </w:p>
    <w:p w14:paraId="1160BCDB" w14:textId="77777777" w:rsidR="001B0786" w:rsidRDefault="001B0786" w:rsidP="00A22B78">
      <w:pPr>
        <w:rPr>
          <w:rFonts w:ascii="Times New Roman" w:hAnsi="Times New Roman"/>
          <w:lang w:val="lt-LT"/>
        </w:rPr>
      </w:pPr>
    </w:p>
    <w:p w14:paraId="12204068" w14:textId="77777777" w:rsidR="001B0786" w:rsidRDefault="001B0786" w:rsidP="00A22B78">
      <w:pPr>
        <w:rPr>
          <w:rFonts w:ascii="Times New Roman" w:hAnsi="Times New Roman"/>
          <w:lang w:val="lt-LT"/>
        </w:rPr>
      </w:pPr>
    </w:p>
    <w:p w14:paraId="74495DAD" w14:textId="77777777" w:rsidR="001B0786" w:rsidRDefault="001B0786" w:rsidP="00A22B78">
      <w:pPr>
        <w:rPr>
          <w:rFonts w:ascii="Times New Roman" w:hAnsi="Times New Roman"/>
          <w:lang w:val="lt-LT"/>
        </w:rPr>
      </w:pPr>
    </w:p>
    <w:p w14:paraId="193C6721" w14:textId="77777777" w:rsidR="001B0786" w:rsidRDefault="001B0786" w:rsidP="00A22B78">
      <w:pPr>
        <w:rPr>
          <w:rFonts w:ascii="Times New Roman" w:hAnsi="Times New Roman"/>
          <w:lang w:val="lt-LT"/>
        </w:rPr>
      </w:pPr>
    </w:p>
    <w:p w14:paraId="50B41472" w14:textId="77777777" w:rsidR="001B0786" w:rsidRDefault="001B0786" w:rsidP="00A22B78">
      <w:pPr>
        <w:rPr>
          <w:rFonts w:ascii="Times New Roman" w:hAnsi="Times New Roman"/>
          <w:lang w:val="lt-LT"/>
        </w:rPr>
      </w:pPr>
    </w:p>
    <w:p w14:paraId="224A79C7" w14:textId="77777777" w:rsidR="001B0786" w:rsidRDefault="001B0786" w:rsidP="00A22B78">
      <w:pPr>
        <w:rPr>
          <w:rFonts w:ascii="Times New Roman" w:hAnsi="Times New Roman"/>
          <w:lang w:val="lt-LT"/>
        </w:rPr>
      </w:pPr>
    </w:p>
    <w:p w14:paraId="060115B6" w14:textId="77777777" w:rsidR="001B0786" w:rsidRDefault="001B0786" w:rsidP="00A22B78">
      <w:pPr>
        <w:rPr>
          <w:rFonts w:ascii="Times New Roman" w:hAnsi="Times New Roman"/>
          <w:lang w:val="lt-LT"/>
        </w:rPr>
      </w:pPr>
    </w:p>
    <w:p w14:paraId="33D9C58F" w14:textId="3387F5A0" w:rsidR="00A22B78" w:rsidRPr="00A22B78" w:rsidRDefault="00A22B78" w:rsidP="00A22B78">
      <w:pPr>
        <w:rPr>
          <w:rFonts w:ascii="Times New Roman" w:hAnsi="Times New Roman"/>
          <w:lang w:val="lt-LT"/>
        </w:rPr>
      </w:pPr>
      <w:r w:rsidRPr="00A22B78">
        <w:rPr>
          <w:rFonts w:ascii="Times New Roman" w:hAnsi="Times New Roman"/>
          <w:lang w:val="lt-LT"/>
        </w:rPr>
        <w:t>Darius Žuklys, tel. (</w:t>
      </w:r>
      <w:r w:rsidR="008F2F48">
        <w:rPr>
          <w:rFonts w:ascii="Times New Roman" w:hAnsi="Times New Roman"/>
          <w:lang w:val="lt-LT"/>
        </w:rPr>
        <w:t>0</w:t>
      </w:r>
      <w:r w:rsidRPr="00A22B78">
        <w:rPr>
          <w:rFonts w:ascii="Times New Roman" w:hAnsi="Times New Roman"/>
          <w:lang w:val="lt-LT"/>
        </w:rPr>
        <w:t xml:space="preserve"> 5) 239 1048, el. p. darius.zuklys@zum.lt</w:t>
      </w:r>
    </w:p>
    <w:sectPr w:rsidR="00A22B78" w:rsidRPr="00A22B78" w:rsidSect="00991682">
      <w:headerReference w:type="default" r:id="rId11"/>
      <w:footerReference w:type="default" r:id="rId12"/>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273D" w14:textId="77777777" w:rsidR="00FE0EE1" w:rsidRDefault="00FE0EE1">
      <w:r>
        <w:separator/>
      </w:r>
    </w:p>
  </w:endnote>
  <w:endnote w:type="continuationSeparator" w:id="0">
    <w:p w14:paraId="42389C88" w14:textId="77777777" w:rsidR="00FE0EE1" w:rsidRDefault="00FE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A20D"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87B9" w14:textId="77777777" w:rsidR="00FE0EE1" w:rsidRDefault="00FE0EE1">
      <w:bookmarkStart w:id="0" w:name="_Hlk483820012"/>
      <w:bookmarkEnd w:id="0"/>
      <w:r>
        <w:separator/>
      </w:r>
    </w:p>
  </w:footnote>
  <w:footnote w:type="continuationSeparator" w:id="0">
    <w:p w14:paraId="7E904967" w14:textId="77777777" w:rsidR="00FE0EE1" w:rsidRDefault="00FE0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140162"/>
      <w:docPartObj>
        <w:docPartGallery w:val="Page Numbers (Top of Page)"/>
        <w:docPartUnique/>
      </w:docPartObj>
    </w:sdtPr>
    <w:sdtEndPr/>
    <w:sdtContent>
      <w:p w14:paraId="25D892F3" w14:textId="77777777" w:rsidR="00655E07" w:rsidRDefault="00655E07">
        <w:pPr>
          <w:pStyle w:val="Antrats"/>
          <w:jc w:val="center"/>
        </w:pPr>
        <w:r>
          <w:fldChar w:fldCharType="begin"/>
        </w:r>
        <w:r>
          <w:instrText>PAGE   \* MERGEFORMAT</w:instrText>
        </w:r>
        <w:r>
          <w:fldChar w:fldCharType="separate"/>
        </w:r>
        <w:r>
          <w:rPr>
            <w:lang w:val="lt-LT"/>
          </w:rPr>
          <w:t>2</w:t>
        </w:r>
        <w:r>
          <w:fldChar w:fldCharType="end"/>
        </w:r>
      </w:p>
    </w:sdtContent>
  </w:sdt>
  <w:p w14:paraId="008A4787" w14:textId="77777777" w:rsidR="00655E07" w:rsidRDefault="00655E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014B"/>
    <w:multiLevelType w:val="multilevel"/>
    <w:tmpl w:val="84CA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44328"/>
    <w:multiLevelType w:val="multilevel"/>
    <w:tmpl w:val="24CA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22E1D"/>
    <w:multiLevelType w:val="hybridMultilevel"/>
    <w:tmpl w:val="2A9035FC"/>
    <w:lvl w:ilvl="0" w:tplc="AC466B2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2371FD8"/>
    <w:multiLevelType w:val="multilevel"/>
    <w:tmpl w:val="C726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A597C"/>
    <w:multiLevelType w:val="multilevel"/>
    <w:tmpl w:val="4770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24091F"/>
    <w:multiLevelType w:val="multilevel"/>
    <w:tmpl w:val="1B70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D0EF0"/>
    <w:multiLevelType w:val="multilevel"/>
    <w:tmpl w:val="A388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113525">
    <w:abstractNumId w:val="2"/>
  </w:num>
  <w:num w:numId="2" w16cid:durableId="864710333">
    <w:abstractNumId w:val="4"/>
  </w:num>
  <w:num w:numId="3" w16cid:durableId="142701951">
    <w:abstractNumId w:val="6"/>
  </w:num>
  <w:num w:numId="4" w16cid:durableId="1461343569">
    <w:abstractNumId w:val="1"/>
  </w:num>
  <w:num w:numId="5" w16cid:durableId="490290378">
    <w:abstractNumId w:val="5"/>
  </w:num>
  <w:num w:numId="6" w16cid:durableId="1997953015">
    <w:abstractNumId w:val="0"/>
  </w:num>
  <w:num w:numId="7" w16cid:durableId="1736976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78"/>
    <w:rsid w:val="00011A7F"/>
    <w:rsid w:val="00021696"/>
    <w:rsid w:val="00026600"/>
    <w:rsid w:val="00035096"/>
    <w:rsid w:val="000526CC"/>
    <w:rsid w:val="00053768"/>
    <w:rsid w:val="000574A9"/>
    <w:rsid w:val="00060012"/>
    <w:rsid w:val="00060E13"/>
    <w:rsid w:val="0006585C"/>
    <w:rsid w:val="00071121"/>
    <w:rsid w:val="00081F87"/>
    <w:rsid w:val="00085AAF"/>
    <w:rsid w:val="000868FA"/>
    <w:rsid w:val="000A4093"/>
    <w:rsid w:val="000A7C0D"/>
    <w:rsid w:val="000B41D8"/>
    <w:rsid w:val="000B642C"/>
    <w:rsid w:val="000D72F7"/>
    <w:rsid w:val="000F08C1"/>
    <w:rsid w:val="001007DE"/>
    <w:rsid w:val="0011046E"/>
    <w:rsid w:val="001124C2"/>
    <w:rsid w:val="0012616B"/>
    <w:rsid w:val="00132001"/>
    <w:rsid w:val="00133AAD"/>
    <w:rsid w:val="00133B30"/>
    <w:rsid w:val="00150FA5"/>
    <w:rsid w:val="00155135"/>
    <w:rsid w:val="001647FA"/>
    <w:rsid w:val="00172EF7"/>
    <w:rsid w:val="001765A9"/>
    <w:rsid w:val="001775FF"/>
    <w:rsid w:val="00177B39"/>
    <w:rsid w:val="001832A7"/>
    <w:rsid w:val="0018539C"/>
    <w:rsid w:val="00190A68"/>
    <w:rsid w:val="00190BEC"/>
    <w:rsid w:val="001A3FA9"/>
    <w:rsid w:val="001B0786"/>
    <w:rsid w:val="001B74DF"/>
    <w:rsid w:val="001C1110"/>
    <w:rsid w:val="001D6AAD"/>
    <w:rsid w:val="001E15F2"/>
    <w:rsid w:val="001F3A2E"/>
    <w:rsid w:val="002203C1"/>
    <w:rsid w:val="00223169"/>
    <w:rsid w:val="00223DFF"/>
    <w:rsid w:val="00243C0A"/>
    <w:rsid w:val="00250948"/>
    <w:rsid w:val="0025222D"/>
    <w:rsid w:val="002850C7"/>
    <w:rsid w:val="002B6825"/>
    <w:rsid w:val="002C5FAF"/>
    <w:rsid w:val="002C6FA3"/>
    <w:rsid w:val="002D21F0"/>
    <w:rsid w:val="002D2A0E"/>
    <w:rsid w:val="002D324E"/>
    <w:rsid w:val="002D59F1"/>
    <w:rsid w:val="002D7DE4"/>
    <w:rsid w:val="002E04AA"/>
    <w:rsid w:val="002E4C47"/>
    <w:rsid w:val="002E4FE0"/>
    <w:rsid w:val="002E6516"/>
    <w:rsid w:val="002E6AE4"/>
    <w:rsid w:val="002F3CCB"/>
    <w:rsid w:val="002F4D67"/>
    <w:rsid w:val="00304731"/>
    <w:rsid w:val="00305A62"/>
    <w:rsid w:val="00313223"/>
    <w:rsid w:val="003254DB"/>
    <w:rsid w:val="003326E5"/>
    <w:rsid w:val="003421E3"/>
    <w:rsid w:val="003466EC"/>
    <w:rsid w:val="0035168A"/>
    <w:rsid w:val="00364BFB"/>
    <w:rsid w:val="0038755D"/>
    <w:rsid w:val="0039186E"/>
    <w:rsid w:val="0039714C"/>
    <w:rsid w:val="003C7C68"/>
    <w:rsid w:val="003D1366"/>
    <w:rsid w:val="003E0159"/>
    <w:rsid w:val="003F3D65"/>
    <w:rsid w:val="0041082C"/>
    <w:rsid w:val="00412143"/>
    <w:rsid w:val="00415D66"/>
    <w:rsid w:val="004203C3"/>
    <w:rsid w:val="00426379"/>
    <w:rsid w:val="0042659E"/>
    <w:rsid w:val="00432747"/>
    <w:rsid w:val="00440CB4"/>
    <w:rsid w:val="004512A7"/>
    <w:rsid w:val="004541CC"/>
    <w:rsid w:val="004555D8"/>
    <w:rsid w:val="0047204B"/>
    <w:rsid w:val="00473D2C"/>
    <w:rsid w:val="0048474E"/>
    <w:rsid w:val="00485D21"/>
    <w:rsid w:val="004864AA"/>
    <w:rsid w:val="004A0A14"/>
    <w:rsid w:val="004A1F23"/>
    <w:rsid w:val="004C08F6"/>
    <w:rsid w:val="004C136C"/>
    <w:rsid w:val="004C3F1E"/>
    <w:rsid w:val="004C4A63"/>
    <w:rsid w:val="004D0D53"/>
    <w:rsid w:val="004D1E15"/>
    <w:rsid w:val="004D3417"/>
    <w:rsid w:val="004D41C2"/>
    <w:rsid w:val="004D5163"/>
    <w:rsid w:val="004E4C91"/>
    <w:rsid w:val="004F6DFE"/>
    <w:rsid w:val="005015AA"/>
    <w:rsid w:val="00512500"/>
    <w:rsid w:val="00543887"/>
    <w:rsid w:val="0054395C"/>
    <w:rsid w:val="0055092F"/>
    <w:rsid w:val="00563A45"/>
    <w:rsid w:val="00567D6B"/>
    <w:rsid w:val="0057483A"/>
    <w:rsid w:val="00575A35"/>
    <w:rsid w:val="00576E74"/>
    <w:rsid w:val="0057734F"/>
    <w:rsid w:val="005A7E53"/>
    <w:rsid w:val="005B0310"/>
    <w:rsid w:val="005B27C1"/>
    <w:rsid w:val="005D7CD8"/>
    <w:rsid w:val="005E3297"/>
    <w:rsid w:val="005E7F8E"/>
    <w:rsid w:val="005F5FDE"/>
    <w:rsid w:val="0061481F"/>
    <w:rsid w:val="00647362"/>
    <w:rsid w:val="006476E9"/>
    <w:rsid w:val="00655E07"/>
    <w:rsid w:val="00657BE2"/>
    <w:rsid w:val="00664A5D"/>
    <w:rsid w:val="00675CC3"/>
    <w:rsid w:val="00677A08"/>
    <w:rsid w:val="00680CEF"/>
    <w:rsid w:val="006904A3"/>
    <w:rsid w:val="006A35A0"/>
    <w:rsid w:val="006A3FC3"/>
    <w:rsid w:val="006A4243"/>
    <w:rsid w:val="006A5859"/>
    <w:rsid w:val="006B1109"/>
    <w:rsid w:val="006B24F6"/>
    <w:rsid w:val="006C0F82"/>
    <w:rsid w:val="006E3D25"/>
    <w:rsid w:val="006F76E9"/>
    <w:rsid w:val="00701011"/>
    <w:rsid w:val="00726103"/>
    <w:rsid w:val="00735A3F"/>
    <w:rsid w:val="00752723"/>
    <w:rsid w:val="00764FAB"/>
    <w:rsid w:val="007667DC"/>
    <w:rsid w:val="00784034"/>
    <w:rsid w:val="007867FB"/>
    <w:rsid w:val="00787874"/>
    <w:rsid w:val="007B07EB"/>
    <w:rsid w:val="00813491"/>
    <w:rsid w:val="008165CC"/>
    <w:rsid w:val="00825EE1"/>
    <w:rsid w:val="008266A5"/>
    <w:rsid w:val="008306C2"/>
    <w:rsid w:val="0083399A"/>
    <w:rsid w:val="0084485F"/>
    <w:rsid w:val="0085461F"/>
    <w:rsid w:val="008634C0"/>
    <w:rsid w:val="00867626"/>
    <w:rsid w:val="0089191C"/>
    <w:rsid w:val="008A374A"/>
    <w:rsid w:val="008B2159"/>
    <w:rsid w:val="008B6940"/>
    <w:rsid w:val="008B7EF0"/>
    <w:rsid w:val="008C0248"/>
    <w:rsid w:val="008D0EEA"/>
    <w:rsid w:val="008D31B9"/>
    <w:rsid w:val="008F0791"/>
    <w:rsid w:val="008F2F48"/>
    <w:rsid w:val="00910A21"/>
    <w:rsid w:val="0091780F"/>
    <w:rsid w:val="00920833"/>
    <w:rsid w:val="009343CD"/>
    <w:rsid w:val="00935734"/>
    <w:rsid w:val="009357A6"/>
    <w:rsid w:val="0094049E"/>
    <w:rsid w:val="0094180C"/>
    <w:rsid w:val="009503C7"/>
    <w:rsid w:val="009505A7"/>
    <w:rsid w:val="00952032"/>
    <w:rsid w:val="009567AB"/>
    <w:rsid w:val="009626D7"/>
    <w:rsid w:val="009858A8"/>
    <w:rsid w:val="00991682"/>
    <w:rsid w:val="009934A3"/>
    <w:rsid w:val="009B58E2"/>
    <w:rsid w:val="009C19DA"/>
    <w:rsid w:val="009C57BC"/>
    <w:rsid w:val="009E08DA"/>
    <w:rsid w:val="009E4AB5"/>
    <w:rsid w:val="00A0679C"/>
    <w:rsid w:val="00A06F88"/>
    <w:rsid w:val="00A10874"/>
    <w:rsid w:val="00A14ECF"/>
    <w:rsid w:val="00A22B78"/>
    <w:rsid w:val="00A22BC7"/>
    <w:rsid w:val="00A3556D"/>
    <w:rsid w:val="00A37EC6"/>
    <w:rsid w:val="00A60F59"/>
    <w:rsid w:val="00A66EFF"/>
    <w:rsid w:val="00A77D19"/>
    <w:rsid w:val="00A87E09"/>
    <w:rsid w:val="00AA2AEA"/>
    <w:rsid w:val="00AA5E24"/>
    <w:rsid w:val="00AD68DF"/>
    <w:rsid w:val="00AD757F"/>
    <w:rsid w:val="00AE6CDA"/>
    <w:rsid w:val="00AF2AA0"/>
    <w:rsid w:val="00AF4D82"/>
    <w:rsid w:val="00B020E7"/>
    <w:rsid w:val="00B056EF"/>
    <w:rsid w:val="00B247FE"/>
    <w:rsid w:val="00B35D9B"/>
    <w:rsid w:val="00B51A40"/>
    <w:rsid w:val="00B55CE7"/>
    <w:rsid w:val="00B77C78"/>
    <w:rsid w:val="00B92F23"/>
    <w:rsid w:val="00B94D4E"/>
    <w:rsid w:val="00B95761"/>
    <w:rsid w:val="00B95F88"/>
    <w:rsid w:val="00BA15C7"/>
    <w:rsid w:val="00BB6ED3"/>
    <w:rsid w:val="00BD055F"/>
    <w:rsid w:val="00BD1C4E"/>
    <w:rsid w:val="00BD4897"/>
    <w:rsid w:val="00BE2777"/>
    <w:rsid w:val="00C06856"/>
    <w:rsid w:val="00C271E5"/>
    <w:rsid w:val="00C50256"/>
    <w:rsid w:val="00C506F5"/>
    <w:rsid w:val="00C92092"/>
    <w:rsid w:val="00C97FE4"/>
    <w:rsid w:val="00CA103D"/>
    <w:rsid w:val="00CA26FA"/>
    <w:rsid w:val="00CA445E"/>
    <w:rsid w:val="00CE31BF"/>
    <w:rsid w:val="00CF0BC4"/>
    <w:rsid w:val="00CF17D6"/>
    <w:rsid w:val="00CF31BC"/>
    <w:rsid w:val="00CF4941"/>
    <w:rsid w:val="00CF6EBD"/>
    <w:rsid w:val="00D03823"/>
    <w:rsid w:val="00D20084"/>
    <w:rsid w:val="00D3073A"/>
    <w:rsid w:val="00D41413"/>
    <w:rsid w:val="00D46316"/>
    <w:rsid w:val="00D54D71"/>
    <w:rsid w:val="00D572A3"/>
    <w:rsid w:val="00D77C19"/>
    <w:rsid w:val="00D82CA3"/>
    <w:rsid w:val="00D9577D"/>
    <w:rsid w:val="00DA00A2"/>
    <w:rsid w:val="00DA442A"/>
    <w:rsid w:val="00DC430B"/>
    <w:rsid w:val="00DF251E"/>
    <w:rsid w:val="00DF7E02"/>
    <w:rsid w:val="00E12D5B"/>
    <w:rsid w:val="00E15DE1"/>
    <w:rsid w:val="00E17BDE"/>
    <w:rsid w:val="00E30F68"/>
    <w:rsid w:val="00E35AA7"/>
    <w:rsid w:val="00E35BEE"/>
    <w:rsid w:val="00E35FE2"/>
    <w:rsid w:val="00E6737D"/>
    <w:rsid w:val="00E70082"/>
    <w:rsid w:val="00E7471E"/>
    <w:rsid w:val="00E81279"/>
    <w:rsid w:val="00E95EC0"/>
    <w:rsid w:val="00EA3D48"/>
    <w:rsid w:val="00EB2A76"/>
    <w:rsid w:val="00EC2BD1"/>
    <w:rsid w:val="00ED0E9E"/>
    <w:rsid w:val="00ED62EC"/>
    <w:rsid w:val="00F01E83"/>
    <w:rsid w:val="00F07053"/>
    <w:rsid w:val="00F1454C"/>
    <w:rsid w:val="00F34C1F"/>
    <w:rsid w:val="00F37A7F"/>
    <w:rsid w:val="00F407CE"/>
    <w:rsid w:val="00F424F1"/>
    <w:rsid w:val="00F4747D"/>
    <w:rsid w:val="00F53EC5"/>
    <w:rsid w:val="00F72DC3"/>
    <w:rsid w:val="00F90851"/>
    <w:rsid w:val="00F91193"/>
    <w:rsid w:val="00F97D36"/>
    <w:rsid w:val="00FA2CA7"/>
    <w:rsid w:val="00FB72BD"/>
    <w:rsid w:val="00FD5F9F"/>
    <w:rsid w:val="00FE0EE1"/>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CEA9B"/>
  <w15:docId w15:val="{4D5BD713-6FC6-4E7C-B1EE-ABF98322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customStyle="1" w:styleId="AntratsDiagrama">
    <w:name w:val="Antraštės Diagrama"/>
    <w:basedOn w:val="Numatytasispastraiposriftas"/>
    <w:link w:val="Antrats"/>
    <w:uiPriority w:val="99"/>
    <w:rsid w:val="00655E07"/>
    <w:rPr>
      <w:rFonts w:ascii="TimesLT" w:hAnsi="TimesLT"/>
      <w:sz w:val="24"/>
      <w:lang w:val="en-GB" w:eastAsia="en-US"/>
    </w:rPr>
  </w:style>
  <w:style w:type="paragraph" w:styleId="Pataisymai">
    <w:name w:val="Revision"/>
    <w:hidden/>
    <w:uiPriority w:val="99"/>
    <w:semiHidden/>
    <w:rsid w:val="00AA2AEA"/>
    <w:rPr>
      <w:rFonts w:ascii="TimesLT" w:hAnsi="TimesLT"/>
      <w:sz w:val="24"/>
      <w:lang w:val="en-GB" w:eastAsia="en-US"/>
    </w:rPr>
  </w:style>
  <w:style w:type="character" w:styleId="Neapdorotaspaminjimas">
    <w:name w:val="Unresolved Mention"/>
    <w:basedOn w:val="Numatytasispastraiposriftas"/>
    <w:uiPriority w:val="99"/>
    <w:semiHidden/>
    <w:unhideWhenUsed/>
    <w:rsid w:val="00752723"/>
    <w:rPr>
      <w:color w:val="605E5C"/>
      <w:shd w:val="clear" w:color="auto" w:fill="E1DFDD"/>
    </w:rPr>
  </w:style>
  <w:style w:type="character" w:styleId="Komentaronuoroda">
    <w:name w:val="annotation reference"/>
    <w:basedOn w:val="Numatytasispastraiposriftas"/>
    <w:semiHidden/>
    <w:unhideWhenUsed/>
    <w:rsid w:val="000F08C1"/>
    <w:rPr>
      <w:sz w:val="16"/>
      <w:szCs w:val="16"/>
    </w:rPr>
  </w:style>
  <w:style w:type="paragraph" w:styleId="Komentarotekstas">
    <w:name w:val="annotation text"/>
    <w:basedOn w:val="prastasis"/>
    <w:link w:val="KomentarotekstasDiagrama"/>
    <w:unhideWhenUsed/>
    <w:rsid w:val="000F08C1"/>
    <w:rPr>
      <w:sz w:val="20"/>
    </w:rPr>
  </w:style>
  <w:style w:type="character" w:customStyle="1" w:styleId="KomentarotekstasDiagrama">
    <w:name w:val="Komentaro tekstas Diagrama"/>
    <w:basedOn w:val="Numatytasispastraiposriftas"/>
    <w:link w:val="Komentarotekstas"/>
    <w:rsid w:val="000F08C1"/>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0F08C1"/>
    <w:rPr>
      <w:b/>
      <w:bCs/>
    </w:rPr>
  </w:style>
  <w:style w:type="character" w:customStyle="1" w:styleId="KomentarotemaDiagrama">
    <w:name w:val="Komentaro tema Diagrama"/>
    <w:basedOn w:val="KomentarotekstasDiagrama"/>
    <w:link w:val="Komentarotema"/>
    <w:semiHidden/>
    <w:rsid w:val="000F08C1"/>
    <w:rPr>
      <w:rFonts w:ascii="TimesLT" w:hAnsi="TimesLT"/>
      <w:b/>
      <w:bCs/>
      <w:lang w:val="en-GB" w:eastAsia="en-US"/>
    </w:rPr>
  </w:style>
  <w:style w:type="table" w:customStyle="1" w:styleId="Lentelstinklelis1">
    <w:name w:val="Lentelės tinklelis1"/>
    <w:basedOn w:val="prastojilentel"/>
    <w:next w:val="Lentelstinklelis"/>
    <w:uiPriority w:val="39"/>
    <w:rsid w:val="008F2F48"/>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webSettings" Target="webSettings.xml"/><Relationship Id="rId9" Type="http://schemas.openxmlformats.org/officeDocument/2006/relationships/hyperlink" Target="http://www.zum.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ial\AppData\Local\Microsoft\Windows\INetCache\Content.MSO\DB135D48.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DB135D48</Template>
  <TotalTime>151</TotalTime>
  <Pages>5</Pages>
  <Words>1320</Words>
  <Characters>9268</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10567</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Žuklys</dc:creator>
  <cp:lastModifiedBy>Darius Žuklys</cp:lastModifiedBy>
  <cp:revision>8</cp:revision>
  <dcterms:created xsi:type="dcterms:W3CDTF">2025-09-17T10:28:00Z</dcterms:created>
  <dcterms:modified xsi:type="dcterms:W3CDTF">2025-09-22T06:17:00Z</dcterms:modified>
</cp:coreProperties>
</file>