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573DC" w14:textId="379F24E4" w:rsidR="00376BC5" w:rsidRPr="009B4B37" w:rsidRDefault="00376BC5" w:rsidP="00376BC5">
      <w:pPr>
        <w:jc w:val="center"/>
        <w:rPr>
          <w:b/>
          <w:sz w:val="28"/>
          <w:szCs w:val="24"/>
        </w:rPr>
      </w:pPr>
      <w:r w:rsidRPr="009B4B37">
        <w:rPr>
          <w:b/>
          <w:sz w:val="28"/>
          <w:szCs w:val="24"/>
        </w:rPr>
        <w:t xml:space="preserve">RINKOS KONSULTACIJA </w:t>
      </w:r>
      <w:r w:rsidRPr="009B4B37">
        <w:rPr>
          <w:b/>
          <w:sz w:val="24"/>
          <w:szCs w:val="24"/>
        </w:rPr>
        <w:t xml:space="preserve">(pirkimo Nr. </w:t>
      </w:r>
      <w:r w:rsidR="006916B2">
        <w:rPr>
          <w:b/>
          <w:sz w:val="24"/>
          <w:szCs w:val="24"/>
        </w:rPr>
        <w:t>3444</w:t>
      </w:r>
      <w:r w:rsidRPr="009B4B37">
        <w:rPr>
          <w:b/>
          <w:sz w:val="24"/>
          <w:szCs w:val="24"/>
        </w:rPr>
        <w:t>)</w:t>
      </w:r>
    </w:p>
    <w:p w14:paraId="18FA722D" w14:textId="77777777" w:rsidR="00376BC5" w:rsidRPr="009B4B37" w:rsidRDefault="00376BC5" w:rsidP="00376BC5">
      <w:pPr>
        <w:jc w:val="center"/>
        <w:rPr>
          <w:sz w:val="28"/>
          <w:szCs w:val="24"/>
        </w:rPr>
      </w:pPr>
    </w:p>
    <w:p w14:paraId="36B5369F" w14:textId="23F357BD" w:rsidR="00376BC5" w:rsidRPr="00376BC5" w:rsidRDefault="006916B2" w:rsidP="00376BC5">
      <w:pPr>
        <w:jc w:val="center"/>
        <w:rPr>
          <w:rFonts w:eastAsia="SimSun"/>
          <w:b/>
          <w:bCs/>
          <w:caps/>
          <w:sz w:val="24"/>
          <w:szCs w:val="24"/>
        </w:rPr>
      </w:pPr>
      <w:r>
        <w:rPr>
          <w:rFonts w:eastAsia="SimSun"/>
          <w:b/>
          <w:bCs/>
          <w:caps/>
          <w:sz w:val="24"/>
          <w:szCs w:val="24"/>
        </w:rPr>
        <w:t>Laboratoriniai tyrimai</w:t>
      </w:r>
    </w:p>
    <w:p w14:paraId="66346F49" w14:textId="77777777" w:rsidR="00376BC5" w:rsidRPr="009B4B37" w:rsidRDefault="00376BC5" w:rsidP="00376BC5">
      <w:pPr>
        <w:jc w:val="center"/>
        <w:rPr>
          <w:b/>
          <w:sz w:val="24"/>
          <w:szCs w:val="24"/>
        </w:rPr>
      </w:pPr>
      <w:r w:rsidRPr="009B4B37">
        <w:rPr>
          <w:b/>
          <w:sz w:val="24"/>
          <w:szCs w:val="24"/>
        </w:rPr>
        <w:t>Atsakymai į tiekėjų pastabas</w:t>
      </w:r>
    </w:p>
    <w:p w14:paraId="049E36FD" w14:textId="77777777" w:rsidR="00376BC5" w:rsidRPr="009B4B37" w:rsidRDefault="00376BC5" w:rsidP="00376BC5">
      <w:pPr>
        <w:jc w:val="center"/>
        <w:rPr>
          <w:b/>
          <w:sz w:val="24"/>
          <w:szCs w:val="24"/>
        </w:rPr>
      </w:pPr>
    </w:p>
    <w:tbl>
      <w:tblPr>
        <w:tblStyle w:val="Lentelstinklelis"/>
        <w:tblW w:w="0" w:type="auto"/>
        <w:tblLook w:val="04A0" w:firstRow="1" w:lastRow="0" w:firstColumn="1" w:lastColumn="0" w:noHBand="0" w:noVBand="1"/>
      </w:tblPr>
      <w:tblGrid>
        <w:gridCol w:w="2347"/>
        <w:gridCol w:w="2635"/>
        <w:gridCol w:w="2952"/>
        <w:gridCol w:w="2856"/>
      </w:tblGrid>
      <w:tr w:rsidR="00376BC5" w:rsidRPr="009B4B37" w14:paraId="4A72152E" w14:textId="77777777" w:rsidTr="00AB390B">
        <w:trPr>
          <w:trHeight w:val="281"/>
        </w:trPr>
        <w:tc>
          <w:tcPr>
            <w:tcW w:w="2347" w:type="dxa"/>
          </w:tcPr>
          <w:p w14:paraId="44B037DD" w14:textId="77777777" w:rsidR="00376BC5" w:rsidRPr="009B4B37" w:rsidRDefault="00376BC5">
            <w:pPr>
              <w:jc w:val="both"/>
              <w:rPr>
                <w:b/>
                <w:sz w:val="24"/>
                <w:szCs w:val="24"/>
              </w:rPr>
            </w:pPr>
            <w:r w:rsidRPr="009B4B37">
              <w:rPr>
                <w:b/>
                <w:sz w:val="24"/>
                <w:szCs w:val="24"/>
              </w:rPr>
              <w:t>Paklausėjas</w:t>
            </w:r>
          </w:p>
        </w:tc>
        <w:tc>
          <w:tcPr>
            <w:tcW w:w="2635" w:type="dxa"/>
          </w:tcPr>
          <w:p w14:paraId="375BFCB7" w14:textId="55C67023" w:rsidR="00376BC5" w:rsidRPr="009B4B37" w:rsidRDefault="00000822">
            <w:pPr>
              <w:jc w:val="both"/>
              <w:rPr>
                <w:b/>
                <w:color w:val="0070C0"/>
                <w:sz w:val="24"/>
                <w:szCs w:val="24"/>
              </w:rPr>
            </w:pPr>
            <w:r>
              <w:rPr>
                <w:b/>
                <w:color w:val="000000" w:themeColor="text1"/>
                <w:sz w:val="24"/>
                <w:szCs w:val="24"/>
              </w:rPr>
              <w:t>Klausimas</w:t>
            </w:r>
          </w:p>
        </w:tc>
        <w:tc>
          <w:tcPr>
            <w:tcW w:w="2952" w:type="dxa"/>
          </w:tcPr>
          <w:p w14:paraId="5EFAD3BE" w14:textId="71DD7771" w:rsidR="00376BC5" w:rsidRPr="009B4B37" w:rsidRDefault="00000822">
            <w:pPr>
              <w:jc w:val="both"/>
              <w:rPr>
                <w:b/>
                <w:color w:val="000000" w:themeColor="text1"/>
                <w:sz w:val="24"/>
                <w:szCs w:val="24"/>
              </w:rPr>
            </w:pPr>
            <w:r>
              <w:rPr>
                <w:b/>
                <w:color w:val="000000" w:themeColor="text1"/>
                <w:sz w:val="24"/>
                <w:szCs w:val="24"/>
              </w:rPr>
              <w:t>S</w:t>
            </w:r>
            <w:r w:rsidR="00376BC5" w:rsidRPr="009B4B37">
              <w:rPr>
                <w:b/>
                <w:color w:val="000000" w:themeColor="text1"/>
                <w:sz w:val="24"/>
                <w:szCs w:val="24"/>
              </w:rPr>
              <w:t>iūlymas</w:t>
            </w:r>
          </w:p>
        </w:tc>
        <w:tc>
          <w:tcPr>
            <w:tcW w:w="2856" w:type="dxa"/>
          </w:tcPr>
          <w:p w14:paraId="579A0301" w14:textId="77777777" w:rsidR="00376BC5" w:rsidRPr="009B4B37" w:rsidRDefault="00376BC5">
            <w:pPr>
              <w:jc w:val="both"/>
              <w:rPr>
                <w:b/>
                <w:color w:val="000000" w:themeColor="text1"/>
                <w:sz w:val="24"/>
                <w:szCs w:val="24"/>
              </w:rPr>
            </w:pPr>
            <w:r w:rsidRPr="009B4B37">
              <w:rPr>
                <w:b/>
                <w:color w:val="000000" w:themeColor="text1"/>
                <w:sz w:val="24"/>
                <w:szCs w:val="24"/>
              </w:rPr>
              <w:t>Atsakymas</w:t>
            </w:r>
          </w:p>
        </w:tc>
      </w:tr>
      <w:tr w:rsidR="00DA55AC" w:rsidRPr="009B4B37" w14:paraId="3CED697A" w14:textId="77777777" w:rsidTr="00AB390B">
        <w:tc>
          <w:tcPr>
            <w:tcW w:w="2347" w:type="dxa"/>
            <w:vMerge w:val="restart"/>
          </w:tcPr>
          <w:p w14:paraId="36E8FDA8" w14:textId="0718D562" w:rsidR="00DA55AC" w:rsidRPr="009B4B37" w:rsidRDefault="002B569A" w:rsidP="006916B2">
            <w:pPr>
              <w:rPr>
                <w:sz w:val="24"/>
                <w:szCs w:val="24"/>
              </w:rPr>
            </w:pPr>
            <w:r>
              <w:rPr>
                <w:sz w:val="24"/>
                <w:szCs w:val="24"/>
              </w:rPr>
              <w:t>1. Tiekėjas.</w:t>
            </w:r>
          </w:p>
        </w:tc>
        <w:tc>
          <w:tcPr>
            <w:tcW w:w="2635" w:type="dxa"/>
          </w:tcPr>
          <w:p w14:paraId="2357DA25" w14:textId="2D726084" w:rsidR="00DA55AC" w:rsidRPr="0028089E" w:rsidRDefault="00DA55AC" w:rsidP="00000822">
            <w:pPr>
              <w:rPr>
                <w:sz w:val="24"/>
                <w:szCs w:val="24"/>
                <w:lang w:val="lt-LT"/>
              </w:rPr>
            </w:pPr>
            <w:r w:rsidRPr="00000822">
              <w:rPr>
                <w:sz w:val="24"/>
                <w:szCs w:val="24"/>
                <w:lang w:val="lt-LT"/>
              </w:rPr>
              <w:t>Kokius reikalavimus papildomai patartumėte įtraukti į techninę specifikaciją, arba kurių reikėtų atsisakyti ? Prašome argumentuoti kiekvieną siūlymą korekcijai bei nurodyti konkrečius punktus ir/ar teksto vietas, kur jūsų nuomone turi būti atliekamos korekcijos.</w:t>
            </w:r>
          </w:p>
        </w:tc>
        <w:tc>
          <w:tcPr>
            <w:tcW w:w="2952" w:type="dxa"/>
          </w:tcPr>
          <w:p w14:paraId="689491AB" w14:textId="1798907D" w:rsidR="00DA55AC" w:rsidRPr="00000822" w:rsidRDefault="00DA55AC" w:rsidP="002F7ACE">
            <w:pPr>
              <w:jc w:val="both"/>
              <w:rPr>
                <w:iCs/>
                <w:sz w:val="24"/>
                <w:szCs w:val="24"/>
              </w:rPr>
            </w:pPr>
            <w:r w:rsidRPr="00000822">
              <w:rPr>
                <w:iCs/>
                <w:sz w:val="24"/>
                <w:szCs w:val="24"/>
                <w:lang w:val="lt-LT"/>
              </w:rPr>
              <w:t>2-oje dalyje išskirstyti į atskiras dalis molekulinius ir citologinius/patologinius tyrimus. Taip pasiūlymą galėtų pateikti daugiau rinkos dalyvių.</w:t>
            </w:r>
          </w:p>
        </w:tc>
        <w:tc>
          <w:tcPr>
            <w:tcW w:w="2856" w:type="dxa"/>
          </w:tcPr>
          <w:p w14:paraId="2DD0C39F" w14:textId="7815E48A" w:rsidR="00DA55AC" w:rsidRPr="0028089E" w:rsidRDefault="00DA55AC">
            <w:pPr>
              <w:jc w:val="both"/>
              <w:rPr>
                <w:sz w:val="24"/>
                <w:szCs w:val="24"/>
                <w:lang w:val="pt-BR"/>
              </w:rPr>
            </w:pPr>
            <w:r w:rsidRPr="0028089E">
              <w:rPr>
                <w:sz w:val="24"/>
                <w:szCs w:val="24"/>
                <w:lang w:val="pt-BR"/>
              </w:rPr>
              <w:t>2 pirkimo dalis nebus skirstoma į citologinius / patologinius tyrimus ir molekulinius tyrimus. Pirkimo dalis suformuota pagal tiriamąją medžiagą siekiant minimizuoti intervencijų skaičių pacientams ir visus galimus tyrimus atlikti iš vieno ėminio.</w:t>
            </w:r>
          </w:p>
        </w:tc>
      </w:tr>
      <w:tr w:rsidR="00DA55AC" w:rsidRPr="009B4B37" w14:paraId="1E84CA0A" w14:textId="77777777" w:rsidTr="00AB390B">
        <w:tc>
          <w:tcPr>
            <w:tcW w:w="2347" w:type="dxa"/>
            <w:vMerge/>
          </w:tcPr>
          <w:p w14:paraId="205425F9" w14:textId="77777777" w:rsidR="00DA55AC" w:rsidRPr="0028089E" w:rsidRDefault="00DA55AC" w:rsidP="006916B2">
            <w:pPr>
              <w:rPr>
                <w:bCs/>
                <w:color w:val="000000" w:themeColor="text1"/>
                <w:sz w:val="24"/>
                <w:szCs w:val="24"/>
                <w:lang w:val="pt-BR"/>
              </w:rPr>
            </w:pPr>
          </w:p>
        </w:tc>
        <w:tc>
          <w:tcPr>
            <w:tcW w:w="2635" w:type="dxa"/>
          </w:tcPr>
          <w:p w14:paraId="59F0C8C1" w14:textId="77777777" w:rsidR="00DA55AC" w:rsidRPr="00000822" w:rsidRDefault="00DA55AC" w:rsidP="00000822">
            <w:pPr>
              <w:rPr>
                <w:sz w:val="24"/>
                <w:szCs w:val="24"/>
                <w:lang w:val="lt-LT"/>
              </w:rPr>
            </w:pPr>
            <w:r w:rsidRPr="00000822">
              <w:rPr>
                <w:sz w:val="24"/>
                <w:szCs w:val="24"/>
                <w:lang w:val="lt-LT"/>
              </w:rPr>
              <w:t>Nurodykite kokius dar papildomus tyrimus rekomenduojate įtraukti į pirkimą.</w:t>
            </w:r>
          </w:p>
          <w:p w14:paraId="5741741C" w14:textId="77777777" w:rsidR="00DA55AC" w:rsidRPr="0028089E" w:rsidRDefault="00DA55AC" w:rsidP="00182423">
            <w:pPr>
              <w:jc w:val="both"/>
              <w:rPr>
                <w:sz w:val="24"/>
                <w:szCs w:val="24"/>
                <w:lang w:val="pt-BR"/>
              </w:rPr>
            </w:pPr>
          </w:p>
        </w:tc>
        <w:tc>
          <w:tcPr>
            <w:tcW w:w="2952" w:type="dxa"/>
          </w:tcPr>
          <w:p w14:paraId="051027EC" w14:textId="71CF9A9D" w:rsidR="00DA55AC" w:rsidRPr="0028089E" w:rsidRDefault="00DA55AC" w:rsidP="00182423">
            <w:pPr>
              <w:jc w:val="both"/>
              <w:rPr>
                <w:iCs/>
                <w:sz w:val="24"/>
                <w:szCs w:val="24"/>
                <w:lang w:val="pt-BR"/>
              </w:rPr>
            </w:pPr>
            <w:r w:rsidRPr="00000822">
              <w:rPr>
                <w:iCs/>
                <w:sz w:val="24"/>
                <w:szCs w:val="24"/>
                <w:lang w:val="lt-LT"/>
              </w:rPr>
              <w:t>Neinvazinius prenatalinius tyrimus NIPT dėl trisomijų ir vaisiaus lyties;</w:t>
            </w:r>
            <w:r w:rsidRPr="00000822">
              <w:rPr>
                <w:iCs/>
                <w:sz w:val="24"/>
                <w:szCs w:val="24"/>
                <w:lang w:val="lt-LT"/>
              </w:rPr>
              <w:br/>
              <w:t>Laktozės netoleravimą lemiančių 3 genetinių faktorių nustatymas PGR metodu, sunkiųjų metalų kraujo serume tyrimus.</w:t>
            </w:r>
          </w:p>
        </w:tc>
        <w:tc>
          <w:tcPr>
            <w:tcW w:w="2856" w:type="dxa"/>
          </w:tcPr>
          <w:p w14:paraId="57D842BA" w14:textId="28B93C42" w:rsidR="00DA55AC" w:rsidRPr="0028089E" w:rsidRDefault="00DA55AC" w:rsidP="00182423">
            <w:pPr>
              <w:jc w:val="both"/>
              <w:rPr>
                <w:sz w:val="24"/>
                <w:szCs w:val="24"/>
                <w:lang w:val="pt-BR"/>
              </w:rPr>
            </w:pPr>
            <w:r w:rsidRPr="0028089E">
              <w:rPr>
                <w:sz w:val="24"/>
                <w:szCs w:val="24"/>
                <w:lang w:val="pt-BR"/>
              </w:rPr>
              <w:t>Tyrimų sąrašas parengtas po konsultacijų su įstaigos gydytojais, tyrimų sąrašo papildomai neplanuojama plėsti.</w:t>
            </w:r>
          </w:p>
        </w:tc>
      </w:tr>
      <w:tr w:rsidR="00DA55AC" w:rsidRPr="009B4B37" w14:paraId="0E57D77F" w14:textId="77777777" w:rsidTr="00AB390B">
        <w:tc>
          <w:tcPr>
            <w:tcW w:w="2347" w:type="dxa"/>
            <w:vMerge/>
          </w:tcPr>
          <w:p w14:paraId="5B955B23" w14:textId="77777777" w:rsidR="00DA55AC" w:rsidRPr="0028089E" w:rsidRDefault="00DA55AC" w:rsidP="006916B2">
            <w:pPr>
              <w:rPr>
                <w:bCs/>
                <w:color w:val="000000" w:themeColor="text1"/>
                <w:sz w:val="24"/>
                <w:szCs w:val="24"/>
                <w:lang w:val="pt-BR"/>
              </w:rPr>
            </w:pPr>
          </w:p>
        </w:tc>
        <w:tc>
          <w:tcPr>
            <w:tcW w:w="2635" w:type="dxa"/>
          </w:tcPr>
          <w:p w14:paraId="0BD635A5" w14:textId="38CC2134" w:rsidR="00DA55AC" w:rsidRPr="00000822" w:rsidRDefault="00DA55AC" w:rsidP="00000822">
            <w:pPr>
              <w:rPr>
                <w:sz w:val="24"/>
                <w:szCs w:val="24"/>
              </w:rPr>
            </w:pPr>
            <w:r>
              <w:rPr>
                <w:sz w:val="24"/>
                <w:szCs w:val="24"/>
              </w:rPr>
              <w:t xml:space="preserve">Pastaba 4 pirkimo dalis </w:t>
            </w:r>
          </w:p>
        </w:tc>
        <w:tc>
          <w:tcPr>
            <w:tcW w:w="2952" w:type="dxa"/>
          </w:tcPr>
          <w:p w14:paraId="33D4ABF2" w14:textId="1D4F559B" w:rsidR="00DA55AC" w:rsidRPr="00000822" w:rsidRDefault="00DA55AC" w:rsidP="00182423">
            <w:pPr>
              <w:jc w:val="both"/>
              <w:rPr>
                <w:iCs/>
                <w:sz w:val="24"/>
                <w:szCs w:val="24"/>
              </w:rPr>
            </w:pPr>
            <w:r>
              <w:rPr>
                <w:iCs/>
                <w:sz w:val="24"/>
                <w:szCs w:val="24"/>
              </w:rPr>
              <w:t xml:space="preserve">Ties analite – Kalprotektinas išmatose (kiekybiniai metodai), nėra nurodytas kiekis. </w:t>
            </w:r>
          </w:p>
        </w:tc>
        <w:tc>
          <w:tcPr>
            <w:tcW w:w="2856" w:type="dxa"/>
          </w:tcPr>
          <w:p w14:paraId="00D534D1" w14:textId="397C6090" w:rsidR="00DA55AC" w:rsidRDefault="00DA55AC" w:rsidP="00182423">
            <w:pPr>
              <w:jc w:val="both"/>
              <w:rPr>
                <w:sz w:val="24"/>
                <w:szCs w:val="24"/>
              </w:rPr>
            </w:pPr>
            <w:r>
              <w:rPr>
                <w:sz w:val="24"/>
                <w:szCs w:val="24"/>
              </w:rPr>
              <w:t>Tyrimų skaičius įrašytas</w:t>
            </w:r>
          </w:p>
        </w:tc>
      </w:tr>
      <w:tr w:rsidR="00DA55AC" w:rsidRPr="009B4B37" w14:paraId="0EDC4F0D" w14:textId="77777777" w:rsidTr="00AB390B">
        <w:tc>
          <w:tcPr>
            <w:tcW w:w="2347" w:type="dxa"/>
            <w:vMerge/>
          </w:tcPr>
          <w:p w14:paraId="4DABD20B" w14:textId="77777777" w:rsidR="00DA55AC" w:rsidRPr="0028089E" w:rsidRDefault="00DA55AC" w:rsidP="006916B2">
            <w:pPr>
              <w:rPr>
                <w:bCs/>
                <w:color w:val="000000" w:themeColor="text1"/>
                <w:sz w:val="24"/>
                <w:szCs w:val="24"/>
                <w:lang w:val="pt-BR"/>
              </w:rPr>
            </w:pPr>
          </w:p>
        </w:tc>
        <w:tc>
          <w:tcPr>
            <w:tcW w:w="2635" w:type="dxa"/>
          </w:tcPr>
          <w:p w14:paraId="53A5D67F" w14:textId="18A077BA" w:rsidR="00DA55AC" w:rsidRPr="00DA55AC" w:rsidRDefault="00DA55AC" w:rsidP="00000822">
            <w:pPr>
              <w:rPr>
                <w:sz w:val="24"/>
                <w:szCs w:val="24"/>
                <w:lang w:val="pt-BR"/>
              </w:rPr>
            </w:pPr>
            <w:r w:rsidRPr="00DA55AC">
              <w:rPr>
                <w:sz w:val="24"/>
                <w:szCs w:val="24"/>
                <w:lang w:val="pt-BR"/>
              </w:rPr>
              <w:t>Vadovaujantis Lietuvos Respublikos vyriausybės nutarimu 2021 m. birželio 21 d. Nr. 478 dėl žaliųjų pirkimų tikslų nustatymo ir įgyvendinimo, kuriame nurodyta, jog nuo 2023 m. 100 proc. perkančiosios organizacijos pirkimams turi taikyti žaliųjų pirkimų reikalavimus, pateikite savo siūlymus dėl techninės specifikacijos ir dėl sutarties sąlygų žaliųjų pirkimų reikalavimų.</w:t>
            </w:r>
          </w:p>
        </w:tc>
        <w:tc>
          <w:tcPr>
            <w:tcW w:w="2952" w:type="dxa"/>
          </w:tcPr>
          <w:p w14:paraId="1C22B28F" w14:textId="06AAC932" w:rsidR="00DA55AC" w:rsidRPr="00DA55AC" w:rsidRDefault="00DA55AC" w:rsidP="00182423">
            <w:pPr>
              <w:jc w:val="both"/>
              <w:rPr>
                <w:iCs/>
                <w:sz w:val="24"/>
                <w:szCs w:val="24"/>
                <w:lang w:val="pt-BR"/>
              </w:rPr>
            </w:pPr>
            <w:r w:rsidRPr="00DA55AC">
              <w:rPr>
                <w:rFonts w:eastAsia="Calibri"/>
                <w:noProof w:val="0"/>
                <w:sz w:val="22"/>
                <w:szCs w:val="22"/>
                <w:lang w:val="lt-LT"/>
              </w:rPr>
              <w:t xml:space="preserve">Prašome detalizuoti kokie reikalavimai iš 2021 m. birželio 21 d. Lietuvos </w:t>
            </w:r>
            <w:proofErr w:type="spellStart"/>
            <w:r w:rsidRPr="00DA55AC">
              <w:rPr>
                <w:rFonts w:eastAsia="Calibri"/>
                <w:noProof w:val="0"/>
                <w:sz w:val="22"/>
                <w:szCs w:val="22"/>
                <w:lang w:val="lt-LT"/>
              </w:rPr>
              <w:t>Rrespublikos</w:t>
            </w:r>
            <w:proofErr w:type="spellEnd"/>
            <w:r w:rsidRPr="00DA55AC">
              <w:rPr>
                <w:rFonts w:eastAsia="Calibri"/>
                <w:noProof w:val="0"/>
                <w:sz w:val="22"/>
                <w:szCs w:val="22"/>
                <w:lang w:val="lt-LT"/>
              </w:rPr>
              <w:t xml:space="preserve"> vyriausybės nutarimo turi būti taikomi.</w:t>
            </w:r>
          </w:p>
        </w:tc>
        <w:tc>
          <w:tcPr>
            <w:tcW w:w="2856" w:type="dxa"/>
          </w:tcPr>
          <w:p w14:paraId="77B4DB5E" w14:textId="77777777" w:rsidR="00EE6C7C" w:rsidRDefault="00EE6C7C" w:rsidP="00182423">
            <w:pPr>
              <w:jc w:val="both"/>
              <w:rPr>
                <w:sz w:val="24"/>
                <w:szCs w:val="24"/>
                <w:lang w:val="pt-BR"/>
              </w:rPr>
            </w:pPr>
            <w:r w:rsidRPr="00EE6C7C">
              <w:rPr>
                <w:sz w:val="24"/>
                <w:szCs w:val="24"/>
                <w:lang w:val="pt-BR"/>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 papunkčiu.</w:t>
            </w:r>
            <w:r>
              <w:rPr>
                <w:sz w:val="24"/>
                <w:szCs w:val="24"/>
                <w:lang w:val="pt-BR"/>
              </w:rPr>
              <w:t xml:space="preserve">  </w:t>
            </w:r>
          </w:p>
          <w:p w14:paraId="7A28EB6B" w14:textId="713775F3" w:rsidR="00DA55AC" w:rsidRPr="00DA55AC" w:rsidRDefault="00EE6C7C" w:rsidP="00182423">
            <w:pPr>
              <w:jc w:val="both"/>
              <w:rPr>
                <w:sz w:val="24"/>
                <w:szCs w:val="24"/>
                <w:lang w:val="pt-BR"/>
              </w:rPr>
            </w:pPr>
            <w:r w:rsidRPr="00EE6C7C">
              <w:rPr>
                <w:sz w:val="24"/>
                <w:szCs w:val="24"/>
                <w:lang w:val="pt-BR"/>
              </w:rPr>
              <w:lastRenderedPageBreak/>
              <w:t xml:space="preserve">Tiekėjas privalo </w:t>
            </w:r>
            <w:r>
              <w:rPr>
                <w:sz w:val="24"/>
                <w:szCs w:val="24"/>
                <w:lang w:val="pt-BR"/>
              </w:rPr>
              <w:t>Tyrimus</w:t>
            </w:r>
            <w:r w:rsidRPr="00EE6C7C">
              <w:rPr>
                <w:sz w:val="24"/>
                <w:szCs w:val="24"/>
                <w:lang w:val="pt-BR"/>
              </w:rPr>
              <w:t xml:space="preserve"> </w:t>
            </w:r>
            <w:r>
              <w:rPr>
                <w:sz w:val="24"/>
                <w:szCs w:val="24"/>
                <w:lang w:val="pt-BR"/>
              </w:rPr>
              <w:t>paimti iš</w:t>
            </w:r>
            <w:r w:rsidRPr="00EE6C7C">
              <w:rPr>
                <w:sz w:val="24"/>
                <w:szCs w:val="24"/>
                <w:lang w:val="pt-BR"/>
              </w:rPr>
              <w:t xml:space="preserve"> Pirkėj</w:t>
            </w:r>
            <w:r>
              <w:rPr>
                <w:sz w:val="24"/>
                <w:szCs w:val="24"/>
                <w:lang w:val="pt-BR"/>
              </w:rPr>
              <w:t>o</w:t>
            </w:r>
            <w:r w:rsidRPr="00EE6C7C">
              <w:rPr>
                <w:sz w:val="24"/>
                <w:szCs w:val="24"/>
                <w:lang w:val="pt-BR"/>
              </w:rPr>
              <w:t xml:space="preserve"> ne kelių eismo piko valandomis, pirmadieniais − </w:t>
            </w:r>
            <w:r>
              <w:rPr>
                <w:sz w:val="24"/>
                <w:szCs w:val="24"/>
                <w:lang w:val="pt-BR"/>
              </w:rPr>
              <w:t>penktasdieniais</w:t>
            </w:r>
            <w:r w:rsidRPr="00EE6C7C">
              <w:rPr>
                <w:sz w:val="24"/>
                <w:szCs w:val="24"/>
                <w:lang w:val="pt-BR"/>
              </w:rPr>
              <w:t xml:space="preserve"> ir švenčių dienų išvakarėse nuo 9:00 iki 11:30 ir nuo13:30 iki 15:00 val. ir trumpiausiais galimais maršrutais.</w:t>
            </w:r>
          </w:p>
        </w:tc>
      </w:tr>
      <w:tr w:rsidR="00D334FD" w:rsidRPr="009B4B37" w14:paraId="64DD8A59" w14:textId="77777777" w:rsidTr="00AB390B">
        <w:tc>
          <w:tcPr>
            <w:tcW w:w="2347" w:type="dxa"/>
            <w:vMerge w:val="restart"/>
          </w:tcPr>
          <w:p w14:paraId="5F7321F3" w14:textId="18B8ABFD" w:rsidR="00D334FD" w:rsidRPr="006916B2" w:rsidRDefault="002B569A" w:rsidP="006916B2">
            <w:pPr>
              <w:rPr>
                <w:bCs/>
                <w:color w:val="000000" w:themeColor="text1"/>
                <w:sz w:val="24"/>
                <w:szCs w:val="24"/>
              </w:rPr>
            </w:pPr>
            <w:r>
              <w:rPr>
                <w:bCs/>
                <w:color w:val="000000" w:themeColor="text1"/>
                <w:sz w:val="24"/>
                <w:szCs w:val="24"/>
              </w:rPr>
              <w:lastRenderedPageBreak/>
              <w:t>2. Tiekėjas.</w:t>
            </w:r>
          </w:p>
        </w:tc>
        <w:tc>
          <w:tcPr>
            <w:tcW w:w="2635" w:type="dxa"/>
            <w:vMerge w:val="restart"/>
          </w:tcPr>
          <w:p w14:paraId="593A4CE8" w14:textId="77777777" w:rsidR="00D334FD" w:rsidRPr="0060697B" w:rsidRDefault="00D334FD" w:rsidP="0060697B">
            <w:pPr>
              <w:jc w:val="both"/>
              <w:rPr>
                <w:sz w:val="24"/>
                <w:szCs w:val="24"/>
                <w:lang w:val="lt-LT"/>
              </w:rPr>
            </w:pPr>
            <w:r w:rsidRPr="0060697B">
              <w:rPr>
                <w:sz w:val="24"/>
                <w:szCs w:val="24"/>
                <w:lang w:val="lt-LT"/>
              </w:rPr>
              <w:t xml:space="preserve">3 pirkimo daliai - Mikrobiologiniai tyrimai </w:t>
            </w:r>
          </w:p>
          <w:p w14:paraId="5EEA5053" w14:textId="61D7724E" w:rsidR="00D334FD" w:rsidRPr="009B4B37" w:rsidRDefault="00D334FD" w:rsidP="00182423">
            <w:pPr>
              <w:jc w:val="both"/>
              <w:rPr>
                <w:sz w:val="24"/>
                <w:szCs w:val="24"/>
              </w:rPr>
            </w:pPr>
          </w:p>
        </w:tc>
        <w:tc>
          <w:tcPr>
            <w:tcW w:w="2952" w:type="dxa"/>
          </w:tcPr>
          <w:p w14:paraId="5E187351" w14:textId="4CA340B9" w:rsidR="00D334FD" w:rsidRPr="00DA0BC6" w:rsidRDefault="00D334FD" w:rsidP="00182423">
            <w:pPr>
              <w:jc w:val="both"/>
              <w:rPr>
                <w:iCs/>
                <w:sz w:val="24"/>
                <w:szCs w:val="24"/>
              </w:rPr>
            </w:pPr>
            <w:r w:rsidRPr="00CD7257">
              <w:rPr>
                <w:iCs/>
                <w:sz w:val="24"/>
                <w:szCs w:val="24"/>
              </w:rPr>
              <w:t>Nr. 6 „Kūno skysčių pasėlis grybams“ – ši tyrimo pozicija nėra įtraukta į Klinikinių laboratorinių tyrimų nomenklatūrą, todėl vadovaujantis LR SAM 2012 m. sausio 12 įsakymu Nr. V-17 „Dėl klinikinių laboratorinių tyrimų kokybės gerinimo programos patvirtinimo“, teisingesnis šio tyrimo pavadinimas būtų "Įvairios patologinės medžiagos pasėlis grybų nustatymui". Šis tyrimas užsakomas, jei iš bet kokio kūno skysčio norima išauginti grybelį.</w:t>
            </w:r>
          </w:p>
        </w:tc>
        <w:tc>
          <w:tcPr>
            <w:tcW w:w="2856" w:type="dxa"/>
          </w:tcPr>
          <w:p w14:paraId="6B0CCB3B" w14:textId="06709405" w:rsidR="00D334FD" w:rsidRPr="009B4B37" w:rsidRDefault="00882104" w:rsidP="00182423">
            <w:pPr>
              <w:jc w:val="both"/>
              <w:rPr>
                <w:sz w:val="24"/>
                <w:szCs w:val="24"/>
              </w:rPr>
            </w:pPr>
            <w:r>
              <w:rPr>
                <w:sz w:val="24"/>
                <w:szCs w:val="24"/>
              </w:rPr>
              <w:t xml:space="preserve">Rengiant techninę specifikaciją vadovautasi </w:t>
            </w:r>
            <w:r w:rsidRPr="00882104">
              <w:rPr>
                <w:sz w:val="24"/>
                <w:szCs w:val="24"/>
              </w:rPr>
              <w:t>Medicinos nomenklatūrų ir klasifikatorių valdymo informacine sistema (MNKV IS)</w:t>
            </w:r>
            <w:r>
              <w:rPr>
                <w:sz w:val="24"/>
                <w:szCs w:val="24"/>
              </w:rPr>
              <w:t>. MNKV IS yra tyrimas pasėlis dėl grybų nedetalizuojant tiriamosios medžiagos. Tyrimo pavadinimas suformuotas atsižvelgiant į įstaigos gydytojų poreikius ir pasitaikančią tiriamąją medžiagą.</w:t>
            </w:r>
            <w:r w:rsidR="004F1DCA">
              <w:rPr>
                <w:sz w:val="24"/>
                <w:szCs w:val="24"/>
              </w:rPr>
              <w:t xml:space="preserve"> “Įvairios patologinės medžiagos pasėlis grybų nustatymui” atitinka prašomą “Kūno skysčių pasėlis grybams”.</w:t>
            </w:r>
          </w:p>
        </w:tc>
      </w:tr>
      <w:tr w:rsidR="00D334FD" w:rsidRPr="009B4B37" w14:paraId="70F384BD" w14:textId="77777777" w:rsidTr="00AB390B">
        <w:tc>
          <w:tcPr>
            <w:tcW w:w="2347" w:type="dxa"/>
            <w:vMerge/>
          </w:tcPr>
          <w:p w14:paraId="5F845AD1" w14:textId="77777777" w:rsidR="00D334FD" w:rsidRDefault="00D334FD" w:rsidP="00182423">
            <w:pPr>
              <w:jc w:val="both"/>
              <w:rPr>
                <w:b/>
                <w:color w:val="000000" w:themeColor="text1"/>
                <w:sz w:val="24"/>
                <w:szCs w:val="24"/>
              </w:rPr>
            </w:pPr>
          </w:p>
        </w:tc>
        <w:tc>
          <w:tcPr>
            <w:tcW w:w="2635" w:type="dxa"/>
            <w:vMerge/>
          </w:tcPr>
          <w:p w14:paraId="739CF118" w14:textId="604D38B3" w:rsidR="00D334FD" w:rsidRPr="00DA0BC6" w:rsidRDefault="00D334FD" w:rsidP="00182423">
            <w:pPr>
              <w:jc w:val="both"/>
              <w:rPr>
                <w:sz w:val="24"/>
                <w:szCs w:val="24"/>
              </w:rPr>
            </w:pPr>
          </w:p>
        </w:tc>
        <w:tc>
          <w:tcPr>
            <w:tcW w:w="2952" w:type="dxa"/>
          </w:tcPr>
          <w:p w14:paraId="66DA1882" w14:textId="5E824FF4" w:rsidR="00D334FD" w:rsidRPr="00DA0BC6" w:rsidRDefault="00D334FD" w:rsidP="00182423">
            <w:pPr>
              <w:jc w:val="both"/>
              <w:rPr>
                <w:iCs/>
                <w:sz w:val="24"/>
                <w:szCs w:val="24"/>
              </w:rPr>
            </w:pPr>
            <w:r w:rsidRPr="00CD7257">
              <w:rPr>
                <w:iCs/>
                <w:sz w:val="24"/>
                <w:szCs w:val="24"/>
              </w:rPr>
              <w:t xml:space="preserve">Nr. 8 „Išmatų pasėlis grybams“ - ši tyrimo pozicija nėra įtraukta į Klinikinių laboratorinių tyrimų nomenklatūrą, todėl vadovaujantis LR SAM 2012 m. sausio 12 įsakymu Nr. V-17 „Dėl klinikinių laboratorinių tyrimų kokybės gerinimo programos patvirtinimo“, teisingesnis šio tyrimo pavadinimas būtų "Išmatų diagnostinis pasėlis". Standartiniu atveju užsakius išmatų diagnostinį pasėlį, grybų nustatymas nėra atliekamas. Tačiau jei pastaboje nurodoma, jog svarbus ir grybelio nustatymas, tuomet jį </w:t>
            </w:r>
            <w:r w:rsidRPr="00CD7257">
              <w:rPr>
                <w:iCs/>
                <w:sz w:val="24"/>
                <w:szCs w:val="24"/>
              </w:rPr>
              <w:lastRenderedPageBreak/>
              <w:t>atliekame papildomai, kartu su diagnostiniu pasėliu.</w:t>
            </w:r>
          </w:p>
        </w:tc>
        <w:tc>
          <w:tcPr>
            <w:tcW w:w="2856" w:type="dxa"/>
          </w:tcPr>
          <w:p w14:paraId="4F562EA8" w14:textId="77777777" w:rsidR="00D334FD" w:rsidRDefault="000B680A" w:rsidP="00182423">
            <w:pPr>
              <w:jc w:val="both"/>
              <w:rPr>
                <w:sz w:val="24"/>
                <w:szCs w:val="24"/>
              </w:rPr>
            </w:pPr>
            <w:r>
              <w:rPr>
                <w:sz w:val="24"/>
                <w:szCs w:val="24"/>
              </w:rPr>
              <w:lastRenderedPageBreak/>
              <w:t xml:space="preserve">Rengiant techninę specifikaciją vadovautasi </w:t>
            </w:r>
            <w:r w:rsidRPr="00882104">
              <w:rPr>
                <w:sz w:val="24"/>
                <w:szCs w:val="24"/>
              </w:rPr>
              <w:t>Medicinos nomenklatūrų ir klasifikatorių valdymo informacine sistema (MNKV IS)</w:t>
            </w:r>
            <w:r>
              <w:rPr>
                <w:sz w:val="24"/>
                <w:szCs w:val="24"/>
              </w:rPr>
              <w:t xml:space="preserve">. MNKV IS yra tyrimas pasėlis dėl grybų nedetalizuojant tiriamosios medžiagos. Tyrimo pavadinimas suformuotas atsižvelgiant į įstaigos gydytojų poreikius ir pasitaikančią tiriamąją medžiagą. </w:t>
            </w:r>
          </w:p>
          <w:p w14:paraId="57EB178E" w14:textId="1868B0FB" w:rsidR="000F537E" w:rsidRPr="009B4B37" w:rsidRDefault="000F537E" w:rsidP="00182423">
            <w:pPr>
              <w:jc w:val="both"/>
              <w:rPr>
                <w:sz w:val="24"/>
                <w:szCs w:val="24"/>
              </w:rPr>
            </w:pPr>
            <w:r>
              <w:rPr>
                <w:sz w:val="24"/>
                <w:szCs w:val="24"/>
              </w:rPr>
              <w:t>MNKV IS nėra atskiro pasėlių skirstymo į diagnostinius pasėlius, todėl “išmatų pasėlis grybams” nebus keičiamas į “išmatų diagnostinį pasėlį”.</w:t>
            </w:r>
          </w:p>
        </w:tc>
      </w:tr>
      <w:tr w:rsidR="00D334FD" w:rsidRPr="009B4B37" w14:paraId="3D9A86EF" w14:textId="77777777" w:rsidTr="00AB390B">
        <w:tc>
          <w:tcPr>
            <w:tcW w:w="2347" w:type="dxa"/>
            <w:vMerge/>
          </w:tcPr>
          <w:p w14:paraId="13600C12" w14:textId="77777777" w:rsidR="00D334FD" w:rsidRDefault="00D334FD" w:rsidP="00182423">
            <w:pPr>
              <w:jc w:val="both"/>
              <w:rPr>
                <w:b/>
                <w:color w:val="000000" w:themeColor="text1"/>
                <w:sz w:val="24"/>
                <w:szCs w:val="24"/>
              </w:rPr>
            </w:pPr>
          </w:p>
        </w:tc>
        <w:tc>
          <w:tcPr>
            <w:tcW w:w="2635" w:type="dxa"/>
            <w:vMerge/>
          </w:tcPr>
          <w:p w14:paraId="66BBCE4D" w14:textId="60347CFF" w:rsidR="00D334FD" w:rsidRDefault="00D334FD" w:rsidP="00182423">
            <w:pPr>
              <w:jc w:val="both"/>
              <w:rPr>
                <w:sz w:val="24"/>
                <w:szCs w:val="24"/>
              </w:rPr>
            </w:pPr>
          </w:p>
        </w:tc>
        <w:tc>
          <w:tcPr>
            <w:tcW w:w="2952" w:type="dxa"/>
          </w:tcPr>
          <w:p w14:paraId="4DE64FEA" w14:textId="3DABC08A" w:rsidR="00D334FD" w:rsidRPr="00DA0BC6" w:rsidRDefault="00D334FD" w:rsidP="00182423">
            <w:pPr>
              <w:jc w:val="both"/>
              <w:rPr>
                <w:iCs/>
                <w:sz w:val="24"/>
                <w:szCs w:val="24"/>
              </w:rPr>
            </w:pPr>
            <w:r w:rsidRPr="00CD7257">
              <w:rPr>
                <w:iCs/>
                <w:sz w:val="24"/>
                <w:szCs w:val="24"/>
              </w:rPr>
              <w:t>Nr. 9 „Skrandžio turinio pasėlis“ – ši tyrimo pozicija nėra įtraukta nei į Klinikinių laboratorinių tyrimų nomenklatūrą, nei į LR SAM 2012 m. sausio 12 įsakymą Nr. V-17 „Dėl klinikinių laboratorinių tyrimų kokybės gerinimo programos patvirtinimo“. Rekomenduojame pakoregoti šio tyrimo pavadinimą į "Skrandžio išplovų pasėlis".</w:t>
            </w:r>
          </w:p>
        </w:tc>
        <w:tc>
          <w:tcPr>
            <w:tcW w:w="2856" w:type="dxa"/>
          </w:tcPr>
          <w:p w14:paraId="1794AC16" w14:textId="08CE9682" w:rsidR="00D334FD" w:rsidRPr="009B4B37" w:rsidRDefault="000F537E" w:rsidP="00182423">
            <w:pPr>
              <w:jc w:val="both"/>
              <w:rPr>
                <w:sz w:val="24"/>
                <w:szCs w:val="24"/>
              </w:rPr>
            </w:pPr>
            <w:r>
              <w:rPr>
                <w:sz w:val="24"/>
                <w:szCs w:val="24"/>
              </w:rPr>
              <w:t xml:space="preserve">Rengiant techninę specifikaciją vadovautasi </w:t>
            </w:r>
            <w:r w:rsidRPr="00882104">
              <w:rPr>
                <w:sz w:val="24"/>
                <w:szCs w:val="24"/>
              </w:rPr>
              <w:t>Medicinos nomenklatūrų ir klasifikatorių valdymo informacine sistema (MNKV IS)</w:t>
            </w:r>
            <w:r>
              <w:rPr>
                <w:sz w:val="24"/>
                <w:szCs w:val="24"/>
              </w:rPr>
              <w:t>.</w:t>
            </w:r>
            <w:r w:rsidR="00F6646B">
              <w:rPr>
                <w:sz w:val="24"/>
                <w:szCs w:val="24"/>
              </w:rPr>
              <w:t xml:space="preserve"> “Skrandžio turinio pasėlis” ir “skrandžio išplovų pasėlis” vertinamas kaip lygiavertis tyrimas.</w:t>
            </w:r>
          </w:p>
        </w:tc>
      </w:tr>
      <w:tr w:rsidR="00D334FD" w:rsidRPr="009B4B37" w14:paraId="626BAF7A" w14:textId="77777777" w:rsidTr="00AB390B">
        <w:tc>
          <w:tcPr>
            <w:tcW w:w="2347" w:type="dxa"/>
            <w:vMerge/>
          </w:tcPr>
          <w:p w14:paraId="2F84ED01" w14:textId="77777777" w:rsidR="00D334FD" w:rsidRDefault="00D334FD" w:rsidP="00182423">
            <w:pPr>
              <w:jc w:val="both"/>
              <w:rPr>
                <w:b/>
                <w:color w:val="000000" w:themeColor="text1"/>
                <w:sz w:val="24"/>
                <w:szCs w:val="24"/>
              </w:rPr>
            </w:pPr>
          </w:p>
        </w:tc>
        <w:tc>
          <w:tcPr>
            <w:tcW w:w="2635" w:type="dxa"/>
            <w:vMerge/>
          </w:tcPr>
          <w:p w14:paraId="19851575" w14:textId="19172CAF" w:rsidR="00D334FD" w:rsidRDefault="00D334FD" w:rsidP="00182423">
            <w:pPr>
              <w:jc w:val="both"/>
              <w:rPr>
                <w:sz w:val="24"/>
                <w:szCs w:val="24"/>
              </w:rPr>
            </w:pPr>
          </w:p>
        </w:tc>
        <w:tc>
          <w:tcPr>
            <w:tcW w:w="2952" w:type="dxa"/>
          </w:tcPr>
          <w:p w14:paraId="2194F808" w14:textId="29CC98DE" w:rsidR="00D334FD" w:rsidRPr="00DA0BC6" w:rsidRDefault="00D334FD" w:rsidP="00182423">
            <w:pPr>
              <w:jc w:val="both"/>
              <w:rPr>
                <w:iCs/>
                <w:sz w:val="24"/>
                <w:szCs w:val="24"/>
              </w:rPr>
            </w:pPr>
            <w:r w:rsidRPr="00CD7257">
              <w:rPr>
                <w:iCs/>
                <w:sz w:val="24"/>
                <w:szCs w:val="24"/>
              </w:rPr>
              <w:t>Nr. 10 „Pasėlis iš išangės“ - ši tyrimo pozicija nėra įtraukta nei į Klinikinių laboratorinių tyrimų nomenklatūrą, nei į LR SAM 2012 m. sausio 12 įsakymą Nr. V-17 „Dėl klinikinių laboratorinių tyrimų kokybės gerinimo programos patvirtinimo“. Tokiu atveju, pasėliai iš išangės yra registruojami kaip odos pasėlis, pastaboje nurodant, jog tai yra išangės pasėlis.</w:t>
            </w:r>
          </w:p>
        </w:tc>
        <w:tc>
          <w:tcPr>
            <w:tcW w:w="2856" w:type="dxa"/>
          </w:tcPr>
          <w:p w14:paraId="6AFC0C2B" w14:textId="735E9B6D" w:rsidR="00D334FD" w:rsidRPr="006E0352" w:rsidRDefault="00F6646B" w:rsidP="00182423">
            <w:pPr>
              <w:jc w:val="both"/>
              <w:rPr>
                <w:sz w:val="24"/>
                <w:szCs w:val="24"/>
              </w:rPr>
            </w:pPr>
            <w:r>
              <w:rPr>
                <w:sz w:val="24"/>
                <w:szCs w:val="24"/>
              </w:rPr>
              <w:t xml:space="preserve">Rengiant techninę specifikaciją vadovautasi </w:t>
            </w:r>
            <w:r w:rsidRPr="00882104">
              <w:rPr>
                <w:sz w:val="24"/>
                <w:szCs w:val="24"/>
              </w:rPr>
              <w:t>Medicinos nomenklatūrų ir klasifikatorių valdymo informacine sistema (MNKV IS)</w:t>
            </w:r>
            <w:r>
              <w:rPr>
                <w:sz w:val="24"/>
                <w:szCs w:val="24"/>
              </w:rPr>
              <w:t>. MNKV IS yra nurodytas pasėlis iš išangės ėminio. Tyrimo pavadinimas suformuotas atsižvelgiant į įstaigos gydytojų poreikius ir pasitaikančią tiriamąją medžiagą.</w:t>
            </w:r>
          </w:p>
        </w:tc>
      </w:tr>
      <w:tr w:rsidR="00D334FD" w:rsidRPr="009B4B37" w14:paraId="5B43820A" w14:textId="77777777" w:rsidTr="00AB390B">
        <w:tc>
          <w:tcPr>
            <w:tcW w:w="2347" w:type="dxa"/>
            <w:vMerge/>
          </w:tcPr>
          <w:p w14:paraId="65D3E821" w14:textId="77777777" w:rsidR="00D334FD" w:rsidRDefault="00D334FD" w:rsidP="00182423">
            <w:pPr>
              <w:jc w:val="both"/>
              <w:rPr>
                <w:b/>
                <w:color w:val="000000" w:themeColor="text1"/>
                <w:sz w:val="24"/>
                <w:szCs w:val="24"/>
              </w:rPr>
            </w:pPr>
          </w:p>
        </w:tc>
        <w:tc>
          <w:tcPr>
            <w:tcW w:w="2635" w:type="dxa"/>
            <w:vMerge/>
          </w:tcPr>
          <w:p w14:paraId="0D7D26CA" w14:textId="77777777" w:rsidR="00D334FD" w:rsidRPr="00DA0BC6" w:rsidRDefault="00D334FD" w:rsidP="00182423">
            <w:pPr>
              <w:jc w:val="both"/>
              <w:rPr>
                <w:sz w:val="24"/>
                <w:szCs w:val="24"/>
              </w:rPr>
            </w:pPr>
          </w:p>
        </w:tc>
        <w:tc>
          <w:tcPr>
            <w:tcW w:w="2952" w:type="dxa"/>
          </w:tcPr>
          <w:p w14:paraId="1545BCF9" w14:textId="2536F6B5" w:rsidR="00D334FD" w:rsidRPr="00DA0BC6" w:rsidRDefault="00D334FD" w:rsidP="006E0352">
            <w:pPr>
              <w:jc w:val="both"/>
              <w:rPr>
                <w:iCs/>
                <w:sz w:val="24"/>
                <w:szCs w:val="24"/>
              </w:rPr>
            </w:pPr>
            <w:r w:rsidRPr="00CD7257">
              <w:rPr>
                <w:iCs/>
                <w:sz w:val="24"/>
                <w:szCs w:val="24"/>
              </w:rPr>
              <w:t>Pozicijos Nr. 31 „Odos pasėlis grybams nustatyti“, Nr. 32 „Nagų pasėlis grybams nustatyti“, Nr. 33 „Plaukų pasėlis grybams nustatyti“ – vadovaujantis LR SAM 2012 m. sausio 12 įsakymu Nr. V-17 „Dėl klinikinių laboratorinių tyrimų kokybės gerinimo programos patvirtinimo“, rekomenduojama šias tris pozicijas sujungti į vieną – „Odos, nagų ir plaukų pasėlis grybams nustatyti“.</w:t>
            </w:r>
          </w:p>
        </w:tc>
        <w:tc>
          <w:tcPr>
            <w:tcW w:w="2856" w:type="dxa"/>
          </w:tcPr>
          <w:p w14:paraId="2F6F48AB" w14:textId="28F9FD6B" w:rsidR="00D334FD" w:rsidRPr="009B4B37" w:rsidRDefault="00F6646B" w:rsidP="00182423">
            <w:pPr>
              <w:jc w:val="both"/>
              <w:rPr>
                <w:sz w:val="24"/>
                <w:szCs w:val="24"/>
              </w:rPr>
            </w:pPr>
            <w:r>
              <w:rPr>
                <w:sz w:val="24"/>
                <w:szCs w:val="24"/>
              </w:rPr>
              <w:t xml:space="preserve">Rengiant techninę specifikaciją vadovautasi </w:t>
            </w:r>
            <w:r w:rsidRPr="00882104">
              <w:rPr>
                <w:sz w:val="24"/>
                <w:szCs w:val="24"/>
              </w:rPr>
              <w:t>Medicinos nomenklatūrų ir klasifikatorių valdymo informacine sistema (MNKV IS)</w:t>
            </w:r>
            <w:r>
              <w:rPr>
                <w:sz w:val="24"/>
                <w:szCs w:val="24"/>
              </w:rPr>
              <w:t>. MNKV IS odos, nagų, plaukų išskiriami kiekvienas atskirai, todėl remiantis nomenklatūra tyrimai išskirti. Atskirai suformuoti tyrimų pavadinimai mažiau klaidins užsakovus.</w:t>
            </w:r>
          </w:p>
        </w:tc>
      </w:tr>
      <w:tr w:rsidR="00D334FD" w:rsidRPr="009B4B37" w14:paraId="41E6A841" w14:textId="77777777" w:rsidTr="00AB390B">
        <w:tc>
          <w:tcPr>
            <w:tcW w:w="2347" w:type="dxa"/>
            <w:vMerge/>
          </w:tcPr>
          <w:p w14:paraId="357B9CEC" w14:textId="77777777" w:rsidR="00D334FD" w:rsidRPr="009B4B37" w:rsidRDefault="00D334FD" w:rsidP="00182423">
            <w:pPr>
              <w:jc w:val="both"/>
              <w:rPr>
                <w:b/>
                <w:color w:val="000000" w:themeColor="text1"/>
                <w:sz w:val="24"/>
                <w:szCs w:val="24"/>
              </w:rPr>
            </w:pPr>
          </w:p>
        </w:tc>
        <w:tc>
          <w:tcPr>
            <w:tcW w:w="2635" w:type="dxa"/>
            <w:vMerge/>
          </w:tcPr>
          <w:p w14:paraId="623FD2DD" w14:textId="6B5078CC" w:rsidR="00D334FD" w:rsidRPr="009B4B37" w:rsidRDefault="00D334FD" w:rsidP="00182423">
            <w:pPr>
              <w:jc w:val="both"/>
              <w:rPr>
                <w:sz w:val="24"/>
                <w:szCs w:val="24"/>
              </w:rPr>
            </w:pPr>
          </w:p>
        </w:tc>
        <w:tc>
          <w:tcPr>
            <w:tcW w:w="2952" w:type="dxa"/>
          </w:tcPr>
          <w:p w14:paraId="45894CEA" w14:textId="5041EDFA" w:rsidR="00D334FD" w:rsidRPr="00DA0BC6" w:rsidRDefault="00D334FD" w:rsidP="00182423">
            <w:pPr>
              <w:jc w:val="both"/>
              <w:rPr>
                <w:iCs/>
                <w:sz w:val="24"/>
                <w:szCs w:val="24"/>
              </w:rPr>
            </w:pPr>
            <w:r w:rsidRPr="00CD7257">
              <w:rPr>
                <w:iCs/>
                <w:sz w:val="24"/>
                <w:szCs w:val="24"/>
              </w:rPr>
              <w:t xml:space="preserve">Nr. 37 „Pasėlis dėl Neisseria gonorrhoeae“ - pasėlis </w:t>
            </w:r>
            <w:r w:rsidRPr="00CD7257">
              <w:rPr>
                <w:iCs/>
                <w:sz w:val="24"/>
                <w:szCs w:val="24"/>
              </w:rPr>
              <w:lastRenderedPageBreak/>
              <w:t>visuomet užsakomas pagal tiriamąją medžiagą, pastaboje nurodant apie ieškomą konkretų patogeną. Siūlome į pirkimą šios pozicijos neįtraukti.</w:t>
            </w:r>
          </w:p>
        </w:tc>
        <w:tc>
          <w:tcPr>
            <w:tcW w:w="2856" w:type="dxa"/>
          </w:tcPr>
          <w:p w14:paraId="3F5884AD" w14:textId="0A060CF8" w:rsidR="00D334FD" w:rsidRPr="009B4B37" w:rsidRDefault="005A769B" w:rsidP="00182423">
            <w:pPr>
              <w:jc w:val="both"/>
              <w:rPr>
                <w:sz w:val="24"/>
                <w:szCs w:val="24"/>
              </w:rPr>
            </w:pPr>
            <w:r>
              <w:rPr>
                <w:sz w:val="24"/>
                <w:szCs w:val="24"/>
              </w:rPr>
              <w:lastRenderedPageBreak/>
              <w:t xml:space="preserve">Rengiant techninę specifikaciją vadovautasi </w:t>
            </w:r>
            <w:r w:rsidRPr="00882104">
              <w:rPr>
                <w:sz w:val="24"/>
                <w:szCs w:val="24"/>
              </w:rPr>
              <w:lastRenderedPageBreak/>
              <w:t>Medicinos nomenklatūrų ir klasifikatorių valdymo informacine sistema (MNKV IS)</w:t>
            </w:r>
            <w:r>
              <w:rPr>
                <w:sz w:val="24"/>
                <w:szCs w:val="24"/>
              </w:rPr>
              <w:t xml:space="preserve">. MNKV IS yra pateikiamas mikroorganizmams specifinių pasėlių sąrašas, vienas iš jų </w:t>
            </w:r>
            <w:r w:rsidRPr="005A769B">
              <w:rPr>
                <w:i/>
                <w:iCs/>
                <w:sz w:val="24"/>
                <w:szCs w:val="24"/>
              </w:rPr>
              <w:t>N. gonorrhoeae</w:t>
            </w:r>
            <w:r w:rsidRPr="005A769B">
              <w:rPr>
                <w:sz w:val="24"/>
                <w:szCs w:val="24"/>
              </w:rPr>
              <w:t xml:space="preserve"> pasėlis</w:t>
            </w:r>
            <w:r>
              <w:rPr>
                <w:sz w:val="24"/>
                <w:szCs w:val="24"/>
              </w:rPr>
              <w:t>. Tyrimo pavadinimas suformuotas atsižvelgiant į įstaigos gydytojų poreikius ir pasitaikančią tiriamąją medžiagą.</w:t>
            </w:r>
          </w:p>
        </w:tc>
      </w:tr>
      <w:tr w:rsidR="00D334FD" w:rsidRPr="009B4B37" w14:paraId="515F83EE" w14:textId="77777777" w:rsidTr="00AB390B">
        <w:tc>
          <w:tcPr>
            <w:tcW w:w="2347" w:type="dxa"/>
            <w:vMerge/>
          </w:tcPr>
          <w:p w14:paraId="73C24C05" w14:textId="77777777" w:rsidR="00D334FD" w:rsidRPr="009B4B37" w:rsidRDefault="00D334FD" w:rsidP="00182423">
            <w:pPr>
              <w:jc w:val="both"/>
              <w:rPr>
                <w:b/>
                <w:color w:val="000000" w:themeColor="text1"/>
                <w:sz w:val="24"/>
                <w:szCs w:val="24"/>
              </w:rPr>
            </w:pPr>
          </w:p>
        </w:tc>
        <w:tc>
          <w:tcPr>
            <w:tcW w:w="2635" w:type="dxa"/>
            <w:vMerge/>
          </w:tcPr>
          <w:p w14:paraId="7FEB483C" w14:textId="77777777" w:rsidR="00D334FD" w:rsidRPr="009B4B37" w:rsidRDefault="00D334FD" w:rsidP="00182423">
            <w:pPr>
              <w:jc w:val="both"/>
              <w:rPr>
                <w:sz w:val="24"/>
                <w:szCs w:val="24"/>
              </w:rPr>
            </w:pPr>
          </w:p>
        </w:tc>
        <w:tc>
          <w:tcPr>
            <w:tcW w:w="2952" w:type="dxa"/>
          </w:tcPr>
          <w:p w14:paraId="003F1FB6" w14:textId="49A633D0" w:rsidR="00D334FD" w:rsidRPr="00DA0BC6" w:rsidRDefault="00D334FD" w:rsidP="00182423">
            <w:pPr>
              <w:jc w:val="both"/>
              <w:rPr>
                <w:iCs/>
                <w:sz w:val="24"/>
                <w:szCs w:val="24"/>
              </w:rPr>
            </w:pPr>
            <w:r w:rsidRPr="00CD7257">
              <w:rPr>
                <w:iCs/>
                <w:sz w:val="24"/>
                <w:szCs w:val="24"/>
              </w:rPr>
              <w:t>Nr. 41 „Pasėlis dėl Bordetella pertussis“ – įprastomis sąlygomis ši bakterija dažniausiai neauga ir šio pasėlio atlikimas metodiškai labai sudėtingas, o atlikimo terminas ilgesnis. Vietoje pasėlio rekomenduojame į pirkimą įtraukti „Bordetella pertussis (PGR metodu)“.</w:t>
            </w:r>
          </w:p>
        </w:tc>
        <w:tc>
          <w:tcPr>
            <w:tcW w:w="2856" w:type="dxa"/>
          </w:tcPr>
          <w:p w14:paraId="10B02A9D" w14:textId="24A2F17E" w:rsidR="00D334FD" w:rsidRPr="009B4B37" w:rsidRDefault="005A769B" w:rsidP="00182423">
            <w:pPr>
              <w:jc w:val="both"/>
              <w:rPr>
                <w:sz w:val="24"/>
                <w:szCs w:val="24"/>
              </w:rPr>
            </w:pPr>
            <w:r>
              <w:rPr>
                <w:sz w:val="24"/>
                <w:szCs w:val="24"/>
              </w:rPr>
              <w:t xml:space="preserve">Rengiant techninę specifikaciją vadovautasi </w:t>
            </w:r>
            <w:r w:rsidRPr="00882104">
              <w:rPr>
                <w:sz w:val="24"/>
                <w:szCs w:val="24"/>
              </w:rPr>
              <w:t>Medicinos nomenklatūrų ir klasifikatorių valdymo informacine sistema (MNKV IS)</w:t>
            </w:r>
            <w:r>
              <w:rPr>
                <w:sz w:val="24"/>
                <w:szCs w:val="24"/>
              </w:rPr>
              <w:t xml:space="preserve">. MNKV IS yra pateikiamas mikroorganizmams specifinių pasėlių sąrašas, vienas iš jų </w:t>
            </w:r>
            <w:r w:rsidRPr="005A769B">
              <w:rPr>
                <w:i/>
                <w:sz w:val="24"/>
                <w:szCs w:val="24"/>
              </w:rPr>
              <w:t>Bordetella pertussis</w:t>
            </w:r>
            <w:r w:rsidRPr="005A769B">
              <w:rPr>
                <w:sz w:val="24"/>
                <w:szCs w:val="24"/>
              </w:rPr>
              <w:t xml:space="preserve"> pasėlis</w:t>
            </w:r>
            <w:r>
              <w:rPr>
                <w:sz w:val="24"/>
                <w:szCs w:val="24"/>
              </w:rPr>
              <w:t>. Tyrimo pavadinimas suformuotas atsižvelgiant į įstaigos gydytojų poreikius ir pasitaikančią tiriamąją medžiagą.</w:t>
            </w:r>
          </w:p>
        </w:tc>
      </w:tr>
      <w:tr w:rsidR="00D334FD" w:rsidRPr="009B4B37" w14:paraId="0D94B314" w14:textId="77777777" w:rsidTr="00AB390B">
        <w:tc>
          <w:tcPr>
            <w:tcW w:w="2347" w:type="dxa"/>
            <w:vMerge/>
          </w:tcPr>
          <w:p w14:paraId="585520D3" w14:textId="77777777" w:rsidR="00D334FD" w:rsidRPr="009B4B37" w:rsidRDefault="00D334FD" w:rsidP="00182423">
            <w:pPr>
              <w:jc w:val="both"/>
              <w:rPr>
                <w:b/>
                <w:color w:val="000000" w:themeColor="text1"/>
                <w:sz w:val="24"/>
                <w:szCs w:val="24"/>
              </w:rPr>
            </w:pPr>
          </w:p>
        </w:tc>
        <w:tc>
          <w:tcPr>
            <w:tcW w:w="2635" w:type="dxa"/>
            <w:vMerge/>
          </w:tcPr>
          <w:p w14:paraId="54D92920" w14:textId="77777777" w:rsidR="00D334FD" w:rsidRPr="009B4B37" w:rsidRDefault="00D334FD" w:rsidP="00182423">
            <w:pPr>
              <w:jc w:val="both"/>
              <w:rPr>
                <w:sz w:val="24"/>
                <w:szCs w:val="24"/>
              </w:rPr>
            </w:pPr>
          </w:p>
        </w:tc>
        <w:tc>
          <w:tcPr>
            <w:tcW w:w="2952" w:type="dxa"/>
          </w:tcPr>
          <w:p w14:paraId="2A0B8EBD" w14:textId="188035E7" w:rsidR="00D334FD" w:rsidRPr="0028089E" w:rsidRDefault="00D334FD" w:rsidP="00CD7257">
            <w:pPr>
              <w:jc w:val="both"/>
              <w:rPr>
                <w:iCs/>
                <w:sz w:val="24"/>
                <w:szCs w:val="24"/>
                <w:lang w:val="lt-LT"/>
              </w:rPr>
            </w:pPr>
            <w:r w:rsidRPr="00CD7257">
              <w:rPr>
                <w:iCs/>
                <w:sz w:val="24"/>
                <w:szCs w:val="24"/>
                <w:lang w:val="lt-LT"/>
              </w:rPr>
              <w:t xml:space="preserve"> Nr. 75 „Bordetella spp. (iki rūšies)“ – rekomenduojama iš pirkimo išbraukti šią poziciją, įprastomis sąlygomis ši bakterija dažniausiai neauga ir šio pasėlio atlikimas metodiškai labai sudėtingas, o atlikimo terminas ilgesnis.</w:t>
            </w:r>
          </w:p>
        </w:tc>
        <w:tc>
          <w:tcPr>
            <w:tcW w:w="2856" w:type="dxa"/>
          </w:tcPr>
          <w:p w14:paraId="186FA189" w14:textId="30F7CB33" w:rsidR="00D334FD" w:rsidRPr="0028089E" w:rsidRDefault="005A769B" w:rsidP="00182423">
            <w:pPr>
              <w:jc w:val="both"/>
              <w:rPr>
                <w:sz w:val="24"/>
                <w:szCs w:val="24"/>
                <w:lang w:val="lt-LT"/>
              </w:rPr>
            </w:pPr>
            <w:r w:rsidRPr="0028089E">
              <w:rPr>
                <w:sz w:val="24"/>
                <w:szCs w:val="24"/>
                <w:lang w:val="lt-LT"/>
              </w:rPr>
              <w:t xml:space="preserve">Rengiant techninę specifikaciją vadovautasi Medicinos nomenklatūrų ir klasifikatorių valdymo informacine sistema (MNKV IS). MNKV IS yra pateikiamas mikroorganizmams specifinių pasėlių sąrašas, vienas iš jų </w:t>
            </w:r>
            <w:r w:rsidRPr="0028089E">
              <w:rPr>
                <w:i/>
                <w:sz w:val="24"/>
                <w:szCs w:val="24"/>
                <w:lang w:val="lt-LT"/>
              </w:rPr>
              <w:t>Bordetella sp.</w:t>
            </w:r>
            <w:r w:rsidRPr="0028089E">
              <w:rPr>
                <w:sz w:val="24"/>
                <w:szCs w:val="24"/>
                <w:lang w:val="lt-LT"/>
              </w:rPr>
              <w:t xml:space="preserve"> pasėlis. Tyrimo pavadinimas suformuotas atsižvelgiant į įstaigos gydytojų poreikius ir pasitaikančią tiriamąją medžiagą.</w:t>
            </w:r>
          </w:p>
        </w:tc>
      </w:tr>
      <w:tr w:rsidR="00D334FD" w:rsidRPr="009B4B37" w14:paraId="5D9AC2C8" w14:textId="77777777" w:rsidTr="00AB390B">
        <w:tc>
          <w:tcPr>
            <w:tcW w:w="2347" w:type="dxa"/>
            <w:vMerge/>
          </w:tcPr>
          <w:p w14:paraId="1CA6C37C" w14:textId="77777777" w:rsidR="00D334FD" w:rsidRPr="0028089E" w:rsidRDefault="00D334FD" w:rsidP="00182423">
            <w:pPr>
              <w:jc w:val="both"/>
              <w:rPr>
                <w:b/>
                <w:color w:val="000000" w:themeColor="text1"/>
                <w:sz w:val="24"/>
                <w:szCs w:val="24"/>
                <w:lang w:val="lt-LT"/>
              </w:rPr>
            </w:pPr>
          </w:p>
        </w:tc>
        <w:tc>
          <w:tcPr>
            <w:tcW w:w="2635" w:type="dxa"/>
            <w:vMerge/>
          </w:tcPr>
          <w:p w14:paraId="44A62EE2" w14:textId="77777777" w:rsidR="00D334FD" w:rsidRPr="0028089E" w:rsidRDefault="00D334FD" w:rsidP="00182423">
            <w:pPr>
              <w:jc w:val="both"/>
              <w:rPr>
                <w:sz w:val="24"/>
                <w:szCs w:val="24"/>
                <w:lang w:val="lt-LT"/>
              </w:rPr>
            </w:pPr>
          </w:p>
        </w:tc>
        <w:tc>
          <w:tcPr>
            <w:tcW w:w="2952" w:type="dxa"/>
          </w:tcPr>
          <w:p w14:paraId="36616ED7" w14:textId="60B9BEBF" w:rsidR="00D334FD" w:rsidRPr="0028089E" w:rsidRDefault="00D334FD" w:rsidP="00CD7257">
            <w:pPr>
              <w:jc w:val="both"/>
              <w:rPr>
                <w:iCs/>
                <w:sz w:val="24"/>
                <w:szCs w:val="24"/>
                <w:lang w:val="lt-LT"/>
              </w:rPr>
            </w:pPr>
            <w:r w:rsidRPr="00CD7257">
              <w:rPr>
                <w:iCs/>
                <w:sz w:val="24"/>
                <w:szCs w:val="24"/>
                <w:lang w:val="lt-LT"/>
              </w:rPr>
              <w:t xml:space="preserve">Rekomenduojama į pirkimą prie VI dalies „Pasėliai iš </w:t>
            </w:r>
            <w:r w:rsidRPr="00CD7257">
              <w:rPr>
                <w:iCs/>
                <w:sz w:val="24"/>
                <w:szCs w:val="24"/>
                <w:lang w:val="lt-LT"/>
              </w:rPr>
              <w:lastRenderedPageBreak/>
              <w:t>viršutinių kvėpavimo takų“ įtraukti tyrimą „Pasėlis iš ryklės“, taip užtikrinant visų viršutinių kvėpavimo takų lokalizacijų ištyrimą bei atitikimą visiems klinicistų poreikiams.</w:t>
            </w:r>
          </w:p>
        </w:tc>
        <w:tc>
          <w:tcPr>
            <w:tcW w:w="2856" w:type="dxa"/>
          </w:tcPr>
          <w:p w14:paraId="52E606AB" w14:textId="1D79972E" w:rsidR="00D334FD" w:rsidRPr="0028089E" w:rsidRDefault="004C5406" w:rsidP="00182423">
            <w:pPr>
              <w:jc w:val="both"/>
              <w:rPr>
                <w:sz w:val="24"/>
                <w:szCs w:val="24"/>
                <w:lang w:val="lt-LT"/>
              </w:rPr>
            </w:pPr>
            <w:r w:rsidRPr="0028089E">
              <w:rPr>
                <w:sz w:val="24"/>
                <w:szCs w:val="24"/>
                <w:lang w:val="lt-LT"/>
              </w:rPr>
              <w:lastRenderedPageBreak/>
              <w:t xml:space="preserve">Tyrimų sąrašas parengtas po konsultacijų su įstaigos </w:t>
            </w:r>
            <w:r w:rsidRPr="0028089E">
              <w:rPr>
                <w:sz w:val="24"/>
                <w:szCs w:val="24"/>
                <w:lang w:val="lt-LT"/>
              </w:rPr>
              <w:lastRenderedPageBreak/>
              <w:t>gydytojais, tyrimų sąrašo papildomai neplanuojama plėsti.</w:t>
            </w:r>
          </w:p>
        </w:tc>
      </w:tr>
      <w:tr w:rsidR="00D334FD" w:rsidRPr="009B4B37" w14:paraId="571CF30F" w14:textId="77777777" w:rsidTr="00AB390B">
        <w:tc>
          <w:tcPr>
            <w:tcW w:w="2347" w:type="dxa"/>
            <w:vMerge/>
          </w:tcPr>
          <w:p w14:paraId="439C1C0F" w14:textId="77777777" w:rsidR="00D334FD" w:rsidRPr="0028089E" w:rsidRDefault="00D334FD" w:rsidP="00182423">
            <w:pPr>
              <w:jc w:val="both"/>
              <w:rPr>
                <w:b/>
                <w:color w:val="000000" w:themeColor="text1"/>
                <w:sz w:val="24"/>
                <w:szCs w:val="24"/>
                <w:lang w:val="lt-LT"/>
              </w:rPr>
            </w:pPr>
          </w:p>
        </w:tc>
        <w:tc>
          <w:tcPr>
            <w:tcW w:w="2635" w:type="dxa"/>
            <w:vMerge w:val="restart"/>
          </w:tcPr>
          <w:p w14:paraId="56ED55EC" w14:textId="5A84A6CF" w:rsidR="00D334FD" w:rsidRPr="00D334FD" w:rsidRDefault="00D334FD" w:rsidP="00D334FD">
            <w:pPr>
              <w:rPr>
                <w:sz w:val="24"/>
                <w:szCs w:val="24"/>
                <w:lang w:val="lt-LT"/>
              </w:rPr>
            </w:pPr>
            <w:r w:rsidRPr="00D334FD">
              <w:rPr>
                <w:sz w:val="24"/>
                <w:szCs w:val="24"/>
                <w:lang w:val="lt-LT"/>
              </w:rPr>
              <w:t xml:space="preserve">Rekomendacijos 4 pirkimo daliai - Kraujo ir kiti tyrimai </w:t>
            </w:r>
          </w:p>
        </w:tc>
        <w:tc>
          <w:tcPr>
            <w:tcW w:w="2952" w:type="dxa"/>
          </w:tcPr>
          <w:p w14:paraId="6A061CD8" w14:textId="64CC02B1" w:rsidR="00D334FD" w:rsidRPr="0028089E" w:rsidRDefault="00D334FD" w:rsidP="00182423">
            <w:pPr>
              <w:jc w:val="both"/>
              <w:rPr>
                <w:iCs/>
                <w:sz w:val="24"/>
                <w:szCs w:val="24"/>
                <w:lang w:val="lt-LT"/>
              </w:rPr>
            </w:pPr>
            <w:r w:rsidRPr="0028089E">
              <w:rPr>
                <w:iCs/>
                <w:sz w:val="24"/>
                <w:szCs w:val="24"/>
                <w:lang w:val="lt-LT"/>
              </w:rPr>
              <w:t>Nr. 21 „Baltymų elektroforezė serume, kai beta globulinų frakcija skirstoma į beta 1 ir beta 2“ vadovaujantis LR SAM 2012 m. sausio 12 įsakymu Nr. V-17 „Dėl klinikinių laboratorinių tyrimų kokybės gerinimo programos patvirtinimo“, rekomenduojama pakoreguoti tyrimo pavadinimą „Baltymų frakcijų nustatymas elektroforezės būdu“.</w:t>
            </w:r>
          </w:p>
        </w:tc>
        <w:tc>
          <w:tcPr>
            <w:tcW w:w="2856" w:type="dxa"/>
          </w:tcPr>
          <w:p w14:paraId="6AAB2697" w14:textId="77777777" w:rsidR="00D334FD" w:rsidRPr="0028089E" w:rsidRDefault="004C5406" w:rsidP="00182423">
            <w:pPr>
              <w:jc w:val="both"/>
              <w:rPr>
                <w:sz w:val="24"/>
                <w:szCs w:val="24"/>
                <w:lang w:val="lt-LT"/>
              </w:rPr>
            </w:pPr>
            <w:r w:rsidRPr="0028089E">
              <w:rPr>
                <w:sz w:val="24"/>
                <w:szCs w:val="24"/>
                <w:lang w:val="lt-LT"/>
              </w:rPr>
              <w:t>Rengiant techninę specifikaciją vadovautasi Medicinos nomenklatūrų ir klasifikatorių valdymo informacine sistema (MNKV IS).</w:t>
            </w:r>
          </w:p>
          <w:p w14:paraId="078D69B5" w14:textId="5E777CD9" w:rsidR="004C5406" w:rsidRPr="0028089E" w:rsidRDefault="004C5406" w:rsidP="00182423">
            <w:pPr>
              <w:jc w:val="both"/>
              <w:rPr>
                <w:sz w:val="24"/>
                <w:szCs w:val="24"/>
                <w:lang w:val="lt-LT"/>
              </w:rPr>
            </w:pPr>
            <w:r w:rsidRPr="0028089E">
              <w:rPr>
                <w:iCs/>
                <w:sz w:val="24"/>
                <w:szCs w:val="24"/>
                <w:lang w:val="lt-LT"/>
              </w:rPr>
              <w:t>MNKV IS tyrimo pavadinimu „Baltymų frakcijų nustatymas elektroforezės būdu“ nėra, todėl pasirinktas „Baltymų elektroforezė serume, kai beta globulinų frakcija skirstoma į beta 1 ir beta 2“.</w:t>
            </w:r>
          </w:p>
        </w:tc>
      </w:tr>
      <w:tr w:rsidR="00D334FD" w:rsidRPr="009B4B37" w14:paraId="79030F14" w14:textId="77777777" w:rsidTr="00AB390B">
        <w:tc>
          <w:tcPr>
            <w:tcW w:w="2347" w:type="dxa"/>
            <w:vMerge/>
          </w:tcPr>
          <w:p w14:paraId="0CA56A08" w14:textId="77777777" w:rsidR="00D334FD" w:rsidRPr="0028089E" w:rsidRDefault="00D334FD" w:rsidP="00182423">
            <w:pPr>
              <w:jc w:val="both"/>
              <w:rPr>
                <w:b/>
                <w:color w:val="000000" w:themeColor="text1"/>
                <w:sz w:val="24"/>
                <w:szCs w:val="24"/>
                <w:lang w:val="lt-LT"/>
              </w:rPr>
            </w:pPr>
          </w:p>
        </w:tc>
        <w:tc>
          <w:tcPr>
            <w:tcW w:w="2635" w:type="dxa"/>
            <w:vMerge/>
          </w:tcPr>
          <w:p w14:paraId="40E177BE" w14:textId="77777777" w:rsidR="00D334FD" w:rsidRPr="0028089E" w:rsidRDefault="00D334FD" w:rsidP="00182423">
            <w:pPr>
              <w:jc w:val="both"/>
              <w:rPr>
                <w:sz w:val="24"/>
                <w:szCs w:val="24"/>
                <w:lang w:val="lt-LT"/>
              </w:rPr>
            </w:pPr>
          </w:p>
        </w:tc>
        <w:tc>
          <w:tcPr>
            <w:tcW w:w="2952" w:type="dxa"/>
          </w:tcPr>
          <w:p w14:paraId="24BB8EC3" w14:textId="2DCD7960" w:rsidR="00D334FD" w:rsidRPr="0028089E" w:rsidRDefault="00D334FD" w:rsidP="00182423">
            <w:pPr>
              <w:jc w:val="both"/>
              <w:rPr>
                <w:iCs/>
                <w:sz w:val="24"/>
                <w:szCs w:val="24"/>
                <w:lang w:val="lt-LT"/>
              </w:rPr>
            </w:pPr>
            <w:r w:rsidRPr="00D334FD">
              <w:rPr>
                <w:iCs/>
                <w:sz w:val="24"/>
                <w:szCs w:val="24"/>
                <w:lang w:val="lt-LT"/>
              </w:rPr>
              <w:t>Pozicijos Nr. 40 „Laisvasis metanefrinas“ ir Nr. 41 „Laisvasis normetanefrinas“ rekomenduojama sujungti į vieną tyrimą „Nefrinai (laisvas metanefrinas ir laisvas normetanefrinas)“ – šie tyrimai, atliekami kartu, didina diagnostinį tikslumą bei suteikia klinicistui daugiau informacijos apie paciento būklę.</w:t>
            </w:r>
          </w:p>
        </w:tc>
        <w:tc>
          <w:tcPr>
            <w:tcW w:w="2856" w:type="dxa"/>
          </w:tcPr>
          <w:p w14:paraId="18CF087C" w14:textId="77777777" w:rsidR="004C5406" w:rsidRPr="0028089E" w:rsidRDefault="004C5406" w:rsidP="004C5406">
            <w:pPr>
              <w:jc w:val="both"/>
              <w:rPr>
                <w:sz w:val="24"/>
                <w:szCs w:val="24"/>
                <w:lang w:val="lt-LT"/>
              </w:rPr>
            </w:pPr>
            <w:r w:rsidRPr="0028089E">
              <w:rPr>
                <w:sz w:val="24"/>
                <w:szCs w:val="24"/>
                <w:lang w:val="lt-LT"/>
              </w:rPr>
              <w:t>Rengiant techninę specifikaciją vadovautasi Medicinos nomenklatūrų ir klasifikatorių valdymo informacine sistema (MNKV IS).</w:t>
            </w:r>
          </w:p>
          <w:p w14:paraId="4A60A768" w14:textId="0B5EA315" w:rsidR="00D334FD" w:rsidRPr="0028089E" w:rsidRDefault="004C5406" w:rsidP="004C5406">
            <w:pPr>
              <w:jc w:val="both"/>
              <w:rPr>
                <w:sz w:val="24"/>
                <w:szCs w:val="24"/>
                <w:lang w:val="pt-BR"/>
              </w:rPr>
            </w:pPr>
            <w:r w:rsidRPr="0028089E">
              <w:rPr>
                <w:iCs/>
                <w:sz w:val="24"/>
                <w:szCs w:val="24"/>
                <w:lang w:val="pt-BR"/>
              </w:rPr>
              <w:t xml:space="preserve">MNKV IS tyrimo pavadinimu </w:t>
            </w:r>
            <w:r w:rsidRPr="00D334FD">
              <w:rPr>
                <w:iCs/>
                <w:sz w:val="24"/>
                <w:szCs w:val="24"/>
                <w:lang w:val="lt-LT"/>
              </w:rPr>
              <w:t>„Nefrinai (laisvas metanefrinas ir laisvas normetanefrinas)“</w:t>
            </w:r>
            <w:r>
              <w:rPr>
                <w:iCs/>
                <w:sz w:val="24"/>
                <w:szCs w:val="24"/>
                <w:lang w:val="lt-LT"/>
              </w:rPr>
              <w:t xml:space="preserve"> nėra, todėl tyrimai išskirti į du atskirus. </w:t>
            </w:r>
          </w:p>
        </w:tc>
      </w:tr>
      <w:tr w:rsidR="00D334FD" w:rsidRPr="009B4B37" w14:paraId="16561E9D" w14:textId="77777777" w:rsidTr="00AB390B">
        <w:tc>
          <w:tcPr>
            <w:tcW w:w="2347" w:type="dxa"/>
            <w:vMerge/>
          </w:tcPr>
          <w:p w14:paraId="05666B5B" w14:textId="77777777" w:rsidR="00D334FD" w:rsidRPr="0028089E" w:rsidRDefault="00D334FD" w:rsidP="00182423">
            <w:pPr>
              <w:jc w:val="both"/>
              <w:rPr>
                <w:b/>
                <w:color w:val="000000" w:themeColor="text1"/>
                <w:sz w:val="24"/>
                <w:szCs w:val="24"/>
                <w:lang w:val="pt-BR"/>
              </w:rPr>
            </w:pPr>
          </w:p>
        </w:tc>
        <w:tc>
          <w:tcPr>
            <w:tcW w:w="2635" w:type="dxa"/>
            <w:vMerge/>
          </w:tcPr>
          <w:p w14:paraId="4531238D" w14:textId="77777777" w:rsidR="00D334FD" w:rsidRPr="0028089E" w:rsidRDefault="00D334FD" w:rsidP="00182423">
            <w:pPr>
              <w:jc w:val="both"/>
              <w:rPr>
                <w:sz w:val="24"/>
                <w:szCs w:val="24"/>
                <w:lang w:val="pt-BR"/>
              </w:rPr>
            </w:pPr>
          </w:p>
        </w:tc>
        <w:tc>
          <w:tcPr>
            <w:tcW w:w="2952" w:type="dxa"/>
          </w:tcPr>
          <w:p w14:paraId="092DB97C" w14:textId="37AE716B" w:rsidR="00D334FD" w:rsidRPr="0028089E" w:rsidRDefault="00D334FD" w:rsidP="00182423">
            <w:pPr>
              <w:jc w:val="both"/>
              <w:rPr>
                <w:iCs/>
                <w:sz w:val="24"/>
                <w:szCs w:val="24"/>
                <w:lang w:val="pt-BR"/>
              </w:rPr>
            </w:pPr>
            <w:r w:rsidRPr="0028089E">
              <w:rPr>
                <w:iCs/>
                <w:sz w:val="24"/>
                <w:szCs w:val="24"/>
                <w:lang w:val="pt-BR"/>
              </w:rPr>
              <w:t xml:space="preserve">Pozicijos Nr. 63 „Kiaušidžių vėžio rizikos indeksas (ROMA), iki menopauzės (kaina su HE4, Ca125 tyrimų atlikimu)“ ir Nr. 64 „Kiaušidžių vėžio rizikos indeksas (ROMA), menopauzėje (kaina su HE4, Ca125 tyrimų atlikimu)“ – tyrimai dubliuojasi. Rekomenduojama palikti tik vieną iš šių perkamų tyrimų, nes metodiškai ROMA indekso nustatymas </w:t>
            </w:r>
            <w:r w:rsidRPr="0028089E">
              <w:rPr>
                <w:iCs/>
                <w:sz w:val="24"/>
                <w:szCs w:val="24"/>
                <w:lang w:val="pt-BR"/>
              </w:rPr>
              <w:lastRenderedPageBreak/>
              <w:t>nesiskiria, nepriklausomai nuo to, ar tyrimas atliekamas iki menopauzės, ar menopauzėje.</w:t>
            </w:r>
          </w:p>
        </w:tc>
        <w:tc>
          <w:tcPr>
            <w:tcW w:w="2856" w:type="dxa"/>
          </w:tcPr>
          <w:p w14:paraId="432E321A" w14:textId="77777777" w:rsidR="004C5406" w:rsidRPr="0028089E" w:rsidRDefault="004C5406" w:rsidP="004C5406">
            <w:pPr>
              <w:jc w:val="both"/>
              <w:rPr>
                <w:sz w:val="24"/>
                <w:szCs w:val="24"/>
                <w:lang w:val="pt-BR"/>
              </w:rPr>
            </w:pPr>
            <w:r w:rsidRPr="0028089E">
              <w:rPr>
                <w:sz w:val="24"/>
                <w:szCs w:val="24"/>
                <w:lang w:val="pt-BR"/>
              </w:rPr>
              <w:lastRenderedPageBreak/>
              <w:t>Rengiant techninę specifikaciją vadovautasi Medicinos nomenklatūrų ir klasifikatorių valdymo informacine sistema (MNKV IS).</w:t>
            </w:r>
          </w:p>
          <w:p w14:paraId="3A3174AF" w14:textId="2574EE13" w:rsidR="00D334FD" w:rsidRPr="0028089E" w:rsidRDefault="004C5406" w:rsidP="004C5406">
            <w:pPr>
              <w:jc w:val="both"/>
              <w:rPr>
                <w:sz w:val="24"/>
                <w:szCs w:val="24"/>
                <w:lang w:val="pt-BR"/>
              </w:rPr>
            </w:pPr>
            <w:r w:rsidRPr="0028089E">
              <w:rPr>
                <w:iCs/>
                <w:sz w:val="24"/>
                <w:szCs w:val="24"/>
                <w:lang w:val="pt-BR"/>
              </w:rPr>
              <w:t xml:space="preserve">MNKV IS ROMA indeksas skirstomas į du atskirus tyrimus: “Kiaušidžių vėžio rizikos indeksas (ROMA), iki menopauzės” ir   “Kiaušidžių vėžio rizikos indeksas (ROMA), menopauzėje”, todėl ir </w:t>
            </w:r>
            <w:r w:rsidRPr="0028089E">
              <w:rPr>
                <w:iCs/>
                <w:sz w:val="24"/>
                <w:szCs w:val="24"/>
                <w:lang w:val="pt-BR"/>
              </w:rPr>
              <w:lastRenderedPageBreak/>
              <w:t>techninėje specifikacijoje išskirti kaip du atskiri tyrimai. Jei konkurso metu tiekėjas nurodys, kad atlieka “Kiaušidžių vėžio rizikos indeksas (ROMA)” nedetalizuojant pacientų grupių, nes normos vienodos, tai bus vertinama – atitinka.</w:t>
            </w:r>
          </w:p>
        </w:tc>
      </w:tr>
    </w:tbl>
    <w:p w14:paraId="316D597D" w14:textId="77777777" w:rsidR="00B72EAD" w:rsidRDefault="00B72EAD"/>
    <w:sectPr w:rsidR="00B72EAD" w:rsidSect="00376BC5">
      <w:pgSz w:w="12240" w:h="15840"/>
      <w:pgMar w:top="1134" w:right="720" w:bottom="113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F43A3"/>
    <w:multiLevelType w:val="hybridMultilevel"/>
    <w:tmpl w:val="3FB807FC"/>
    <w:lvl w:ilvl="0" w:tplc="9C6C5E38">
      <w:start w:val="1"/>
      <w:numFmt w:val="decimal"/>
      <w:lvlText w:val="%1."/>
      <w:lvlJc w:val="left"/>
      <w:pPr>
        <w:ind w:left="1290" w:hanging="129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60D3C31"/>
    <w:multiLevelType w:val="hybridMultilevel"/>
    <w:tmpl w:val="A56CCF9E"/>
    <w:lvl w:ilvl="0" w:tplc="C08AFA6C">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F14BBC"/>
    <w:multiLevelType w:val="hybridMultilevel"/>
    <w:tmpl w:val="BC1C1226"/>
    <w:lvl w:ilvl="0" w:tplc="E310A0A8">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892771091">
    <w:abstractNumId w:val="1"/>
  </w:num>
  <w:num w:numId="2" w16cid:durableId="8259779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0338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D5"/>
    <w:rsid w:val="00000822"/>
    <w:rsid w:val="00010374"/>
    <w:rsid w:val="00017AC4"/>
    <w:rsid w:val="000B494A"/>
    <w:rsid w:val="000B680A"/>
    <w:rsid w:val="000E14D5"/>
    <w:rsid w:val="000F537E"/>
    <w:rsid w:val="001415FC"/>
    <w:rsid w:val="00182423"/>
    <w:rsid w:val="001B40E9"/>
    <w:rsid w:val="0024745C"/>
    <w:rsid w:val="0028089E"/>
    <w:rsid w:val="00294584"/>
    <w:rsid w:val="002B569A"/>
    <w:rsid w:val="002C6EB0"/>
    <w:rsid w:val="002F7ACE"/>
    <w:rsid w:val="00361765"/>
    <w:rsid w:val="00376BC5"/>
    <w:rsid w:val="00391EBB"/>
    <w:rsid w:val="00394E79"/>
    <w:rsid w:val="003A05E4"/>
    <w:rsid w:val="003A7789"/>
    <w:rsid w:val="003E13AD"/>
    <w:rsid w:val="00477608"/>
    <w:rsid w:val="004A7460"/>
    <w:rsid w:val="004B6B9B"/>
    <w:rsid w:val="004C5406"/>
    <w:rsid w:val="004F1DCA"/>
    <w:rsid w:val="005000C5"/>
    <w:rsid w:val="005810B2"/>
    <w:rsid w:val="005A769B"/>
    <w:rsid w:val="005D6544"/>
    <w:rsid w:val="005E7B93"/>
    <w:rsid w:val="0060697B"/>
    <w:rsid w:val="0062021A"/>
    <w:rsid w:val="00652508"/>
    <w:rsid w:val="0065564B"/>
    <w:rsid w:val="00666D96"/>
    <w:rsid w:val="006916B2"/>
    <w:rsid w:val="006E0352"/>
    <w:rsid w:val="007B2235"/>
    <w:rsid w:val="007E0E8B"/>
    <w:rsid w:val="00882104"/>
    <w:rsid w:val="00884BE3"/>
    <w:rsid w:val="008A2DFC"/>
    <w:rsid w:val="008C3CB2"/>
    <w:rsid w:val="00980310"/>
    <w:rsid w:val="009E32E4"/>
    <w:rsid w:val="00A72933"/>
    <w:rsid w:val="00A83182"/>
    <w:rsid w:val="00A946D6"/>
    <w:rsid w:val="00AB390B"/>
    <w:rsid w:val="00AD2CAD"/>
    <w:rsid w:val="00AE035A"/>
    <w:rsid w:val="00B72EAD"/>
    <w:rsid w:val="00BE55A1"/>
    <w:rsid w:val="00BF6690"/>
    <w:rsid w:val="00C3726E"/>
    <w:rsid w:val="00CD4A2F"/>
    <w:rsid w:val="00CD65F9"/>
    <w:rsid w:val="00CD7257"/>
    <w:rsid w:val="00CF1BF9"/>
    <w:rsid w:val="00D334FD"/>
    <w:rsid w:val="00D96F35"/>
    <w:rsid w:val="00DA0BC6"/>
    <w:rsid w:val="00DA55AC"/>
    <w:rsid w:val="00DB1114"/>
    <w:rsid w:val="00DC1989"/>
    <w:rsid w:val="00DF0474"/>
    <w:rsid w:val="00EA20EE"/>
    <w:rsid w:val="00EE6C7C"/>
    <w:rsid w:val="00F134BE"/>
    <w:rsid w:val="00F308AA"/>
    <w:rsid w:val="00F6646B"/>
    <w:rsid w:val="00FF40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A3ABD"/>
  <w15:chartTrackingRefBased/>
  <w15:docId w15:val="{E498A6CA-F298-4524-8C18-DF075E66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5406"/>
    <w:pPr>
      <w:spacing w:after="0" w:line="240" w:lineRule="auto"/>
    </w:pPr>
    <w:rPr>
      <w:rFonts w:ascii="Times New Roman" w:eastAsia="Times New Roman" w:hAnsi="Times New Roman" w:cs="Times New Roman"/>
      <w:noProof/>
      <w:sz w:val="20"/>
      <w:szCs w:val="20"/>
      <w14:ligatures w14:val="none"/>
    </w:rPr>
  </w:style>
  <w:style w:type="paragraph" w:styleId="Antrat1">
    <w:name w:val="heading 1"/>
    <w:basedOn w:val="prastasis"/>
    <w:next w:val="prastasis"/>
    <w:link w:val="Antrat1Diagrama"/>
    <w:uiPriority w:val="9"/>
    <w:qFormat/>
    <w:rsid w:val="000E14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E14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E14D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E14D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E14D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E14D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E14D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E14D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E14D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E14D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E14D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E14D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E14D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E14D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E14D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E14D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E14D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E14D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E14D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E14D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E14D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E14D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E14D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E14D5"/>
    <w:rPr>
      <w:i/>
      <w:iCs/>
      <w:color w:val="404040" w:themeColor="text1" w:themeTint="BF"/>
    </w:rPr>
  </w:style>
  <w:style w:type="paragraph" w:styleId="Sraopastraipa">
    <w:name w:val="List Paragraph"/>
    <w:basedOn w:val="prastasis"/>
    <w:uiPriority w:val="34"/>
    <w:qFormat/>
    <w:rsid w:val="000E14D5"/>
    <w:pPr>
      <w:ind w:left="720"/>
      <w:contextualSpacing/>
    </w:pPr>
  </w:style>
  <w:style w:type="character" w:styleId="Rykuspabraukimas">
    <w:name w:val="Intense Emphasis"/>
    <w:basedOn w:val="Numatytasispastraiposriftas"/>
    <w:uiPriority w:val="21"/>
    <w:qFormat/>
    <w:rsid w:val="000E14D5"/>
    <w:rPr>
      <w:i/>
      <w:iCs/>
      <w:color w:val="2F5496" w:themeColor="accent1" w:themeShade="BF"/>
    </w:rPr>
  </w:style>
  <w:style w:type="paragraph" w:styleId="Iskirtacitata">
    <w:name w:val="Intense Quote"/>
    <w:basedOn w:val="prastasis"/>
    <w:next w:val="prastasis"/>
    <w:link w:val="IskirtacitataDiagrama"/>
    <w:uiPriority w:val="30"/>
    <w:qFormat/>
    <w:rsid w:val="000E14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E14D5"/>
    <w:rPr>
      <w:i/>
      <w:iCs/>
      <w:color w:val="2F5496" w:themeColor="accent1" w:themeShade="BF"/>
    </w:rPr>
  </w:style>
  <w:style w:type="character" w:styleId="Rykinuoroda">
    <w:name w:val="Intense Reference"/>
    <w:basedOn w:val="Numatytasispastraiposriftas"/>
    <w:uiPriority w:val="32"/>
    <w:qFormat/>
    <w:rsid w:val="000E14D5"/>
    <w:rPr>
      <w:b/>
      <w:bCs/>
      <w:smallCaps/>
      <w:color w:val="2F5496" w:themeColor="accent1" w:themeShade="BF"/>
      <w:spacing w:val="5"/>
    </w:rPr>
  </w:style>
  <w:style w:type="table" w:styleId="Lentelstinklelis">
    <w:name w:val="Table Grid"/>
    <w:basedOn w:val="prastojilentel"/>
    <w:uiPriority w:val="39"/>
    <w:rsid w:val="00376BC5"/>
    <w:pPr>
      <w:spacing w:after="0" w:line="240" w:lineRule="auto"/>
    </w:pPr>
    <w:rPr>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6BC5"/>
    <w:pPr>
      <w:autoSpaceDE w:val="0"/>
      <w:autoSpaceDN w:val="0"/>
      <w:adjustRightInd w:val="0"/>
      <w:spacing w:after="0" w:line="240" w:lineRule="auto"/>
    </w:pPr>
    <w:rPr>
      <w:rFonts w:ascii="Times New Roman" w:hAnsi="Times New Roman" w:cs="Times New Roman"/>
      <w:color w:val="00000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6719</Words>
  <Characters>3830</Characters>
  <Application>Microsoft Office Word</Application>
  <DocSecurity>0</DocSecurity>
  <Lines>31</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Sragauskienė</dc:creator>
  <cp:keywords/>
  <dc:description/>
  <cp:lastModifiedBy>Ingrida Kuncaitė-Juocevičienė</cp:lastModifiedBy>
  <cp:revision>2</cp:revision>
  <dcterms:created xsi:type="dcterms:W3CDTF">2025-09-17T06:44:00Z</dcterms:created>
  <dcterms:modified xsi:type="dcterms:W3CDTF">2025-09-17T06:44:00Z</dcterms:modified>
</cp:coreProperties>
</file>