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67E7" w14:textId="77777777" w:rsidR="00C50E89" w:rsidRDefault="00C50E89" w:rsidP="00C50E89">
      <w:pPr>
        <w:pStyle w:val="Patvirtinta"/>
        <w:ind w:left="0"/>
        <w:jc w:val="center"/>
        <w:rPr>
          <w:noProof/>
        </w:rPr>
      </w:pPr>
      <w:r>
        <w:rPr>
          <w:noProof/>
          <w:lang w:val="lt-LT" w:eastAsia="lt-LT"/>
        </w:rPr>
        <w:drawing>
          <wp:inline distT="0" distB="0" distL="0" distR="0" wp14:anchorId="6546A694" wp14:editId="627162F1">
            <wp:extent cx="1609725" cy="657225"/>
            <wp:effectExtent l="19050" t="0" r="9525" b="0"/>
            <wp:docPr id="1" name="Picture 1" descr="logo N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V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9805E7" w14:textId="77777777" w:rsidR="00C50E89" w:rsidRPr="007E5764" w:rsidRDefault="00C50E89" w:rsidP="00C50E89">
      <w:pPr>
        <w:pStyle w:val="Patvirtinta"/>
        <w:ind w:left="0"/>
        <w:jc w:val="center"/>
        <w:rPr>
          <w:noProof/>
        </w:rPr>
      </w:pPr>
    </w:p>
    <w:p w14:paraId="6E27217E" w14:textId="77777777" w:rsidR="00C50E89" w:rsidRPr="007E5764" w:rsidRDefault="00C50E89" w:rsidP="00C50E89">
      <w:pPr>
        <w:ind w:right="-178"/>
        <w:jc w:val="center"/>
        <w:rPr>
          <w:sz w:val="28"/>
          <w:szCs w:val="28"/>
        </w:rPr>
      </w:pPr>
      <w:r w:rsidRPr="007E5764">
        <w:rPr>
          <w:b/>
          <w:caps/>
          <w:sz w:val="28"/>
          <w:szCs w:val="28"/>
        </w:rPr>
        <w:t>NACIONALINIS VĖŽIO INSTITUTAS</w:t>
      </w:r>
    </w:p>
    <w:p w14:paraId="6E3CCFEA" w14:textId="77777777" w:rsidR="00C50E89" w:rsidRPr="007E5764" w:rsidRDefault="00C50E89" w:rsidP="00C50E89">
      <w:pPr>
        <w:jc w:val="center"/>
        <w:rPr>
          <w:b/>
          <w:bCs/>
          <w:sz w:val="16"/>
          <w:szCs w:val="16"/>
        </w:rPr>
      </w:pPr>
      <w:r w:rsidRPr="007E5764">
        <w:rPr>
          <w:sz w:val="16"/>
          <w:szCs w:val="16"/>
        </w:rPr>
        <w:t>Juridinių asmenų registras, kodas 11195</w:t>
      </w:r>
      <w:r>
        <w:rPr>
          <w:sz w:val="16"/>
          <w:szCs w:val="16"/>
        </w:rPr>
        <w:t>9420, Santariškių g. 1, LT-08406</w:t>
      </w:r>
      <w:r w:rsidRPr="007E5764">
        <w:rPr>
          <w:sz w:val="16"/>
          <w:szCs w:val="16"/>
        </w:rPr>
        <w:t xml:space="preserve"> Vilnius, PVM mokėtojo kodas LT119594219</w:t>
      </w:r>
    </w:p>
    <w:p w14:paraId="2E0128A3" w14:textId="77777777" w:rsidR="00C50E89" w:rsidRPr="007E5764" w:rsidRDefault="00C50E89" w:rsidP="00C50E89">
      <w:pPr>
        <w:jc w:val="center"/>
        <w:rPr>
          <w:b/>
          <w:bCs/>
          <w:sz w:val="16"/>
          <w:szCs w:val="16"/>
        </w:rPr>
      </w:pPr>
    </w:p>
    <w:p w14:paraId="7D80CCF4" w14:textId="77777777" w:rsidR="00C50E89" w:rsidRPr="007E5764" w:rsidRDefault="00C50E89" w:rsidP="00C50E89">
      <w:pPr>
        <w:jc w:val="center"/>
        <w:rPr>
          <w:b/>
          <w:bCs/>
          <w:sz w:val="16"/>
          <w:szCs w:val="16"/>
        </w:rPr>
      </w:pPr>
    </w:p>
    <w:p w14:paraId="22D6FBFD" w14:textId="77777777" w:rsidR="00307AF2" w:rsidRDefault="00307AF2" w:rsidP="00C50E89">
      <w:pPr>
        <w:jc w:val="center"/>
        <w:rPr>
          <w:i/>
        </w:rPr>
      </w:pPr>
    </w:p>
    <w:p w14:paraId="58D52D64" w14:textId="77777777" w:rsidR="00307AF2" w:rsidRDefault="00307AF2" w:rsidP="00C50E89">
      <w:pPr>
        <w:jc w:val="center"/>
        <w:rPr>
          <w:i/>
        </w:rPr>
      </w:pPr>
    </w:p>
    <w:p w14:paraId="4D7E7469" w14:textId="77777777" w:rsidR="00307AF2" w:rsidRDefault="00307AF2" w:rsidP="00C50E89">
      <w:pPr>
        <w:jc w:val="center"/>
        <w:rPr>
          <w:i/>
        </w:rPr>
      </w:pPr>
    </w:p>
    <w:p w14:paraId="71B9D490" w14:textId="77777777" w:rsidR="00307AF2" w:rsidRDefault="00307AF2" w:rsidP="00C50E89">
      <w:pPr>
        <w:jc w:val="center"/>
        <w:rPr>
          <w:i/>
        </w:rPr>
      </w:pPr>
    </w:p>
    <w:p w14:paraId="3EACAD60" w14:textId="77777777" w:rsidR="00307AF2" w:rsidRDefault="00307AF2" w:rsidP="00C50E89">
      <w:pPr>
        <w:jc w:val="center"/>
        <w:rPr>
          <w:i/>
        </w:rPr>
      </w:pPr>
    </w:p>
    <w:p w14:paraId="442AC024" w14:textId="77777777" w:rsidR="00307AF2" w:rsidRDefault="00307AF2" w:rsidP="00C50E89">
      <w:pPr>
        <w:jc w:val="center"/>
        <w:rPr>
          <w:i/>
        </w:rPr>
      </w:pPr>
    </w:p>
    <w:p w14:paraId="7BC85555" w14:textId="77777777" w:rsidR="00307AF2" w:rsidRDefault="00307AF2" w:rsidP="00C50E89">
      <w:pPr>
        <w:jc w:val="center"/>
        <w:rPr>
          <w:i/>
        </w:rPr>
      </w:pPr>
    </w:p>
    <w:p w14:paraId="44899FB9" w14:textId="77777777" w:rsidR="00307AF2" w:rsidRDefault="00307AF2" w:rsidP="00C50E89">
      <w:pPr>
        <w:jc w:val="center"/>
        <w:rPr>
          <w:i/>
        </w:rPr>
      </w:pPr>
    </w:p>
    <w:p w14:paraId="09038810" w14:textId="77777777" w:rsidR="00307AF2" w:rsidRDefault="00307AF2" w:rsidP="00C50E89">
      <w:pPr>
        <w:jc w:val="center"/>
        <w:rPr>
          <w:i/>
        </w:rPr>
      </w:pPr>
    </w:p>
    <w:p w14:paraId="545B06D9" w14:textId="77777777" w:rsidR="00307AF2" w:rsidRDefault="00307AF2" w:rsidP="00C50E89">
      <w:pPr>
        <w:jc w:val="center"/>
        <w:rPr>
          <w:i/>
        </w:rPr>
      </w:pPr>
    </w:p>
    <w:p w14:paraId="254331FC" w14:textId="4A9EC328" w:rsidR="00C50E89" w:rsidRDefault="00C50E89" w:rsidP="00C50E8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MAŽOS VERTĖS</w:t>
      </w:r>
      <w:r w:rsidRPr="003334D3">
        <w:rPr>
          <w:rFonts w:eastAsia="Calibri"/>
          <w:b/>
          <w:lang w:eastAsia="en-US"/>
        </w:rPr>
        <w:t xml:space="preserve"> </w:t>
      </w:r>
      <w:r w:rsidR="002B5171" w:rsidRPr="003334D3">
        <w:rPr>
          <w:rFonts w:eastAsia="Calibri"/>
          <w:b/>
          <w:lang w:eastAsia="en-US"/>
        </w:rPr>
        <w:t xml:space="preserve">VIEŠOJO </w:t>
      </w:r>
      <w:r w:rsidRPr="003334D3">
        <w:rPr>
          <w:rFonts w:eastAsia="Calibri"/>
          <w:b/>
          <w:lang w:eastAsia="en-US"/>
        </w:rPr>
        <w:t xml:space="preserve">PIRKIMO </w:t>
      </w:r>
    </w:p>
    <w:p w14:paraId="1DE15974" w14:textId="74341BD3" w:rsidR="00C50E89" w:rsidRPr="003334D3" w:rsidRDefault="00C50E89" w:rsidP="00C50E8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SKELBIAMOS APKLAUSOS BŪDU</w:t>
      </w:r>
      <w:r w:rsidRPr="003334D3">
        <w:rPr>
          <w:rFonts w:eastAsia="Calibri"/>
          <w:b/>
          <w:lang w:eastAsia="en-US"/>
        </w:rPr>
        <w:t> </w:t>
      </w:r>
    </w:p>
    <w:p w14:paraId="128CE0AA" w14:textId="6329400E" w:rsidR="00C50E89" w:rsidRDefault="00C50E89" w:rsidP="00C50E89">
      <w:pPr>
        <w:jc w:val="center"/>
        <w:rPr>
          <w:rFonts w:eastAsia="Calibri"/>
          <w:b/>
          <w:lang w:eastAsia="en-US"/>
        </w:rPr>
      </w:pPr>
      <w:r w:rsidRPr="00C50E89">
        <w:rPr>
          <w:rFonts w:eastAsia="Calibri"/>
          <w:b/>
          <w:lang w:eastAsia="en-US"/>
        </w:rPr>
        <w:t>„</w:t>
      </w:r>
      <w:r w:rsidR="0070090B">
        <w:rPr>
          <w:rFonts w:eastAsia="Calibri"/>
          <w:b/>
          <w:lang w:eastAsia="en-US"/>
        </w:rPr>
        <w:t>KONSULTAVIMO PASLAUGŲ ĮSIGIJIMAS MTEP IDĖ</w:t>
      </w:r>
      <w:r w:rsidR="0087210E">
        <w:rPr>
          <w:rFonts w:eastAsia="Calibri"/>
          <w:b/>
          <w:lang w:eastAsia="en-US"/>
        </w:rPr>
        <w:t>J</w:t>
      </w:r>
      <w:r w:rsidR="0070090B">
        <w:rPr>
          <w:rFonts w:eastAsia="Calibri"/>
          <w:b/>
          <w:lang w:eastAsia="en-US"/>
        </w:rPr>
        <w:t>OS TIKRINIMUI“</w:t>
      </w:r>
    </w:p>
    <w:p w14:paraId="2C0FB051" w14:textId="1D7E54EE" w:rsidR="00C50E89" w:rsidRPr="003334D3" w:rsidRDefault="00C50E89" w:rsidP="00C50E89">
      <w:pPr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3334D3">
        <w:rPr>
          <w:rFonts w:eastAsia="Calibri"/>
          <w:b/>
          <w:bCs/>
          <w:color w:val="000000" w:themeColor="text1"/>
          <w:lang w:eastAsia="en-US"/>
        </w:rPr>
        <w:t>PIRKIMO SĄLYGOS</w:t>
      </w:r>
    </w:p>
    <w:p w14:paraId="70EBD9B5" w14:textId="77777777" w:rsidR="00C50E89" w:rsidRPr="003334D3" w:rsidRDefault="00C50E89" w:rsidP="00C50E89">
      <w:pPr>
        <w:jc w:val="center"/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</w:p>
    <w:p w14:paraId="192F15E1" w14:textId="2CD80C57" w:rsidR="00C50E89" w:rsidRPr="003334D3" w:rsidRDefault="00C50E89" w:rsidP="00C04061">
      <w:pPr>
        <w:jc w:val="center"/>
        <w:rPr>
          <w:rFonts w:eastAsia="Calibri"/>
          <w:lang w:eastAsia="en-US"/>
        </w:rPr>
      </w:pPr>
      <w:r w:rsidRPr="00AA5A68">
        <w:rPr>
          <w:rFonts w:eastAsia="Calibri"/>
          <w:lang w:eastAsia="en-US"/>
        </w:rPr>
        <w:t>20</w:t>
      </w:r>
      <w:r w:rsidR="00307AF2" w:rsidRPr="00AA5A68">
        <w:rPr>
          <w:rFonts w:eastAsia="Calibri"/>
          <w:lang w:eastAsia="en-US"/>
        </w:rPr>
        <w:t>2</w:t>
      </w:r>
      <w:r w:rsidR="004C6590" w:rsidRPr="00AA5A68">
        <w:rPr>
          <w:rFonts w:eastAsia="Calibri"/>
          <w:lang w:eastAsia="en-US"/>
        </w:rPr>
        <w:t>5</w:t>
      </w:r>
      <w:r w:rsidR="00307AF2" w:rsidRPr="00AA5A68">
        <w:rPr>
          <w:rFonts w:eastAsia="Calibri"/>
          <w:lang w:eastAsia="en-US"/>
        </w:rPr>
        <w:t>-</w:t>
      </w:r>
      <w:r w:rsidR="0098775E" w:rsidRPr="00AA5A68">
        <w:rPr>
          <w:rFonts w:eastAsia="Calibri"/>
          <w:lang w:eastAsia="en-US"/>
        </w:rPr>
        <w:t>0</w:t>
      </w:r>
      <w:r w:rsidR="00AA5A68" w:rsidRPr="00AA5A68">
        <w:rPr>
          <w:rFonts w:eastAsia="Calibri"/>
          <w:lang w:eastAsia="en-US"/>
        </w:rPr>
        <w:t>9</w:t>
      </w:r>
      <w:r w:rsidR="0070090B" w:rsidRPr="00AA5A68">
        <w:rPr>
          <w:rFonts w:eastAsia="Calibri"/>
          <w:lang w:eastAsia="en-US"/>
        </w:rPr>
        <w:t>-22</w:t>
      </w:r>
      <w:r w:rsidRPr="00AA5A68">
        <w:rPr>
          <w:rFonts w:eastAsia="Calibri"/>
          <w:lang w:eastAsia="en-US"/>
        </w:rPr>
        <w:t xml:space="preserve"> Nr. V30-</w:t>
      </w:r>
      <w:r w:rsidR="0070090B" w:rsidRPr="00AA5A68">
        <w:rPr>
          <w:rFonts w:eastAsia="Calibri"/>
          <w:lang w:eastAsia="en-US"/>
        </w:rPr>
        <w:t>1</w:t>
      </w:r>
      <w:r w:rsidR="00AA5A68">
        <w:rPr>
          <w:rFonts w:eastAsia="Calibri"/>
          <w:lang w:eastAsia="en-US"/>
        </w:rPr>
        <w:t>3</w:t>
      </w:r>
    </w:p>
    <w:p w14:paraId="143235CD" w14:textId="1F5B2343" w:rsidR="00C50E89" w:rsidRPr="00C50E89" w:rsidRDefault="00C50E89" w:rsidP="00C50E89">
      <w:pPr>
        <w:jc w:val="center"/>
        <w:rPr>
          <w:rFonts w:eastAsia="Calibri"/>
          <w:lang w:eastAsia="en-US"/>
        </w:rPr>
      </w:pPr>
      <w:r w:rsidRPr="003334D3">
        <w:rPr>
          <w:rFonts w:eastAsia="Calibri"/>
          <w:lang w:eastAsia="en-US"/>
        </w:rPr>
        <w:t>Vilnius</w:t>
      </w:r>
    </w:p>
    <w:p w14:paraId="64289280" w14:textId="77777777" w:rsidR="00C91DB2" w:rsidRDefault="00C91DB2" w:rsidP="00C91DB2">
      <w:pPr>
        <w:jc w:val="both"/>
      </w:pPr>
    </w:p>
    <w:p w14:paraId="3D96582F" w14:textId="77777777" w:rsidR="00C91DB2" w:rsidRDefault="00C91DB2" w:rsidP="00C91DB2">
      <w:pPr>
        <w:jc w:val="both"/>
        <w:sectPr w:rsidR="00C91DB2" w:rsidSect="004C6590">
          <w:headerReference w:type="default" r:id="rId9"/>
          <w:pgSz w:w="11907" w:h="16840" w:code="9"/>
          <w:pgMar w:top="1701" w:right="567" w:bottom="851" w:left="1531" w:header="709" w:footer="709" w:gutter="0"/>
          <w:cols w:space="708"/>
          <w:titlePg/>
          <w:docGrid w:linePitch="360"/>
        </w:sectPr>
      </w:pPr>
    </w:p>
    <w:p w14:paraId="5948962E" w14:textId="683C170F" w:rsidR="007934EA" w:rsidRPr="00E3783F" w:rsidRDefault="00C91DB2" w:rsidP="00047CB3">
      <w:pPr>
        <w:ind w:firstLine="851"/>
        <w:jc w:val="both"/>
      </w:pPr>
      <w:r>
        <w:lastRenderedPageBreak/>
        <w:t xml:space="preserve">1. </w:t>
      </w:r>
      <w:r w:rsidR="00216070" w:rsidRPr="00C740B7">
        <w:t>Nacionalinis vėžio i</w:t>
      </w:r>
      <w:r w:rsidR="00530F36" w:rsidRPr="00C740B7">
        <w:t xml:space="preserve">nstitutas, Santariškių g. 1, </w:t>
      </w:r>
      <w:r w:rsidR="00B14DAD">
        <w:t>08406</w:t>
      </w:r>
      <w:r w:rsidR="00216070" w:rsidRPr="00C740B7">
        <w:t xml:space="preserve"> Vilnius, kodas 111959420</w:t>
      </w:r>
      <w:r w:rsidR="00307AF2">
        <w:t xml:space="preserve"> (toliau – </w:t>
      </w:r>
      <w:r w:rsidR="002B5171">
        <w:t>Perkančioji organizacija</w:t>
      </w:r>
      <w:r w:rsidR="00307AF2">
        <w:t>)</w:t>
      </w:r>
      <w:r w:rsidR="00216070" w:rsidRPr="00C740B7">
        <w:t xml:space="preserve">, </w:t>
      </w:r>
      <w:r w:rsidR="002B5171">
        <w:t>įgyvendindamas</w:t>
      </w:r>
      <w:r w:rsidR="002B5171" w:rsidRPr="002B5171">
        <w:t xml:space="preserve"> projektą Nr. </w:t>
      </w:r>
      <w:r w:rsidR="0070090B">
        <w:t>10-038-T-0169</w:t>
      </w:r>
      <w:r w:rsidR="002B5171" w:rsidRPr="002B5171">
        <w:t xml:space="preserve"> „</w:t>
      </w:r>
      <w:r w:rsidR="0070090B">
        <w:t>Tarptautinės partnerystės ES Vėžio misijos tematikoje stiprinimas Nacionaliniame vėžio institute</w:t>
      </w:r>
      <w:r w:rsidR="002B5171" w:rsidRPr="002B5171">
        <w:t xml:space="preserve">“, </w:t>
      </w:r>
      <w:r w:rsidR="002B5171">
        <w:t>vykdomą pagal 20</w:t>
      </w:r>
      <w:r w:rsidR="0070090B">
        <w:t>21</w:t>
      </w:r>
      <w:r w:rsidR="002B5171">
        <w:t xml:space="preserve">-2030 m. plėtros programos valdytojos Lietuvos Respublikos švietimo, mokslo ir sporto ministerijos </w:t>
      </w:r>
      <w:r w:rsidR="0070090B">
        <w:t>M</w:t>
      </w:r>
      <w:r w:rsidR="002B5171">
        <w:t>okslo plėtros programos pažangos priemonę Nr. 12-001-01-02-01 „Stiprinti inovacijų ekosistemas mokslo centruose“, vykdo</w:t>
      </w:r>
      <w:r w:rsidR="00D26D77" w:rsidRPr="00C740B7">
        <w:t xml:space="preserve"> </w:t>
      </w:r>
      <w:r w:rsidR="007934EA" w:rsidRPr="00C740B7">
        <w:t>mažos vertės</w:t>
      </w:r>
      <w:r w:rsidR="00D26D77" w:rsidRPr="00C740B7">
        <w:t xml:space="preserve"> viešąjį pirkimą </w:t>
      </w:r>
      <w:r w:rsidR="007934EA" w:rsidRPr="00C740B7">
        <w:t>skelbiamos apklausos</w:t>
      </w:r>
      <w:r w:rsidR="00216070" w:rsidRPr="00C740B7">
        <w:t xml:space="preserve"> būdu</w:t>
      </w:r>
      <w:r w:rsidR="002B5171">
        <w:t xml:space="preserve"> ir</w:t>
      </w:r>
      <w:r w:rsidR="00216070" w:rsidRPr="00C740B7">
        <w:t xml:space="preserve"> numato įsigyti </w:t>
      </w:r>
      <w:r w:rsidR="0070090B">
        <w:t>konsultavimo paslaugas MTEP idėjos tikrinimui</w:t>
      </w:r>
      <w:r w:rsidR="00CA12F5">
        <w:t xml:space="preserve"> </w:t>
      </w:r>
      <w:r w:rsidR="00470A48" w:rsidRPr="00C740B7">
        <w:t xml:space="preserve">(toliau – </w:t>
      </w:r>
      <w:r w:rsidR="00517F3F">
        <w:t>Paslaugos</w:t>
      </w:r>
      <w:r w:rsidR="00470A48" w:rsidRPr="00C740B7">
        <w:t>)</w:t>
      </w:r>
      <w:r w:rsidR="00D26D77" w:rsidRPr="00C91DB2">
        <w:rPr>
          <w:bCs/>
        </w:rPr>
        <w:t xml:space="preserve">. </w:t>
      </w:r>
    </w:p>
    <w:p w14:paraId="50B64697" w14:textId="452FB5E1" w:rsidR="002717A7" w:rsidRPr="002717A7" w:rsidRDefault="00C91DB2" w:rsidP="00047CB3">
      <w:pPr>
        <w:widowControl w:val="0"/>
        <w:ind w:firstLine="851"/>
        <w:jc w:val="both"/>
        <w:rPr>
          <w:bCs/>
        </w:rPr>
      </w:pPr>
      <w:r>
        <w:rPr>
          <w:color w:val="000000" w:themeColor="text1"/>
        </w:rPr>
        <w:t xml:space="preserve">2. </w:t>
      </w:r>
      <w:r w:rsidR="002717A7" w:rsidRPr="000E2745">
        <w:rPr>
          <w:color w:val="000000" w:themeColor="text1"/>
        </w:rPr>
        <w:t xml:space="preserve">Tiesioginį ryšį su tiekėjais palaiko </w:t>
      </w:r>
      <w:r w:rsidR="0070090B">
        <w:rPr>
          <w:color w:val="000000" w:themeColor="text1"/>
        </w:rPr>
        <w:t>Mokslo administravimo skyriaus vyriausiasis</w:t>
      </w:r>
      <w:r w:rsidR="007110A1">
        <w:rPr>
          <w:color w:val="000000" w:themeColor="text1"/>
        </w:rPr>
        <w:t xml:space="preserve"> specialist</w:t>
      </w:r>
      <w:r w:rsidR="0070090B">
        <w:rPr>
          <w:color w:val="000000" w:themeColor="text1"/>
        </w:rPr>
        <w:t>as</w:t>
      </w:r>
      <w:r w:rsidR="007110A1">
        <w:rPr>
          <w:color w:val="000000" w:themeColor="text1"/>
        </w:rPr>
        <w:t xml:space="preserve"> </w:t>
      </w:r>
      <w:r w:rsidR="001E167D">
        <w:t>Liutauras Barila</w:t>
      </w:r>
      <w:r w:rsidR="002717A7" w:rsidRPr="000E2745">
        <w:t xml:space="preserve">, tel. </w:t>
      </w:r>
      <w:r w:rsidR="00307AF2">
        <w:t>+370</w:t>
      </w:r>
      <w:r w:rsidR="002717A7" w:rsidRPr="000E2745">
        <w:t xml:space="preserve"> 5</w:t>
      </w:r>
      <w:r w:rsidR="0070090B">
        <w:t> 27</w:t>
      </w:r>
      <w:r w:rsidR="001E167D">
        <w:t>46461</w:t>
      </w:r>
      <w:r w:rsidR="002717A7" w:rsidRPr="000E2745">
        <w:t>, el. paštas</w:t>
      </w:r>
      <w:r w:rsidR="001E167D">
        <w:t xml:space="preserve"> liutauras.barila@nvi.lt</w:t>
      </w:r>
      <w:r w:rsidR="002717A7" w:rsidRPr="000E2745">
        <w:rPr>
          <w:bCs/>
        </w:rPr>
        <w:t>.</w:t>
      </w:r>
    </w:p>
    <w:p w14:paraId="7BBEED90" w14:textId="35D62D11" w:rsidR="001272F7" w:rsidRPr="00C740B7" w:rsidRDefault="00C91DB2" w:rsidP="00047CB3">
      <w:pPr>
        <w:ind w:firstLine="851"/>
        <w:jc w:val="both"/>
      </w:pPr>
      <w:r>
        <w:t xml:space="preserve">3. </w:t>
      </w:r>
      <w:r w:rsidR="001272F7" w:rsidRPr="00C740B7">
        <w:t xml:space="preserve">Pirkimas vykdomas, vadovaujantis </w:t>
      </w:r>
      <w:r w:rsidR="001272F7">
        <w:t>L</w:t>
      </w:r>
      <w:r w:rsidR="00BB46D7">
        <w:t>ietuvos Respublikos v</w:t>
      </w:r>
      <w:r w:rsidR="001272F7" w:rsidRPr="00C740B7">
        <w:t xml:space="preserve">iešųjų pirkimų įstatymu, </w:t>
      </w:r>
      <w:r w:rsidR="001272F7">
        <w:t>Mažos vertės pirkimų tvarkos aprašu, L</w:t>
      </w:r>
      <w:r w:rsidR="00BB46D7">
        <w:t>ietuvos Respublikos c</w:t>
      </w:r>
      <w:r w:rsidR="001272F7">
        <w:t>iviliniu kodeksu</w:t>
      </w:r>
      <w:r w:rsidR="001272F7" w:rsidRPr="00C740B7">
        <w:t xml:space="preserve">, kitais viešuosius pirkimus reglamentuojančiais teisės aktais </w:t>
      </w:r>
      <w:r w:rsidR="00EC4933">
        <w:t>ir</w:t>
      </w:r>
      <w:r w:rsidR="00EC4933" w:rsidRPr="00C740B7">
        <w:t xml:space="preserve"> </w:t>
      </w:r>
      <w:r w:rsidR="001272F7" w:rsidRPr="00C740B7">
        <w:t>ši</w:t>
      </w:r>
      <w:r w:rsidR="00C04061">
        <w:t>omis</w:t>
      </w:r>
      <w:r w:rsidR="001272F7" w:rsidRPr="00C740B7">
        <w:t xml:space="preserve"> pirkimo</w:t>
      </w:r>
      <w:r w:rsidR="00C04061">
        <w:t xml:space="preserve"> sąlygomis</w:t>
      </w:r>
      <w:r w:rsidR="001272F7" w:rsidRPr="00C740B7">
        <w:t>.</w:t>
      </w:r>
    </w:p>
    <w:p w14:paraId="66AC9DED" w14:textId="1E06AC22" w:rsidR="008310A7" w:rsidRPr="00FA64CB" w:rsidRDefault="00C91DB2" w:rsidP="00047CB3">
      <w:pPr>
        <w:pStyle w:val="Hyperlink2"/>
        <w:tabs>
          <w:tab w:val="left" w:pos="-142"/>
          <w:tab w:val="left" w:pos="1418"/>
          <w:tab w:val="left" w:pos="1560"/>
        </w:tabs>
        <w:ind w:firstLine="851"/>
      </w:pPr>
      <w:r>
        <w:t xml:space="preserve">4. </w:t>
      </w:r>
      <w:r w:rsidR="007934EA" w:rsidRPr="00C740B7">
        <w:t xml:space="preserve">Pirkimo objekto aprašymas, </w:t>
      </w:r>
      <w:r w:rsidR="00A81848">
        <w:t xml:space="preserve">apimtys, </w:t>
      </w:r>
      <w:r w:rsidR="007934EA" w:rsidRPr="00C740B7">
        <w:t xml:space="preserve">keliami reikalavimai ir </w:t>
      </w:r>
      <w:r w:rsidR="00C04061">
        <w:t>Paslaugų teikimo</w:t>
      </w:r>
      <w:r w:rsidR="007934EA" w:rsidRPr="00C740B7">
        <w:t xml:space="preserve"> sutarties </w:t>
      </w:r>
      <w:r w:rsidR="00C95365">
        <w:t xml:space="preserve">(toliau ‒ Sutartis) </w:t>
      </w:r>
      <w:r w:rsidR="007934EA" w:rsidRPr="00C740B7">
        <w:t xml:space="preserve">vykdymo </w:t>
      </w:r>
      <w:r w:rsidR="007110A1">
        <w:t>sąlygos</w:t>
      </w:r>
      <w:r w:rsidR="007934EA" w:rsidRPr="00C740B7">
        <w:t xml:space="preserve"> pateikiami </w:t>
      </w:r>
      <w:r w:rsidR="007934EA" w:rsidRPr="00C740B7">
        <w:rPr>
          <w:color w:val="000000" w:themeColor="text1"/>
        </w:rPr>
        <w:t xml:space="preserve">1 priede </w:t>
      </w:r>
      <w:r w:rsidR="00D23B1E">
        <w:rPr>
          <w:color w:val="000000" w:themeColor="text1"/>
        </w:rPr>
        <w:t>„</w:t>
      </w:r>
      <w:r w:rsidR="00047CB3">
        <w:rPr>
          <w:color w:val="000000" w:themeColor="text1"/>
        </w:rPr>
        <w:t>T</w:t>
      </w:r>
      <w:r w:rsidR="007B182E">
        <w:rPr>
          <w:color w:val="000000" w:themeColor="text1"/>
        </w:rPr>
        <w:t>echninė specifikacija</w:t>
      </w:r>
      <w:r w:rsidR="001C6343">
        <w:rPr>
          <w:color w:val="000000" w:themeColor="text1"/>
        </w:rPr>
        <w:t>“</w:t>
      </w:r>
      <w:r w:rsidR="007110A1">
        <w:rPr>
          <w:color w:val="000000" w:themeColor="text1"/>
        </w:rPr>
        <w:t xml:space="preserve"> ir </w:t>
      </w:r>
      <w:r w:rsidR="00C125C8" w:rsidRPr="00DC2C08">
        <w:rPr>
          <w:color w:val="000000" w:themeColor="text1"/>
        </w:rPr>
        <w:t>3</w:t>
      </w:r>
      <w:r w:rsidR="007110A1" w:rsidRPr="00DC2C08">
        <w:rPr>
          <w:color w:val="000000" w:themeColor="text1"/>
        </w:rPr>
        <w:t xml:space="preserve"> priede</w:t>
      </w:r>
      <w:r w:rsidR="007110A1" w:rsidRPr="00C04061">
        <w:rPr>
          <w:color w:val="000000" w:themeColor="text1"/>
        </w:rPr>
        <w:t xml:space="preserve"> „</w:t>
      </w:r>
      <w:r w:rsidR="00C04061">
        <w:rPr>
          <w:color w:val="000000" w:themeColor="text1"/>
        </w:rPr>
        <w:t>Paslaugų teikimo sutarties</w:t>
      </w:r>
      <w:r w:rsidR="007110A1" w:rsidRPr="00C04061">
        <w:rPr>
          <w:color w:val="000000" w:themeColor="text1"/>
        </w:rPr>
        <w:t xml:space="preserve"> projektas“</w:t>
      </w:r>
      <w:r w:rsidR="00517F3F" w:rsidRPr="00C04061">
        <w:rPr>
          <w:color w:val="000000" w:themeColor="text1"/>
        </w:rPr>
        <w:t>.</w:t>
      </w:r>
    </w:p>
    <w:p w14:paraId="07338D9A" w14:textId="0A54C3C2" w:rsidR="00A81848" w:rsidRPr="00A65E5E" w:rsidRDefault="00C91DB2" w:rsidP="00047CB3">
      <w:pPr>
        <w:ind w:firstLine="851"/>
        <w:jc w:val="both"/>
        <w:rPr>
          <w:noProof/>
        </w:rPr>
      </w:pPr>
      <w:r>
        <w:t xml:space="preserve">5. </w:t>
      </w:r>
      <w:r w:rsidR="00A81848" w:rsidRPr="00A65E5E">
        <w:t>Šis p</w:t>
      </w:r>
      <w:r w:rsidR="00870E90" w:rsidRPr="00A65E5E">
        <w:t>irkimas</w:t>
      </w:r>
      <w:r w:rsidR="00A81848" w:rsidRPr="00A65E5E">
        <w:rPr>
          <w:noProof/>
        </w:rPr>
        <w:t xml:space="preserve"> </w:t>
      </w:r>
      <w:r w:rsidR="00047CB3">
        <w:rPr>
          <w:noProof/>
        </w:rPr>
        <w:t>ne</w:t>
      </w:r>
      <w:r w:rsidR="00A81848" w:rsidRPr="00A65E5E">
        <w:rPr>
          <w:noProof/>
        </w:rPr>
        <w:t>ska</w:t>
      </w:r>
      <w:r w:rsidR="00047CB3">
        <w:rPr>
          <w:noProof/>
        </w:rPr>
        <w:t xml:space="preserve">idomas </w:t>
      </w:r>
      <w:r w:rsidR="00A81848" w:rsidRPr="00A65E5E">
        <w:rPr>
          <w:noProof/>
        </w:rPr>
        <w:t>į</w:t>
      </w:r>
      <w:r w:rsidR="00870E90" w:rsidRPr="00A65E5E">
        <w:rPr>
          <w:noProof/>
        </w:rPr>
        <w:t xml:space="preserve"> pirkimo dalis. </w:t>
      </w:r>
      <w:r w:rsidR="00307AF2" w:rsidRPr="00307AF2">
        <w:rPr>
          <w:noProof/>
        </w:rPr>
        <w:t xml:space="preserve">Tiekėjas pasiūlymą turi pateikti visai pirkimo </w:t>
      </w:r>
      <w:r w:rsidR="00307AF2">
        <w:rPr>
          <w:noProof/>
        </w:rPr>
        <w:t xml:space="preserve">objekto </w:t>
      </w:r>
      <w:r w:rsidR="00307AF2" w:rsidRPr="00307AF2">
        <w:rPr>
          <w:noProof/>
        </w:rPr>
        <w:t>apimčiai.</w:t>
      </w:r>
    </w:p>
    <w:p w14:paraId="75342CC3" w14:textId="73178AF2" w:rsidR="00CD5095" w:rsidRPr="00F643B6" w:rsidRDefault="00517F3F" w:rsidP="00047CB3">
      <w:pPr>
        <w:ind w:firstLine="851"/>
        <w:jc w:val="both"/>
        <w:rPr>
          <w:rFonts w:eastAsia="Calibri"/>
          <w:bCs/>
          <w:color w:val="000000" w:themeColor="text1"/>
          <w:lang w:eastAsia="en-US"/>
        </w:rPr>
      </w:pPr>
      <w:r w:rsidRPr="00C04061">
        <w:rPr>
          <w:rFonts w:eastAsia="Calibri"/>
          <w:lang w:eastAsia="en-US"/>
        </w:rPr>
        <w:t>6</w:t>
      </w:r>
      <w:r w:rsidR="00CD5095" w:rsidRPr="00C04061">
        <w:rPr>
          <w:rFonts w:eastAsia="Calibri"/>
          <w:lang w:eastAsia="en-US"/>
        </w:rPr>
        <w:t xml:space="preserve">. </w:t>
      </w:r>
      <w:r w:rsidR="00CD5095" w:rsidRPr="00C04061">
        <w:t>Tiekėj</w:t>
      </w:r>
      <w:r w:rsidR="00421A88" w:rsidRPr="00C04061">
        <w:t>o</w:t>
      </w:r>
      <w:r w:rsidR="00CD5095" w:rsidRPr="00C04061">
        <w:t xml:space="preserve"> siūlomos </w:t>
      </w:r>
      <w:r w:rsidRPr="00C04061">
        <w:t>Paslaugos</w:t>
      </w:r>
      <w:r w:rsidR="00421A88" w:rsidRPr="00C04061">
        <w:t xml:space="preserve"> turi</w:t>
      </w:r>
      <w:r w:rsidR="00421A88" w:rsidRPr="00F643B6">
        <w:rPr>
          <w:bCs/>
        </w:rPr>
        <w:t xml:space="preserve"> atitikti 1 priede „Techninė specifikacija“ </w:t>
      </w:r>
      <w:r w:rsidR="00CD5095" w:rsidRPr="00F643B6">
        <w:rPr>
          <w:bCs/>
        </w:rPr>
        <w:t xml:space="preserve">keliamus reikalavimus. </w:t>
      </w:r>
      <w:r w:rsidR="00421A88" w:rsidRPr="00F643B6">
        <w:rPr>
          <w:bCs/>
        </w:rPr>
        <w:t>Alternatyvūs pasiūlymai negali būti teikiami.</w:t>
      </w:r>
    </w:p>
    <w:p w14:paraId="308E95A1" w14:textId="66D55640" w:rsidR="0061545A" w:rsidRDefault="00307AF2" w:rsidP="00047CB3">
      <w:pPr>
        <w:pStyle w:val="Body2"/>
        <w:spacing w:after="0"/>
        <w:ind w:firstLine="851"/>
        <w:rPr>
          <w:rFonts w:eastAsia="MS Mincho" w:cs="Times New Roman"/>
          <w:color w:val="auto"/>
          <w:sz w:val="24"/>
          <w:szCs w:val="24"/>
          <w:bdr w:val="none" w:sz="0" w:space="0" w:color="auto"/>
          <w:lang w:val="lt-LT" w:eastAsia="en-US"/>
        </w:rPr>
      </w:pPr>
      <w:r>
        <w:rPr>
          <w:color w:val="000000" w:themeColor="text1"/>
          <w:sz w:val="24"/>
          <w:szCs w:val="24"/>
          <w:lang w:val="lt-LT"/>
        </w:rPr>
        <w:t>7</w:t>
      </w:r>
      <w:r w:rsidR="00CD5095" w:rsidRPr="00BF74CA">
        <w:rPr>
          <w:color w:val="000000" w:themeColor="text1"/>
          <w:sz w:val="24"/>
          <w:szCs w:val="24"/>
          <w:lang w:val="lt-LT"/>
        </w:rPr>
        <w:t xml:space="preserve">. </w:t>
      </w:r>
      <w:bookmarkStart w:id="0" w:name="_Ref390180616"/>
      <w:r w:rsidR="00517F3F">
        <w:rPr>
          <w:color w:val="000000" w:themeColor="text1"/>
          <w:sz w:val="24"/>
          <w:szCs w:val="24"/>
          <w:lang w:val="lt-LT"/>
        </w:rPr>
        <w:t>Paslaugos</w:t>
      </w:r>
      <w:r w:rsidR="00CD5095" w:rsidRPr="00BF74CA">
        <w:rPr>
          <w:color w:val="000000" w:themeColor="text1"/>
          <w:sz w:val="24"/>
          <w:szCs w:val="24"/>
          <w:lang w:val="lt-LT"/>
        </w:rPr>
        <w:t xml:space="preserve"> </w:t>
      </w:r>
      <w:r w:rsidR="001E167D">
        <w:rPr>
          <w:color w:val="000000" w:themeColor="text1"/>
          <w:sz w:val="24"/>
          <w:szCs w:val="24"/>
          <w:lang w:val="lt-LT"/>
        </w:rPr>
        <w:t xml:space="preserve">visa apimtimi </w:t>
      </w:r>
      <w:r w:rsidR="00CD5095" w:rsidRPr="00BF74CA">
        <w:rPr>
          <w:color w:val="000000" w:themeColor="text1"/>
          <w:sz w:val="24"/>
          <w:szCs w:val="24"/>
          <w:lang w:val="lt-LT"/>
        </w:rPr>
        <w:t xml:space="preserve">turi būti </w:t>
      </w:r>
      <w:r w:rsidR="00517F3F">
        <w:rPr>
          <w:color w:val="000000" w:themeColor="text1"/>
          <w:sz w:val="24"/>
          <w:szCs w:val="24"/>
          <w:lang w:val="lt-LT"/>
        </w:rPr>
        <w:t>suteiktos</w:t>
      </w:r>
      <w:bookmarkStart w:id="1" w:name="_Hlk165641656"/>
      <w:bookmarkEnd w:id="0"/>
      <w:r w:rsidR="00CA12F5">
        <w:rPr>
          <w:color w:val="000000" w:themeColor="text1"/>
          <w:sz w:val="24"/>
          <w:szCs w:val="24"/>
          <w:lang w:val="lt-LT"/>
        </w:rPr>
        <w:t xml:space="preserve"> </w:t>
      </w:r>
      <w:r w:rsidR="00170CE0" w:rsidRPr="00170CE0">
        <w:rPr>
          <w:rFonts w:eastAsia="MS Mincho" w:cs="Times New Roman"/>
          <w:b/>
          <w:bCs/>
          <w:color w:val="auto"/>
          <w:sz w:val="24"/>
          <w:szCs w:val="24"/>
          <w:bdr w:val="none" w:sz="0" w:space="0" w:color="auto"/>
          <w:lang w:val="lt-LT" w:eastAsia="en-US"/>
        </w:rPr>
        <w:t>per 45 kalendorines dienas po Sutarties įsigaliojimo.</w:t>
      </w:r>
      <w:r w:rsidR="00170CE0" w:rsidRPr="00170CE0">
        <w:rPr>
          <w:rFonts w:eastAsia="MS Mincho" w:cs="Times New Roman"/>
          <w:color w:val="auto"/>
          <w:sz w:val="24"/>
          <w:szCs w:val="24"/>
          <w:bdr w:val="none" w:sz="0" w:space="0" w:color="auto"/>
          <w:lang w:val="lt-LT" w:eastAsia="en-US"/>
        </w:rPr>
        <w:t xml:space="preserve"> </w:t>
      </w:r>
    </w:p>
    <w:p w14:paraId="1752B0F2" w14:textId="384E57E4" w:rsidR="007F5730" w:rsidRPr="001B494D" w:rsidRDefault="007F5730" w:rsidP="00047CB3">
      <w:pPr>
        <w:pStyle w:val="Body2"/>
        <w:spacing w:after="0"/>
        <w:ind w:firstLine="851"/>
        <w:rPr>
          <w:iCs/>
          <w:color w:val="000000" w:themeColor="text1"/>
          <w:sz w:val="24"/>
          <w:szCs w:val="24"/>
          <w:lang w:val="lt-LT"/>
        </w:rPr>
      </w:pPr>
      <w:r>
        <w:rPr>
          <w:bCs/>
          <w:color w:val="000000" w:themeColor="text1"/>
          <w:sz w:val="24"/>
          <w:szCs w:val="24"/>
          <w:lang w:val="lt-LT"/>
        </w:rPr>
        <w:t>8. Tiekėjų pašalinimo pagrindai šiame pirkime netaikomi.</w:t>
      </w:r>
    </w:p>
    <w:p w14:paraId="4346B5BB" w14:textId="0F980F60" w:rsidR="006601A4" w:rsidRDefault="007F5730" w:rsidP="00C85264">
      <w:pPr>
        <w:ind w:left="-90" w:firstLine="941"/>
        <w:jc w:val="both"/>
      </w:pPr>
      <w:bookmarkStart w:id="2" w:name="_Hlk168581943"/>
      <w:bookmarkEnd w:id="1"/>
      <w:r>
        <w:t>9</w:t>
      </w:r>
      <w:r w:rsidR="00C91DB2">
        <w:t xml:space="preserve">. </w:t>
      </w:r>
      <w:r w:rsidR="00A81848" w:rsidRPr="001C6343">
        <w:t xml:space="preserve">Kvalifikacijos </w:t>
      </w:r>
      <w:r w:rsidR="001A6800" w:rsidRPr="001C6343">
        <w:t xml:space="preserve">reikalavimai </w:t>
      </w:r>
      <w:r w:rsidR="003F35BE">
        <w:t>T</w:t>
      </w:r>
      <w:r w:rsidR="00412F98">
        <w:t>iekėjams</w:t>
      </w:r>
      <w:r w:rsidR="006601A4">
        <w:t>:</w:t>
      </w:r>
    </w:p>
    <w:p w14:paraId="57BB48BF" w14:textId="006ABBCA" w:rsidR="006601A4" w:rsidRDefault="007F5730" w:rsidP="00BB46D7">
      <w:pPr>
        <w:ind w:left="-90" w:firstLine="941"/>
        <w:jc w:val="both"/>
      </w:pPr>
      <w:r>
        <w:t>9</w:t>
      </w:r>
      <w:r w:rsidR="003F35BE">
        <w:t>.1. Tiekėjas</w:t>
      </w:r>
      <w:r w:rsidR="0061545A">
        <w:t>,</w:t>
      </w:r>
      <w:r w:rsidR="003F35BE">
        <w:t xml:space="preserve"> dalyvaujantis pirkime</w:t>
      </w:r>
      <w:r w:rsidR="0061545A">
        <w:t>,</w:t>
      </w:r>
      <w:r w:rsidR="003F35BE">
        <w:t xml:space="preserve"> turi atitikti šiuos kvalifikacijos reikalavimus:</w:t>
      </w:r>
    </w:p>
    <w:p w14:paraId="7C4ED5B9" w14:textId="77777777" w:rsidR="00C125C8" w:rsidRPr="00C125C8" w:rsidRDefault="00C125C8" w:rsidP="00F75938">
      <w:pPr>
        <w:ind w:left="-90" w:firstLine="941"/>
        <w:jc w:val="both"/>
        <w:rPr>
          <w:sz w:val="16"/>
          <w:szCs w:val="16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00"/>
        <w:gridCol w:w="4422"/>
      </w:tblGrid>
      <w:tr w:rsidR="009F2F62" w:rsidRPr="006601A4" w14:paraId="3257CB9B" w14:textId="77777777" w:rsidTr="009F2F62">
        <w:trPr>
          <w:trHeight w:val="463"/>
        </w:trPr>
        <w:tc>
          <w:tcPr>
            <w:tcW w:w="675" w:type="dxa"/>
          </w:tcPr>
          <w:p w14:paraId="1DD4666B" w14:textId="24E945AF" w:rsidR="009F2F62" w:rsidRPr="009F2F62" w:rsidRDefault="009F2F62" w:rsidP="009F2F6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F2F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400" w:type="dxa"/>
          </w:tcPr>
          <w:p w14:paraId="7869D6C8" w14:textId="01F014E6" w:rsidR="009F2F62" w:rsidRPr="009F2F62" w:rsidRDefault="009F2F62" w:rsidP="00F6130B">
            <w:pPr>
              <w:ind w:firstLine="213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F2F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Kvalifikacijos reikalavimai</w:t>
            </w:r>
          </w:p>
        </w:tc>
        <w:tc>
          <w:tcPr>
            <w:tcW w:w="4422" w:type="dxa"/>
          </w:tcPr>
          <w:p w14:paraId="0F61B48A" w14:textId="0C02487E" w:rsidR="009F2F62" w:rsidRPr="000E3949" w:rsidRDefault="009F2F62" w:rsidP="00F6130B">
            <w:pPr>
              <w:ind w:firstLine="203"/>
              <w:jc w:val="both"/>
              <w:rPr>
                <w:rFonts w:asciiTheme="majorBidi" w:hAnsiTheme="majorBidi" w:cstheme="majorBidi"/>
              </w:rPr>
            </w:pPr>
            <w:r w:rsidRPr="007F573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Atitiktį reikalavimams patvirtinantys dokumentai, duomenys ir informacija</w:t>
            </w:r>
          </w:p>
        </w:tc>
      </w:tr>
      <w:tr w:rsidR="007F5730" w:rsidRPr="006601A4" w14:paraId="29213243" w14:textId="77777777" w:rsidTr="00F6130B">
        <w:trPr>
          <w:trHeight w:val="969"/>
        </w:trPr>
        <w:tc>
          <w:tcPr>
            <w:tcW w:w="675" w:type="dxa"/>
          </w:tcPr>
          <w:p w14:paraId="5075545C" w14:textId="38E46CB1" w:rsidR="007F5730" w:rsidRPr="00BC6E4F" w:rsidRDefault="007F5730" w:rsidP="00BB46D7">
            <w:pPr>
              <w:ind w:firstLine="941"/>
              <w:jc w:val="center"/>
              <w:rPr>
                <w:rFonts w:eastAsia="Calibri"/>
                <w:lang w:eastAsia="en-US"/>
              </w:rPr>
            </w:pPr>
            <w:r w:rsidRPr="009004E6">
              <w:rPr>
                <w:rFonts w:asciiTheme="majorBidi" w:hAnsiTheme="majorBidi" w:cstheme="majorBidi"/>
              </w:rPr>
              <w:t>1</w:t>
            </w:r>
            <w:r w:rsidR="002A5BCB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4400" w:type="dxa"/>
          </w:tcPr>
          <w:p w14:paraId="4032229E" w14:textId="022364FF" w:rsidR="007F5730" w:rsidRPr="006601A4" w:rsidRDefault="00BF47D2" w:rsidP="00F6130B">
            <w:pPr>
              <w:ind w:firstLine="213"/>
              <w:jc w:val="both"/>
              <w:rPr>
                <w:rFonts w:eastAsia="Calibri"/>
                <w:lang w:eastAsia="en-US"/>
              </w:rPr>
            </w:pPr>
            <w:bookmarkStart w:id="3" w:name="_Hlk170220518"/>
            <w:r>
              <w:rPr>
                <w:rFonts w:asciiTheme="majorBidi" w:hAnsiTheme="majorBidi" w:cstheme="majorBidi"/>
              </w:rPr>
              <w:t>Tiekėja</w:t>
            </w:r>
            <w:r w:rsidR="007F5730" w:rsidRPr="009004E6">
              <w:rPr>
                <w:rFonts w:asciiTheme="majorBidi" w:hAnsiTheme="majorBidi" w:cstheme="majorBidi"/>
              </w:rPr>
              <w:t xml:space="preserve">s yra parengęs </w:t>
            </w:r>
            <w:r w:rsidR="00C611DE">
              <w:rPr>
                <w:rFonts w:asciiTheme="majorBidi" w:hAnsiTheme="majorBidi" w:cstheme="majorBidi"/>
              </w:rPr>
              <w:t xml:space="preserve">ir pateikęs </w:t>
            </w:r>
            <w:r w:rsidR="007F5730" w:rsidRPr="009004E6">
              <w:rPr>
                <w:rFonts w:asciiTheme="majorBidi" w:hAnsiTheme="majorBidi" w:cstheme="majorBidi"/>
              </w:rPr>
              <w:t xml:space="preserve">bent </w:t>
            </w:r>
            <w:r w:rsidR="00345E24">
              <w:rPr>
                <w:rFonts w:asciiTheme="majorBidi" w:hAnsiTheme="majorBidi" w:cstheme="majorBidi"/>
              </w:rPr>
              <w:t xml:space="preserve">vieną </w:t>
            </w:r>
            <w:r w:rsidR="007F5730" w:rsidRPr="00BE6A67">
              <w:rPr>
                <w:rFonts w:asciiTheme="majorBidi" w:hAnsiTheme="majorBidi" w:cstheme="majorBidi"/>
              </w:rPr>
              <w:t xml:space="preserve">finansavimą </w:t>
            </w:r>
            <w:r w:rsidR="00426BA6" w:rsidRPr="00BE6A67">
              <w:rPr>
                <w:rFonts w:asciiTheme="majorBidi" w:hAnsiTheme="majorBidi" w:cstheme="majorBidi"/>
              </w:rPr>
              <w:t xml:space="preserve">laimėjusią </w:t>
            </w:r>
            <w:r w:rsidR="007F5730" w:rsidRPr="00BE6A67">
              <w:rPr>
                <w:rFonts w:asciiTheme="majorBidi" w:hAnsiTheme="majorBidi" w:cstheme="majorBidi"/>
                <w:color w:val="000000" w:themeColor="text1"/>
              </w:rPr>
              <w:t xml:space="preserve">ES „Europos horizonto“ programos </w:t>
            </w:r>
            <w:r w:rsidR="00345E24" w:rsidRPr="00BE6A67">
              <w:rPr>
                <w:rFonts w:asciiTheme="majorBidi" w:hAnsiTheme="majorBidi" w:cstheme="majorBidi"/>
                <w:color w:val="000000" w:themeColor="text1"/>
              </w:rPr>
              <w:t xml:space="preserve">paraišką </w:t>
            </w:r>
            <w:r w:rsidR="007F5730" w:rsidRPr="00BE6A67">
              <w:rPr>
                <w:rFonts w:asciiTheme="majorBidi" w:hAnsiTheme="majorBidi" w:cstheme="majorBidi"/>
                <w:color w:val="000000" w:themeColor="text1"/>
              </w:rPr>
              <w:t>vėžio tyrimų  tematika</w:t>
            </w:r>
            <w:bookmarkEnd w:id="3"/>
            <w:r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5E66CF07" w14:textId="5337EF82" w:rsidR="007F5730" w:rsidRPr="006601A4" w:rsidRDefault="007F5730" w:rsidP="00F6130B">
            <w:pPr>
              <w:ind w:firstLine="203"/>
              <w:jc w:val="both"/>
            </w:pPr>
            <w:r w:rsidRPr="000E3949">
              <w:rPr>
                <w:rFonts w:asciiTheme="majorBidi" w:hAnsiTheme="majorBidi" w:cstheme="majorBidi"/>
              </w:rPr>
              <w:t>Išraša</w:t>
            </w:r>
            <w:r w:rsidR="00B44759">
              <w:rPr>
                <w:rFonts w:asciiTheme="majorBidi" w:hAnsiTheme="majorBidi" w:cstheme="majorBidi"/>
              </w:rPr>
              <w:t>s (-a</w:t>
            </w:r>
            <w:r w:rsidRPr="000E3949">
              <w:rPr>
                <w:rFonts w:asciiTheme="majorBidi" w:hAnsiTheme="majorBidi" w:cstheme="majorBidi"/>
              </w:rPr>
              <w:t>i</w:t>
            </w:r>
            <w:r w:rsidR="00B44759">
              <w:rPr>
                <w:rFonts w:asciiTheme="majorBidi" w:hAnsiTheme="majorBidi" w:cstheme="majorBidi"/>
              </w:rPr>
              <w:t>)</w:t>
            </w:r>
            <w:r w:rsidRPr="000E3949">
              <w:rPr>
                <w:rFonts w:asciiTheme="majorBidi" w:hAnsiTheme="majorBidi" w:cstheme="majorBidi"/>
              </w:rPr>
              <w:t xml:space="preserve"> </w:t>
            </w:r>
            <w:r w:rsidRPr="00AA1C20">
              <w:t xml:space="preserve">iš </w:t>
            </w:r>
            <w:r w:rsidRPr="00AA1C20">
              <w:rPr>
                <w:color w:val="000000" w:themeColor="text1"/>
              </w:rPr>
              <w:t>ES paraiškų konkursų ir finansavimo portalo</w:t>
            </w:r>
            <w:r>
              <w:rPr>
                <w:color w:val="000000" w:themeColor="text1"/>
              </w:rPr>
              <w:t>.</w:t>
            </w:r>
          </w:p>
        </w:tc>
      </w:tr>
      <w:tr w:rsidR="007F5730" w:rsidRPr="006601A4" w14:paraId="5EDCBA3D" w14:textId="77777777" w:rsidTr="00F6130B">
        <w:trPr>
          <w:trHeight w:val="716"/>
        </w:trPr>
        <w:tc>
          <w:tcPr>
            <w:tcW w:w="675" w:type="dxa"/>
          </w:tcPr>
          <w:p w14:paraId="74D1599C" w14:textId="6098ABA7" w:rsidR="007F5730" w:rsidRPr="00BC6E4F" w:rsidRDefault="007F5730" w:rsidP="00BB46D7">
            <w:pPr>
              <w:ind w:firstLine="941"/>
              <w:jc w:val="center"/>
              <w:rPr>
                <w:rFonts w:eastAsia="Calibri"/>
                <w:lang w:eastAsia="en-US"/>
              </w:rPr>
            </w:pPr>
            <w:r w:rsidRPr="009004E6">
              <w:rPr>
                <w:rFonts w:asciiTheme="majorBidi" w:hAnsiTheme="majorBidi" w:cstheme="majorBidi"/>
              </w:rPr>
              <w:t>2</w:t>
            </w:r>
            <w:r w:rsidR="002A5BCB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4400" w:type="dxa"/>
          </w:tcPr>
          <w:p w14:paraId="1E67AA7D" w14:textId="7803C89F" w:rsidR="007F5730" w:rsidRDefault="00BF47D2" w:rsidP="00F6130B">
            <w:pPr>
              <w:ind w:firstLine="213"/>
              <w:jc w:val="both"/>
            </w:pPr>
            <w:r>
              <w:rPr>
                <w:rFonts w:asciiTheme="majorBidi" w:hAnsiTheme="majorBidi" w:cstheme="majorBidi"/>
              </w:rPr>
              <w:t>Tiekėja</w:t>
            </w:r>
            <w:r w:rsidR="007F5730" w:rsidRPr="009004E6">
              <w:rPr>
                <w:rFonts w:asciiTheme="majorBidi" w:hAnsiTheme="majorBidi" w:cstheme="majorBidi"/>
              </w:rPr>
              <w:t xml:space="preserve">s </w:t>
            </w:r>
            <w:r w:rsidR="007F5730" w:rsidRPr="009004E6">
              <w:rPr>
                <w:rFonts w:asciiTheme="majorBidi" w:hAnsiTheme="majorBidi" w:cstheme="majorBidi"/>
                <w:color w:val="000000" w:themeColor="text1"/>
              </w:rPr>
              <w:t xml:space="preserve">turi </w:t>
            </w:r>
            <w:r w:rsidR="007F5730">
              <w:rPr>
                <w:rFonts w:asciiTheme="majorBidi" w:hAnsiTheme="majorBidi" w:cstheme="majorBidi"/>
                <w:color w:val="000000" w:themeColor="text1"/>
              </w:rPr>
              <w:t>turėti ne mažiau</w:t>
            </w:r>
            <w:r w:rsidR="007F5730" w:rsidRPr="009004E6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7F5730">
              <w:rPr>
                <w:rFonts w:asciiTheme="majorBidi" w:hAnsiTheme="majorBidi" w:cstheme="majorBidi"/>
                <w:color w:val="000000" w:themeColor="text1"/>
              </w:rPr>
              <w:t xml:space="preserve">nei </w:t>
            </w:r>
            <w:r w:rsidR="00AF3D99" w:rsidRPr="00BB46D7">
              <w:rPr>
                <w:rFonts w:asciiTheme="majorBidi" w:hAnsiTheme="majorBidi" w:cstheme="majorBidi"/>
                <w:color w:val="000000" w:themeColor="text1"/>
                <w:lang w:val="pt-PT"/>
              </w:rPr>
              <w:t>2 (</w:t>
            </w:r>
            <w:r w:rsidR="00AF3D99">
              <w:rPr>
                <w:rFonts w:asciiTheme="majorBidi" w:hAnsiTheme="majorBidi" w:cstheme="majorBidi"/>
                <w:color w:val="000000" w:themeColor="text1"/>
              </w:rPr>
              <w:t>du)</w:t>
            </w:r>
            <w:r w:rsidR="007F5730" w:rsidRPr="009004E6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AF3D99">
              <w:rPr>
                <w:rFonts w:asciiTheme="majorBidi" w:hAnsiTheme="majorBidi" w:cstheme="majorBidi"/>
                <w:color w:val="000000" w:themeColor="text1"/>
              </w:rPr>
              <w:t>užsienio</w:t>
            </w:r>
            <w:r w:rsidR="007F5730" w:rsidRPr="009004E6">
              <w:rPr>
                <w:rFonts w:asciiTheme="majorBidi" w:hAnsiTheme="majorBidi" w:cstheme="majorBidi"/>
                <w:color w:val="000000" w:themeColor="text1"/>
              </w:rPr>
              <w:t xml:space="preserve"> partnerius, įgyvendinančius ES „Europos horizonto“ programos projektus.</w:t>
            </w:r>
          </w:p>
        </w:tc>
        <w:tc>
          <w:tcPr>
            <w:tcW w:w="4422" w:type="dxa"/>
          </w:tcPr>
          <w:p w14:paraId="0A0437C8" w14:textId="24AE027F" w:rsidR="007F5730" w:rsidRDefault="007F5730" w:rsidP="00F6130B">
            <w:pPr>
              <w:ind w:firstLine="203"/>
              <w:jc w:val="both"/>
            </w:pPr>
            <w:r w:rsidRPr="000E3949">
              <w:rPr>
                <w:rFonts w:asciiTheme="majorBidi" w:hAnsiTheme="majorBidi" w:cstheme="majorBidi"/>
              </w:rPr>
              <w:t xml:space="preserve">Išrašai </w:t>
            </w:r>
            <w:r w:rsidRPr="00AA1C20">
              <w:t xml:space="preserve">iš </w:t>
            </w:r>
            <w:r w:rsidRPr="00AA1C20">
              <w:rPr>
                <w:color w:val="000000" w:themeColor="text1"/>
              </w:rPr>
              <w:t>ES paraiškų konkursų ir finansavimo portalo</w:t>
            </w:r>
            <w:r>
              <w:rPr>
                <w:color w:val="000000" w:themeColor="text1"/>
              </w:rPr>
              <w:t xml:space="preserve">. </w:t>
            </w:r>
          </w:p>
        </w:tc>
      </w:tr>
      <w:tr w:rsidR="007F5730" w:rsidRPr="006601A4" w14:paraId="266B03DD" w14:textId="77777777" w:rsidTr="00F6130B">
        <w:trPr>
          <w:trHeight w:val="546"/>
        </w:trPr>
        <w:tc>
          <w:tcPr>
            <w:tcW w:w="675" w:type="dxa"/>
          </w:tcPr>
          <w:p w14:paraId="4C349DFE" w14:textId="67E3AA6E" w:rsidR="007F5730" w:rsidRPr="00BC6E4F" w:rsidRDefault="007F5730" w:rsidP="00BB46D7">
            <w:pPr>
              <w:ind w:firstLine="941"/>
              <w:jc w:val="center"/>
              <w:rPr>
                <w:rFonts w:eastAsia="Calibri"/>
                <w:lang w:eastAsia="en-US"/>
              </w:rPr>
            </w:pPr>
            <w:r w:rsidRPr="009004E6">
              <w:rPr>
                <w:rFonts w:asciiTheme="majorBidi" w:hAnsiTheme="majorBidi" w:cstheme="majorBidi"/>
              </w:rPr>
              <w:t>3</w:t>
            </w:r>
            <w:r w:rsidR="002A5BCB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4400" w:type="dxa"/>
          </w:tcPr>
          <w:p w14:paraId="199DF2F7" w14:textId="43150C3A" w:rsidR="007F5730" w:rsidRDefault="00BF47D2" w:rsidP="00F6130B">
            <w:pPr>
              <w:ind w:firstLine="213"/>
              <w:jc w:val="both"/>
            </w:pPr>
            <w:r>
              <w:rPr>
                <w:rFonts w:asciiTheme="majorBidi" w:hAnsiTheme="majorBidi" w:cstheme="majorBidi"/>
              </w:rPr>
              <w:t>Tiekė</w:t>
            </w:r>
            <w:r w:rsidR="007F5730" w:rsidRPr="009004E6">
              <w:rPr>
                <w:rFonts w:asciiTheme="majorBidi" w:hAnsiTheme="majorBidi" w:cstheme="majorBidi"/>
              </w:rPr>
              <w:t xml:space="preserve">jas yra </w:t>
            </w:r>
            <w:r w:rsidR="007F5730" w:rsidRPr="009004E6">
              <w:rPr>
                <w:rFonts w:asciiTheme="majorBidi" w:hAnsiTheme="majorBidi" w:cstheme="majorBidi"/>
                <w:color w:val="000000" w:themeColor="text1"/>
              </w:rPr>
              <w:t xml:space="preserve">dalyvavęs vykdant bent </w:t>
            </w:r>
            <w:r w:rsidR="007F5730">
              <w:rPr>
                <w:rFonts w:asciiTheme="majorBidi" w:hAnsiTheme="majorBidi" w:cstheme="majorBidi"/>
                <w:color w:val="000000" w:themeColor="text1"/>
              </w:rPr>
              <w:t>2 (</w:t>
            </w:r>
            <w:r w:rsidR="007F5730" w:rsidRPr="009004E6">
              <w:rPr>
                <w:rFonts w:asciiTheme="majorBidi" w:hAnsiTheme="majorBidi" w:cstheme="majorBidi"/>
                <w:color w:val="000000" w:themeColor="text1"/>
              </w:rPr>
              <w:t>du</w:t>
            </w:r>
            <w:r w:rsidR="007F5730">
              <w:rPr>
                <w:rFonts w:asciiTheme="majorBidi" w:hAnsiTheme="majorBidi" w:cstheme="majorBidi"/>
                <w:color w:val="000000" w:themeColor="text1"/>
              </w:rPr>
              <w:t>)</w:t>
            </w:r>
            <w:r w:rsidR="007F5730" w:rsidRPr="009004E6">
              <w:rPr>
                <w:rFonts w:asciiTheme="majorBidi" w:hAnsiTheme="majorBidi" w:cstheme="majorBidi"/>
                <w:color w:val="000000" w:themeColor="text1"/>
              </w:rPr>
              <w:t xml:space="preserve"> ES „Europos horizonto“ programos projektus kaip partneris ar pagrindinis vykdytojas.</w:t>
            </w:r>
          </w:p>
        </w:tc>
        <w:tc>
          <w:tcPr>
            <w:tcW w:w="4422" w:type="dxa"/>
          </w:tcPr>
          <w:p w14:paraId="5B7EB177" w14:textId="478826A8" w:rsidR="007F5730" w:rsidRDefault="007F5730" w:rsidP="00F6130B">
            <w:pPr>
              <w:ind w:firstLine="203"/>
              <w:jc w:val="both"/>
            </w:pPr>
            <w:r w:rsidRPr="000E3949">
              <w:rPr>
                <w:rFonts w:asciiTheme="majorBidi" w:hAnsiTheme="majorBidi" w:cstheme="majorBidi"/>
              </w:rPr>
              <w:t xml:space="preserve">Išrašai </w:t>
            </w:r>
            <w:r w:rsidRPr="00AA1C20">
              <w:t xml:space="preserve">iš </w:t>
            </w:r>
            <w:r w:rsidRPr="00AA1C20">
              <w:rPr>
                <w:color w:val="000000" w:themeColor="text1"/>
              </w:rPr>
              <w:t>ES paraiškų konkursų ir finansavimo portalo</w:t>
            </w:r>
            <w:r>
              <w:rPr>
                <w:color w:val="000000" w:themeColor="text1"/>
              </w:rPr>
              <w:t>.</w:t>
            </w:r>
          </w:p>
        </w:tc>
      </w:tr>
      <w:tr w:rsidR="007F5730" w:rsidRPr="006601A4" w14:paraId="7482601F" w14:textId="77777777" w:rsidTr="007F5730">
        <w:trPr>
          <w:trHeight w:val="992"/>
        </w:trPr>
        <w:tc>
          <w:tcPr>
            <w:tcW w:w="675" w:type="dxa"/>
          </w:tcPr>
          <w:p w14:paraId="75B1B5A3" w14:textId="53C08D2A" w:rsidR="007F5730" w:rsidRPr="00BC6E4F" w:rsidRDefault="007F5730" w:rsidP="00BB46D7">
            <w:pPr>
              <w:ind w:firstLine="941"/>
              <w:jc w:val="center"/>
              <w:rPr>
                <w:rFonts w:eastAsia="Calibri"/>
                <w:lang w:eastAsia="en-US"/>
              </w:rPr>
            </w:pPr>
            <w:r w:rsidRPr="009004E6">
              <w:rPr>
                <w:rFonts w:asciiTheme="majorBidi" w:hAnsiTheme="majorBidi" w:cstheme="majorBidi"/>
              </w:rPr>
              <w:t>4</w:t>
            </w:r>
            <w:r w:rsidR="002A5BCB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4400" w:type="dxa"/>
          </w:tcPr>
          <w:p w14:paraId="3D9221D4" w14:textId="4A59CA82" w:rsidR="007F5730" w:rsidRPr="00293DBC" w:rsidRDefault="00BF47D2" w:rsidP="00F6130B">
            <w:pPr>
              <w:ind w:firstLine="213"/>
              <w:jc w:val="both"/>
            </w:pPr>
            <w:r>
              <w:rPr>
                <w:rFonts w:asciiTheme="majorBidi" w:hAnsiTheme="majorBidi" w:cstheme="majorBidi"/>
                <w:color w:val="000000" w:themeColor="text1"/>
              </w:rPr>
              <w:t>Tiek</w:t>
            </w:r>
            <w:r w:rsidR="007F5730" w:rsidRPr="0061545A">
              <w:rPr>
                <w:rFonts w:asciiTheme="majorBidi" w:hAnsiTheme="majorBidi" w:cstheme="majorBidi"/>
                <w:color w:val="000000" w:themeColor="text1"/>
              </w:rPr>
              <w:t xml:space="preserve">ėjas </w:t>
            </w:r>
            <w:r w:rsidR="005B1F98" w:rsidRPr="0061545A">
              <w:rPr>
                <w:rFonts w:asciiTheme="majorBidi" w:hAnsiTheme="majorBidi" w:cstheme="majorBidi"/>
                <w:color w:val="000000" w:themeColor="text1"/>
              </w:rPr>
              <w:t>privalo turėti arba</w:t>
            </w:r>
            <w:r w:rsidR="00EF12B3" w:rsidRPr="0061545A">
              <w:rPr>
                <w:rFonts w:asciiTheme="majorBidi" w:hAnsiTheme="majorBidi" w:cstheme="majorBidi"/>
                <w:color w:val="000000" w:themeColor="text1"/>
              </w:rPr>
              <w:t xml:space="preserve"> pasi</w:t>
            </w:r>
            <w:r w:rsidR="00CC6BFC" w:rsidRPr="0061545A">
              <w:rPr>
                <w:rFonts w:asciiTheme="majorBidi" w:hAnsiTheme="majorBidi" w:cstheme="majorBidi"/>
                <w:color w:val="000000" w:themeColor="text1"/>
              </w:rPr>
              <w:t>telkti</w:t>
            </w:r>
            <w:r w:rsidR="00EF12B3" w:rsidRPr="0061545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2C283B" w:rsidRPr="0061545A">
              <w:rPr>
                <w:rFonts w:asciiTheme="majorBidi" w:hAnsiTheme="majorBidi" w:cstheme="majorBidi"/>
                <w:color w:val="000000" w:themeColor="text1"/>
              </w:rPr>
              <w:t>kvalifikuotą</w:t>
            </w:r>
            <w:r w:rsidR="002C283B">
              <w:rPr>
                <w:rFonts w:asciiTheme="majorBidi" w:hAnsiTheme="majorBidi" w:cstheme="majorBidi"/>
                <w:color w:val="000000" w:themeColor="text1"/>
              </w:rPr>
              <w:t xml:space="preserve"> personalą, </w:t>
            </w:r>
            <w:r w:rsidR="009A51DB">
              <w:rPr>
                <w:rFonts w:asciiTheme="majorBidi" w:hAnsiTheme="majorBidi" w:cstheme="majorBidi"/>
                <w:color w:val="000000" w:themeColor="text1"/>
              </w:rPr>
              <w:t xml:space="preserve">vertinusį </w:t>
            </w:r>
            <w:r w:rsidR="007F5730" w:rsidRPr="009004E6">
              <w:rPr>
                <w:rFonts w:asciiTheme="majorBidi" w:hAnsiTheme="majorBidi" w:cstheme="majorBidi"/>
                <w:color w:val="000000" w:themeColor="text1"/>
              </w:rPr>
              <w:t xml:space="preserve">ES „Europos Horizonto“ </w:t>
            </w:r>
            <w:r w:rsidR="00B06ED6" w:rsidRPr="00B06ED6">
              <w:rPr>
                <w:rFonts w:asciiTheme="majorBidi" w:hAnsiTheme="majorBidi" w:cstheme="majorBidi"/>
                <w:color w:val="000000" w:themeColor="text1"/>
              </w:rPr>
              <w:t>paraišk</w:t>
            </w:r>
            <w:r w:rsidR="009A51DB">
              <w:rPr>
                <w:rFonts w:asciiTheme="majorBidi" w:hAnsiTheme="majorBidi" w:cstheme="majorBidi"/>
                <w:color w:val="000000" w:themeColor="text1"/>
              </w:rPr>
              <w:t>as.</w:t>
            </w:r>
          </w:p>
        </w:tc>
        <w:tc>
          <w:tcPr>
            <w:tcW w:w="4422" w:type="dxa"/>
          </w:tcPr>
          <w:p w14:paraId="2A28A659" w14:textId="1C54EF8C" w:rsidR="007F5730" w:rsidRDefault="00B22B2E" w:rsidP="00F6130B">
            <w:pPr>
              <w:autoSpaceDN w:val="0"/>
              <w:snapToGrid w:val="0"/>
              <w:ind w:firstLine="203"/>
              <w:jc w:val="both"/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Įrodymai, kad </w:t>
            </w:r>
            <w:r w:rsidR="00007E1E">
              <w:rPr>
                <w:rFonts w:asciiTheme="majorBidi" w:hAnsiTheme="majorBidi" w:cstheme="majorBidi"/>
                <w:color w:val="000000" w:themeColor="text1"/>
              </w:rPr>
              <w:t>Tiekėjas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Sutarties vykdymo laikotarpiu naudosis eksperto paslaugomis (e</w:t>
            </w:r>
            <w:r w:rsidR="005120BA">
              <w:rPr>
                <w:rFonts w:asciiTheme="majorBidi" w:hAnsiTheme="majorBidi" w:cstheme="majorBidi"/>
                <w:color w:val="000000" w:themeColor="text1"/>
              </w:rPr>
              <w:t xml:space="preserve">ksperto darbo sutarties </w:t>
            </w:r>
            <w:r w:rsidR="00325575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</w:rPr>
              <w:t>ir (arba)</w:t>
            </w:r>
            <w:r w:rsidR="00EF12B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EF12B3" w:rsidRPr="00B22B2E">
              <w:rPr>
                <w:rFonts w:asciiTheme="majorBidi" w:hAnsiTheme="majorBidi" w:cstheme="majorBidi"/>
                <w:color w:val="000000" w:themeColor="text1"/>
              </w:rPr>
              <w:t>ketinimų protokol</w:t>
            </w:r>
            <w:r w:rsidRPr="00BB46D7">
              <w:rPr>
                <w:rFonts w:asciiTheme="majorBidi" w:hAnsiTheme="majorBidi" w:cstheme="majorBidi"/>
                <w:color w:val="000000" w:themeColor="text1"/>
              </w:rPr>
              <w:t>o kopija</w:t>
            </w:r>
            <w:r w:rsidR="00FD41D1" w:rsidRPr="00BB46D7">
              <w:rPr>
                <w:rFonts w:asciiTheme="majorBidi" w:hAnsiTheme="majorBidi" w:cstheme="majorBidi"/>
                <w:color w:val="000000" w:themeColor="text1"/>
              </w:rPr>
              <w:t>)</w:t>
            </w:r>
            <w:r w:rsidR="00B06ED6" w:rsidRPr="00B22B2E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</w:p>
        </w:tc>
      </w:tr>
    </w:tbl>
    <w:p w14:paraId="2482ACAD" w14:textId="77777777" w:rsidR="00954941" w:rsidRPr="00954941" w:rsidRDefault="00954941" w:rsidP="00F75938">
      <w:pPr>
        <w:ind w:left="-90" w:firstLine="941"/>
        <w:jc w:val="both"/>
        <w:rPr>
          <w:sz w:val="16"/>
          <w:szCs w:val="16"/>
        </w:rPr>
      </w:pPr>
    </w:p>
    <w:p w14:paraId="18A850EA" w14:textId="6FA5F661" w:rsidR="00C24B03" w:rsidRDefault="007F5730" w:rsidP="00BB46D7">
      <w:pPr>
        <w:ind w:left="-90" w:firstLine="941"/>
        <w:jc w:val="both"/>
      </w:pPr>
      <w:r>
        <w:t>9</w:t>
      </w:r>
      <w:r w:rsidR="00C24B03">
        <w:t>.2. Ekonomiškai naudingiausią pasiūlymą pateikusio Tiekėjo bus prašoma pateikti atitikimą kvalifikacijos reikalavimams</w:t>
      </w:r>
      <w:r w:rsidR="00393447">
        <w:t xml:space="preserve"> </w:t>
      </w:r>
      <w:r w:rsidR="00C24B03">
        <w:t>pagrindžiančius dokumentus</w:t>
      </w:r>
      <w:r w:rsidR="0061545A">
        <w:t>,</w:t>
      </w:r>
      <w:r w:rsidR="0061545A" w:rsidRPr="0061545A">
        <w:t xml:space="preserve"> nurodyt</w:t>
      </w:r>
      <w:r w:rsidR="0061545A">
        <w:t>us</w:t>
      </w:r>
      <w:r w:rsidR="0061545A" w:rsidRPr="0061545A">
        <w:t xml:space="preserve"> 9.1 papunktyje</w:t>
      </w:r>
      <w:r w:rsidR="00C24B03">
        <w:t xml:space="preserve">. </w:t>
      </w:r>
    </w:p>
    <w:p w14:paraId="1FA0203F" w14:textId="18B61172" w:rsidR="003F35BE" w:rsidRPr="003F35BE" w:rsidRDefault="004D1BED" w:rsidP="00BB46D7">
      <w:pPr>
        <w:ind w:left="-90" w:firstLine="941"/>
        <w:jc w:val="both"/>
      </w:pPr>
      <w:bookmarkStart w:id="4" w:name="_Hlk206766300"/>
      <w:r>
        <w:t>9</w:t>
      </w:r>
      <w:r w:rsidR="003F35BE">
        <w:t>.</w:t>
      </w:r>
      <w:r w:rsidR="00C24B03">
        <w:t>3</w:t>
      </w:r>
      <w:r w:rsidR="003F35BE">
        <w:t>.</w:t>
      </w:r>
      <w:r w:rsidR="00F6130B">
        <w:t xml:space="preserve"> </w:t>
      </w:r>
      <w:r w:rsidR="003F35BE">
        <w:t>J</w:t>
      </w:r>
      <w:r w:rsidR="003F35BE" w:rsidRPr="003F35BE">
        <w:t xml:space="preserve">eigu pasiūlymą teikia tiekėjų grupė – </w:t>
      </w:r>
      <w:r w:rsidR="00954941">
        <w:t xml:space="preserve">kvalifikacijos </w:t>
      </w:r>
      <w:r w:rsidR="003F35BE" w:rsidRPr="003F35BE">
        <w:t>reikalavim</w:t>
      </w:r>
      <w:r>
        <w:t>us</w:t>
      </w:r>
      <w:r w:rsidR="003F35BE" w:rsidRPr="003F35BE">
        <w:t xml:space="preserve"> turi atitikti visi tiekėjų grupės nariai kartu (tiekėjų grupės narių turima patirtis sumuojama), atsižvelgiant į jų prisiimamus įsipareigojimus</w:t>
      </w:r>
      <w:r w:rsidR="00652937">
        <w:t>.</w:t>
      </w:r>
    </w:p>
    <w:p w14:paraId="5D01DB70" w14:textId="39D99716" w:rsidR="003F35BE" w:rsidRPr="003F35BE" w:rsidRDefault="004D1BED" w:rsidP="00BB46D7">
      <w:pPr>
        <w:ind w:left="-90" w:firstLine="941"/>
        <w:jc w:val="both"/>
      </w:pPr>
      <w:r>
        <w:t>9</w:t>
      </w:r>
      <w:r w:rsidR="0082185F">
        <w:t>.</w:t>
      </w:r>
      <w:r w:rsidR="00C24B03">
        <w:t>4</w:t>
      </w:r>
      <w:r w:rsidR="0082185F">
        <w:t>. T</w:t>
      </w:r>
      <w:r w:rsidR="003F35BE" w:rsidRPr="003F35BE">
        <w:t xml:space="preserve">iekėjas gali remtis kitų ūkio subjektų pajėgumais tik tuo atveju, jeigu tie subjektai patys vykdys tą </w:t>
      </w:r>
      <w:r w:rsidR="00C95365">
        <w:t>S</w:t>
      </w:r>
      <w:r w:rsidR="003F35BE" w:rsidRPr="003F35BE">
        <w:t>utarties dalį, kuriai reikia jų turimų pajėgumų;</w:t>
      </w:r>
    </w:p>
    <w:p w14:paraId="7FF6B83D" w14:textId="274A6C6A" w:rsidR="006601A4" w:rsidRDefault="004D1BED" w:rsidP="00BB46D7">
      <w:pPr>
        <w:ind w:left="-90" w:firstLine="941"/>
        <w:jc w:val="both"/>
      </w:pPr>
      <w:r>
        <w:t>9</w:t>
      </w:r>
      <w:r w:rsidR="0082185F">
        <w:t>.</w:t>
      </w:r>
      <w:r w:rsidR="00C24B03">
        <w:t>5</w:t>
      </w:r>
      <w:r w:rsidR="0082185F">
        <w:t>.</w:t>
      </w:r>
      <w:r w:rsidRPr="004D1BED">
        <w:t xml:space="preserve"> </w:t>
      </w:r>
      <w:r w:rsidR="0082185F">
        <w:t>S</w:t>
      </w:r>
      <w:r w:rsidR="003F35BE" w:rsidRPr="003F35BE">
        <w:t>ubtiekėjams ši</w:t>
      </w:r>
      <w:r>
        <w:t>e</w:t>
      </w:r>
      <w:r w:rsidR="003F35BE" w:rsidRPr="003F35BE">
        <w:t xml:space="preserve"> reikalavima</w:t>
      </w:r>
      <w:r>
        <w:t>i</w:t>
      </w:r>
      <w:r w:rsidR="0082185F">
        <w:t xml:space="preserve"> </w:t>
      </w:r>
      <w:r w:rsidR="003F35BE" w:rsidRPr="003F35BE">
        <w:t>nenustatom</w:t>
      </w:r>
      <w:r>
        <w:t>i</w:t>
      </w:r>
      <w:r w:rsidR="00387B97" w:rsidRPr="00387B97">
        <w:t xml:space="preserve"> </w:t>
      </w:r>
      <w:r w:rsidR="00387B97">
        <w:t>(</w:t>
      </w:r>
      <w:r w:rsidR="00387B97" w:rsidRPr="00387B97">
        <w:t>jeigu nesiremiama jų pajėgumais, siekiant atitikti kvalifikaciją</w:t>
      </w:r>
      <w:r w:rsidR="00387B97">
        <w:t>)</w:t>
      </w:r>
      <w:r w:rsidR="003F35BE" w:rsidRPr="003F35BE">
        <w:t>.</w:t>
      </w:r>
    </w:p>
    <w:bookmarkEnd w:id="4"/>
    <w:p w14:paraId="3DDE84B7" w14:textId="7E8534BE" w:rsidR="00F807EC" w:rsidRPr="0039176A" w:rsidRDefault="004D1BED" w:rsidP="00C85264">
      <w:pPr>
        <w:ind w:left="-90" w:firstLine="941"/>
        <w:jc w:val="both"/>
      </w:pPr>
      <w:r>
        <w:lastRenderedPageBreak/>
        <w:t>10</w:t>
      </w:r>
      <w:r w:rsidR="00A220AD">
        <w:t xml:space="preserve">. </w:t>
      </w:r>
      <w:r w:rsidR="00412F98" w:rsidRPr="0039176A">
        <w:t>K</w:t>
      </w:r>
      <w:r w:rsidR="00A81848" w:rsidRPr="0039176A">
        <w:rPr>
          <w:color w:val="000000"/>
        </w:rPr>
        <w:t xml:space="preserve">okybės vadybos sistemos ir aplinkos apsaugos vadybos sistemos </w:t>
      </w:r>
      <w:r w:rsidR="001A6800" w:rsidRPr="0039176A">
        <w:rPr>
          <w:color w:val="000000"/>
        </w:rPr>
        <w:t xml:space="preserve">atitikimo standartams </w:t>
      </w:r>
      <w:r w:rsidR="00A81848" w:rsidRPr="0039176A">
        <w:t>reikalavimai</w:t>
      </w:r>
      <w:r w:rsidR="00A81848" w:rsidRPr="0039176A">
        <w:rPr>
          <w:color w:val="000000"/>
        </w:rPr>
        <w:t xml:space="preserve"> </w:t>
      </w:r>
      <w:r w:rsidR="00A81848" w:rsidRPr="0039176A">
        <w:t>t</w:t>
      </w:r>
      <w:r w:rsidR="00C740B7" w:rsidRPr="0039176A">
        <w:t xml:space="preserve">iekėjams </w:t>
      </w:r>
      <w:r w:rsidR="00A81848" w:rsidRPr="0039176A">
        <w:t>nėra keliami.</w:t>
      </w:r>
    </w:p>
    <w:bookmarkEnd w:id="2"/>
    <w:p w14:paraId="73FE6561" w14:textId="03FE4C3B" w:rsidR="008310A7" w:rsidRPr="0039176A" w:rsidRDefault="00047CB3" w:rsidP="00047CB3">
      <w:pPr>
        <w:ind w:firstLine="851"/>
        <w:jc w:val="both"/>
        <w:rPr>
          <w:b/>
        </w:rPr>
      </w:pPr>
      <w:r w:rsidRPr="00DC2C08">
        <w:t>1</w:t>
      </w:r>
      <w:r w:rsidR="004D1BED">
        <w:t>1</w:t>
      </w:r>
      <w:r w:rsidR="00C91DB2" w:rsidRPr="00DC2C08">
        <w:t xml:space="preserve">. </w:t>
      </w:r>
      <w:r w:rsidR="006F0F43" w:rsidRPr="006F0F43">
        <w:rPr>
          <w:b/>
          <w:bCs/>
        </w:rPr>
        <w:t>Maksimali lėšų suma</w:t>
      </w:r>
      <w:r w:rsidR="006F0F43" w:rsidRPr="006F0F43">
        <w:t xml:space="preserve"> </w:t>
      </w:r>
      <w:r w:rsidR="006F0F43">
        <w:t>P</w:t>
      </w:r>
      <w:r w:rsidR="006F0F43" w:rsidRPr="006F0F43">
        <w:t>aslaugų įsigijimui ‒ 15 000,00 Eur (penkiolika tūkstančių eurų</w:t>
      </w:r>
      <w:r w:rsidR="006F0F43">
        <w:t xml:space="preserve"> 00 ct</w:t>
      </w:r>
      <w:r w:rsidR="006F0F43" w:rsidRPr="006F0F43">
        <w:t>) be PVM</w:t>
      </w:r>
      <w:r w:rsidR="006F0F43">
        <w:t>,</w:t>
      </w:r>
      <w:r w:rsidR="006F0F43" w:rsidRPr="006F0F43">
        <w:t xml:space="preserve"> </w:t>
      </w:r>
      <w:r w:rsidR="006F0F43" w:rsidRPr="006F0F43">
        <w:rPr>
          <w:b/>
          <w:bCs/>
        </w:rPr>
        <w:t>18 150,00 Eur</w:t>
      </w:r>
      <w:r w:rsidR="006F0F43" w:rsidRPr="006F0F43">
        <w:t xml:space="preserve"> (aštuoniolika tūkstančių </w:t>
      </w:r>
      <w:r w:rsidR="006F0F43">
        <w:t xml:space="preserve">vienas </w:t>
      </w:r>
      <w:r w:rsidR="006F0F43" w:rsidRPr="006F0F43">
        <w:t>šimtas penkiasdešimt eurų</w:t>
      </w:r>
      <w:r w:rsidR="006F0F43">
        <w:t xml:space="preserve"> 00 ct</w:t>
      </w:r>
      <w:r w:rsidR="006F0F43" w:rsidRPr="006F0F43">
        <w:t xml:space="preserve">) su PVM. </w:t>
      </w:r>
      <w:r w:rsidR="00D23B1E" w:rsidRPr="00DC2C08">
        <w:t>P</w:t>
      </w:r>
      <w:r w:rsidR="001A6800" w:rsidRPr="00DC2C08">
        <w:rPr>
          <w:color w:val="000000"/>
        </w:rPr>
        <w:t>erkančioji organizacija</w:t>
      </w:r>
      <w:r w:rsidR="001A6800" w:rsidRPr="0039176A">
        <w:rPr>
          <w:color w:val="000000"/>
        </w:rPr>
        <w:t xml:space="preserve"> ekonomiškai naudingiausią pasiūlymą išrenka, vadovaudamasi mažiausios kainos kriterijumi.</w:t>
      </w:r>
    </w:p>
    <w:p w14:paraId="48E8310B" w14:textId="52D96967" w:rsidR="00EC69E7" w:rsidRPr="0039176A" w:rsidRDefault="00047CB3" w:rsidP="00047CB3">
      <w:pPr>
        <w:ind w:firstLine="851"/>
        <w:jc w:val="both"/>
      </w:pPr>
      <w:r w:rsidRPr="0039176A">
        <w:t>1</w:t>
      </w:r>
      <w:r w:rsidR="004D1BED">
        <w:t>2</w:t>
      </w:r>
      <w:r w:rsidR="00C91DB2" w:rsidRPr="0039176A">
        <w:t xml:space="preserve">. </w:t>
      </w:r>
      <w:r w:rsidR="00446334" w:rsidRPr="0039176A">
        <w:t xml:space="preserve">Tiekėjas, teikdamas pasiūlymą, visas galimas išlaidas, įskaitant išlaidas už </w:t>
      </w:r>
      <w:r w:rsidR="00912153" w:rsidRPr="0039176A">
        <w:t>elektroninės sąskaitos pateikimą</w:t>
      </w:r>
      <w:r w:rsidR="00446334" w:rsidRPr="0039176A">
        <w:t xml:space="preserve">, turi įskaičiuoti į pasiūlymo kainą. </w:t>
      </w:r>
    </w:p>
    <w:p w14:paraId="052E9311" w14:textId="7BDA0C73" w:rsidR="007B182E" w:rsidRPr="004D1BED" w:rsidRDefault="00047CB3" w:rsidP="00047CB3">
      <w:pPr>
        <w:ind w:firstLine="851"/>
        <w:jc w:val="both"/>
      </w:pPr>
      <w:r w:rsidRPr="004D1BED">
        <w:t>1</w:t>
      </w:r>
      <w:r w:rsidR="004D1BED">
        <w:t>3</w:t>
      </w:r>
      <w:r w:rsidR="00C91DB2" w:rsidRPr="004D1BED">
        <w:t xml:space="preserve">. </w:t>
      </w:r>
      <w:r w:rsidR="009A6294" w:rsidRPr="004D1BED">
        <w:t>Tiekėjo pateiktas pasiūlymas yra atmetamas, jeigu yra bent viena iš šių sąlygų:</w:t>
      </w:r>
    </w:p>
    <w:p w14:paraId="318D4550" w14:textId="44B3535C" w:rsidR="007C2D0A" w:rsidRPr="00BB46D7" w:rsidRDefault="00C91DB2" w:rsidP="007C2D0A">
      <w:pPr>
        <w:pStyle w:val="ListParagraph"/>
        <w:tabs>
          <w:tab w:val="left" w:pos="0"/>
          <w:tab w:val="left" w:pos="90"/>
          <w:tab w:val="left" w:pos="709"/>
          <w:tab w:val="left" w:pos="851"/>
          <w:tab w:val="left" w:pos="2977"/>
          <w:tab w:val="left" w:pos="5634"/>
        </w:tabs>
        <w:ind w:left="0" w:firstLine="851"/>
        <w:jc w:val="both"/>
        <w:rPr>
          <w:highlight w:val="yellow"/>
        </w:rPr>
      </w:pPr>
      <w:r w:rsidRPr="00194487">
        <w:t>1</w:t>
      </w:r>
      <w:r w:rsidR="004D1BED" w:rsidRPr="00194487">
        <w:t>3</w:t>
      </w:r>
      <w:r w:rsidRPr="00194487">
        <w:t>.</w:t>
      </w:r>
      <w:r w:rsidR="009A6294" w:rsidRPr="00194487">
        <w:t>1</w:t>
      </w:r>
      <w:r w:rsidRPr="00194487">
        <w:t>.</w:t>
      </w:r>
      <w:r w:rsidR="009A6294" w:rsidRPr="00194487">
        <w:t xml:space="preserve"> </w:t>
      </w:r>
      <w:r w:rsidR="00194487">
        <w:t xml:space="preserve">pasiūlymas neatitinka </w:t>
      </w:r>
      <w:r w:rsidR="00194487" w:rsidRPr="00194487">
        <w:t>pirkimo dokumentuose nustatyt</w:t>
      </w:r>
      <w:r w:rsidR="00194487">
        <w:t>ų</w:t>
      </w:r>
      <w:r w:rsidR="00194487" w:rsidRPr="00194487">
        <w:t xml:space="preserve"> reikalavim</w:t>
      </w:r>
      <w:r w:rsidR="00194487">
        <w:t>ų</w:t>
      </w:r>
      <w:r w:rsidR="00194487" w:rsidRPr="00194487">
        <w:t>, sąlyg</w:t>
      </w:r>
      <w:r w:rsidR="00194487">
        <w:t>ų</w:t>
      </w:r>
      <w:r w:rsidR="00194487" w:rsidRPr="00194487">
        <w:t xml:space="preserve"> ir kriterij</w:t>
      </w:r>
      <w:r w:rsidR="00194487">
        <w:t>ų;</w:t>
      </w:r>
    </w:p>
    <w:p w14:paraId="4D6DC5E8" w14:textId="4C027FCC" w:rsidR="009A6294" w:rsidRPr="004D1BED" w:rsidRDefault="007C2D0A" w:rsidP="00BB46D7">
      <w:pPr>
        <w:pStyle w:val="ListParagraph"/>
        <w:tabs>
          <w:tab w:val="left" w:pos="0"/>
          <w:tab w:val="left" w:pos="90"/>
          <w:tab w:val="left" w:pos="709"/>
          <w:tab w:val="left" w:pos="851"/>
          <w:tab w:val="left" w:pos="2977"/>
          <w:tab w:val="left" w:pos="5634"/>
        </w:tabs>
        <w:ind w:left="0" w:firstLine="851"/>
        <w:jc w:val="both"/>
      </w:pPr>
      <w:r w:rsidRPr="00194487">
        <w:t xml:space="preserve">13.2. </w:t>
      </w:r>
      <w:r w:rsidR="00194487">
        <w:t>T</w:t>
      </w:r>
      <w:r w:rsidR="00194487" w:rsidRPr="00194487">
        <w:t>iekėjas neatitinka pirkimo dokumentuose nustatytų kvalifikacijos reikalavimų;</w:t>
      </w:r>
    </w:p>
    <w:p w14:paraId="074E37F7" w14:textId="4DBF2782" w:rsidR="00197CF6" w:rsidRPr="004D1BED" w:rsidRDefault="00C91DB2" w:rsidP="00BB46D7">
      <w:pPr>
        <w:pStyle w:val="ListParagraph"/>
        <w:tabs>
          <w:tab w:val="left" w:pos="0"/>
          <w:tab w:val="left" w:pos="90"/>
          <w:tab w:val="left" w:pos="709"/>
          <w:tab w:val="left" w:pos="851"/>
          <w:tab w:val="left" w:pos="2977"/>
          <w:tab w:val="left" w:pos="5634"/>
        </w:tabs>
        <w:ind w:left="0" w:firstLine="851"/>
        <w:jc w:val="both"/>
      </w:pPr>
      <w:r w:rsidRPr="004D1BED">
        <w:t>1</w:t>
      </w:r>
      <w:r w:rsidR="004D1BED">
        <w:t>3</w:t>
      </w:r>
      <w:r w:rsidRPr="004D1BED">
        <w:t>.</w:t>
      </w:r>
      <w:r w:rsidR="007C2D0A" w:rsidRPr="00BB46D7">
        <w:t>3</w:t>
      </w:r>
      <w:r w:rsidRPr="004D1BED">
        <w:t>.</w:t>
      </w:r>
      <w:r w:rsidR="0082185F" w:rsidRPr="004D1BED">
        <w:t xml:space="preserve"> T</w:t>
      </w:r>
      <w:r w:rsidR="009A6294" w:rsidRPr="004D1BED">
        <w:t xml:space="preserve">iekėjas per perkančiosios organizacijos nustatytą terminą nepatikslino, nepapildė, nepaaiškino informacijos, kaip nustatyta </w:t>
      </w:r>
      <w:r w:rsidR="00197CF6" w:rsidRPr="004D1BED">
        <w:t>L</w:t>
      </w:r>
      <w:r w:rsidR="007C2D0A">
        <w:t>ietuvos Respublikos</w:t>
      </w:r>
      <w:r w:rsidR="00652937">
        <w:t xml:space="preserve"> </w:t>
      </w:r>
      <w:r w:rsidR="007C2D0A">
        <w:t>v</w:t>
      </w:r>
      <w:r w:rsidR="00197CF6" w:rsidRPr="004D1BED">
        <w:t>iešųjų</w:t>
      </w:r>
      <w:r w:rsidR="0075556E" w:rsidRPr="004D1BED">
        <w:t xml:space="preserve"> pirkimų įstatymo 45 str. 3 d.;</w:t>
      </w:r>
    </w:p>
    <w:p w14:paraId="5EC5BAAC" w14:textId="088223DC" w:rsidR="00197CF6" w:rsidRPr="004D1BED" w:rsidRDefault="00C91DB2" w:rsidP="00BB46D7">
      <w:pPr>
        <w:pStyle w:val="ListParagraph"/>
        <w:tabs>
          <w:tab w:val="left" w:pos="0"/>
          <w:tab w:val="left" w:pos="90"/>
          <w:tab w:val="left" w:pos="709"/>
          <w:tab w:val="left" w:pos="851"/>
          <w:tab w:val="left" w:pos="2977"/>
          <w:tab w:val="left" w:pos="5634"/>
        </w:tabs>
        <w:ind w:left="0" w:firstLine="851"/>
        <w:jc w:val="both"/>
      </w:pPr>
      <w:r w:rsidRPr="004D1BED">
        <w:t>1</w:t>
      </w:r>
      <w:r w:rsidR="004D1BED">
        <w:t>3</w:t>
      </w:r>
      <w:r w:rsidRPr="004D1BED">
        <w:t>.</w:t>
      </w:r>
      <w:r w:rsidR="007C2D0A">
        <w:t>4</w:t>
      </w:r>
      <w:r w:rsidRPr="004D1BED">
        <w:t>.</w:t>
      </w:r>
      <w:r w:rsidR="00197CF6" w:rsidRPr="004D1BED">
        <w:t xml:space="preserve"> </w:t>
      </w:r>
      <w:r w:rsidR="0082185F" w:rsidRPr="004D1BED">
        <w:t>P</w:t>
      </w:r>
      <w:r w:rsidR="009A6294" w:rsidRPr="004D1BED">
        <w:t>erkančiajai organizacijai pasiūlyta kain</w:t>
      </w:r>
      <w:r w:rsidR="00197CF6" w:rsidRPr="004D1BED">
        <w:t>a yra per didelė ir nepriimtina,</w:t>
      </w:r>
      <w:r w:rsidR="009A6294" w:rsidRPr="004D1BED">
        <w:t xml:space="preserve"> išskyrus </w:t>
      </w:r>
      <w:r w:rsidR="00197CF6" w:rsidRPr="004D1BED">
        <w:t>L</w:t>
      </w:r>
      <w:r w:rsidR="00652937">
        <w:t>ietuvos Respublikos</w:t>
      </w:r>
      <w:r w:rsidR="00197CF6" w:rsidRPr="004D1BED">
        <w:t xml:space="preserve"> </w:t>
      </w:r>
      <w:r w:rsidR="00652937">
        <w:t>v</w:t>
      </w:r>
      <w:r w:rsidR="009A6294" w:rsidRPr="004D1BED">
        <w:t>iešųjų pirkimų įstatymo 45 straipsnio 1 d</w:t>
      </w:r>
      <w:r w:rsidR="00197CF6" w:rsidRPr="004D1BED">
        <w:t>alies 5 punkte numatytus atvejus;</w:t>
      </w:r>
    </w:p>
    <w:p w14:paraId="62973E4F" w14:textId="26AAD5B0" w:rsidR="00737A9B" w:rsidRPr="004D1BED" w:rsidRDefault="00C91DB2" w:rsidP="00BB46D7">
      <w:pPr>
        <w:pStyle w:val="ListParagraph"/>
        <w:tabs>
          <w:tab w:val="left" w:pos="0"/>
          <w:tab w:val="left" w:pos="90"/>
          <w:tab w:val="left" w:pos="709"/>
          <w:tab w:val="left" w:pos="851"/>
          <w:tab w:val="left" w:pos="2977"/>
          <w:tab w:val="left" w:pos="5634"/>
        </w:tabs>
        <w:ind w:left="0" w:firstLine="851"/>
        <w:jc w:val="both"/>
      </w:pPr>
      <w:r w:rsidRPr="004D1BED">
        <w:t>1</w:t>
      </w:r>
      <w:r w:rsidR="004D1BED">
        <w:t>3</w:t>
      </w:r>
      <w:r w:rsidRPr="004D1BED">
        <w:t>.</w:t>
      </w:r>
      <w:r w:rsidR="007C2D0A">
        <w:t>5</w:t>
      </w:r>
      <w:r w:rsidRPr="004D1BED">
        <w:t>.</w:t>
      </w:r>
      <w:r w:rsidR="00197CF6" w:rsidRPr="004D1BED">
        <w:t xml:space="preserve"> </w:t>
      </w:r>
      <w:r w:rsidR="009A6294" w:rsidRPr="004D1BED">
        <w:t xml:space="preserve">pasiūlyme nurodyta neįprastai maža kaina ar sąnaudos ir </w:t>
      </w:r>
      <w:r w:rsidR="0082185F" w:rsidRPr="004D1BED">
        <w:t>T</w:t>
      </w:r>
      <w:r w:rsidR="009A6294" w:rsidRPr="004D1BED">
        <w:t>iekėjas nepateikia tinkamų pasiūlytos neįprastai mažos kainos ar sąnaudų</w:t>
      </w:r>
      <w:r w:rsidR="00197CF6" w:rsidRPr="004D1BED">
        <w:t xml:space="preserve"> pagrįstumo įrodymų.</w:t>
      </w:r>
    </w:p>
    <w:p w14:paraId="5917FF5D" w14:textId="1EB57046" w:rsidR="004D1BED" w:rsidRPr="004D1BED" w:rsidRDefault="0027011B" w:rsidP="004D1BED">
      <w:pPr>
        <w:pStyle w:val="Body2"/>
        <w:spacing w:after="0"/>
        <w:ind w:firstLine="851"/>
        <w:rPr>
          <w:sz w:val="24"/>
          <w:szCs w:val="24"/>
          <w:lang w:val="lt-LT"/>
        </w:rPr>
      </w:pPr>
      <w:r w:rsidRPr="004D1BED">
        <w:rPr>
          <w:sz w:val="24"/>
          <w:szCs w:val="24"/>
          <w:lang w:val="lt-LT"/>
        </w:rPr>
        <w:t>1</w:t>
      </w:r>
      <w:r w:rsidR="004D1BED">
        <w:rPr>
          <w:sz w:val="24"/>
          <w:szCs w:val="24"/>
          <w:lang w:val="lt-LT"/>
        </w:rPr>
        <w:t>4</w:t>
      </w:r>
      <w:r w:rsidRPr="004D1BED">
        <w:rPr>
          <w:sz w:val="24"/>
          <w:szCs w:val="24"/>
          <w:lang w:val="lt-LT"/>
        </w:rPr>
        <w:t xml:space="preserve">. </w:t>
      </w:r>
      <w:r w:rsidR="004D1BED" w:rsidRPr="004D1BED">
        <w:rPr>
          <w:sz w:val="24"/>
          <w:szCs w:val="24"/>
          <w:lang w:val="lt-LT"/>
        </w:rPr>
        <w:t>Vykdomas žaliasis pirkimas. Pirkimo objektas nėra įtrauktas į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4 punkte nurodytą sąrašą. Tačiau</w:t>
      </w:r>
      <w:r w:rsidR="00652937">
        <w:rPr>
          <w:sz w:val="24"/>
          <w:szCs w:val="24"/>
          <w:lang w:val="lt-LT"/>
        </w:rPr>
        <w:t>,</w:t>
      </w:r>
      <w:r w:rsidR="004D1BED" w:rsidRPr="004D1BED">
        <w:rPr>
          <w:sz w:val="24"/>
          <w:szCs w:val="24"/>
          <w:lang w:val="lt-LT"/>
        </w:rPr>
        <w:t xml:space="preserve"> vadovaujantis Aprašo 4.4.3 papunkčiu</w:t>
      </w:r>
      <w:r w:rsidR="00652937">
        <w:rPr>
          <w:sz w:val="24"/>
          <w:szCs w:val="24"/>
          <w:lang w:val="lt-LT"/>
        </w:rPr>
        <w:t>,</w:t>
      </w:r>
      <w:r w:rsidR="004D1BED" w:rsidRPr="004D1BED">
        <w:rPr>
          <w:sz w:val="24"/>
          <w:szCs w:val="24"/>
          <w:lang w:val="lt-LT"/>
        </w:rPr>
        <w:t xml:space="preserve"> perkama tik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p w14:paraId="5F3E5721" w14:textId="59EC3B5D" w:rsidR="00F734A3" w:rsidRPr="009D652B" w:rsidRDefault="00C91DB2" w:rsidP="004D1BED">
      <w:pPr>
        <w:pStyle w:val="Body2"/>
        <w:spacing w:after="0"/>
        <w:ind w:firstLine="851"/>
        <w:rPr>
          <w:sz w:val="24"/>
          <w:szCs w:val="24"/>
          <w:lang w:val="lt-LT"/>
        </w:rPr>
      </w:pPr>
      <w:r w:rsidRPr="009D652B">
        <w:rPr>
          <w:sz w:val="24"/>
          <w:szCs w:val="24"/>
          <w:lang w:val="lt-LT"/>
        </w:rPr>
        <w:t>1</w:t>
      </w:r>
      <w:r w:rsidR="004D1BED" w:rsidRPr="009D652B">
        <w:rPr>
          <w:sz w:val="24"/>
          <w:szCs w:val="24"/>
          <w:lang w:val="lt-LT"/>
        </w:rPr>
        <w:t>5</w:t>
      </w:r>
      <w:r w:rsidRPr="009D652B">
        <w:rPr>
          <w:sz w:val="24"/>
          <w:szCs w:val="24"/>
          <w:lang w:val="lt-LT"/>
        </w:rPr>
        <w:t xml:space="preserve">. </w:t>
      </w:r>
      <w:r w:rsidR="000019F5" w:rsidRPr="009D652B">
        <w:rPr>
          <w:sz w:val="24"/>
          <w:szCs w:val="24"/>
          <w:lang w:val="lt-LT"/>
        </w:rPr>
        <w:t xml:space="preserve">Pirkimas vykdomas elektroniniu būdu, naudojantis Centrinės viešųjų pirkimų informacinės sistemos (toliau </w:t>
      </w:r>
      <w:r w:rsidR="00101351" w:rsidRPr="009D652B">
        <w:rPr>
          <w:sz w:val="24"/>
          <w:szCs w:val="24"/>
          <w:lang w:val="lt-LT"/>
        </w:rPr>
        <w:t>–</w:t>
      </w:r>
      <w:r w:rsidR="000019F5" w:rsidRPr="009D652B">
        <w:rPr>
          <w:sz w:val="24"/>
          <w:szCs w:val="24"/>
          <w:lang w:val="lt-LT"/>
        </w:rPr>
        <w:t xml:space="preserve"> CVPI</w:t>
      </w:r>
      <w:r w:rsidR="00101351" w:rsidRPr="009D652B">
        <w:rPr>
          <w:sz w:val="24"/>
          <w:szCs w:val="24"/>
          <w:lang w:val="lt-LT"/>
        </w:rPr>
        <w:t>S</w:t>
      </w:r>
      <w:r w:rsidR="000019F5" w:rsidRPr="009D652B">
        <w:rPr>
          <w:sz w:val="24"/>
          <w:szCs w:val="24"/>
          <w:lang w:val="lt-LT"/>
        </w:rPr>
        <w:t>) priemonėmis. Elektroninėmis priemonėmis pasiūlymus gali teikti tik tie tiekėjai, kurie yra registruoti CVPIS</w:t>
      </w:r>
      <w:r w:rsidR="007110A1" w:rsidRPr="009D652B">
        <w:rPr>
          <w:sz w:val="24"/>
          <w:szCs w:val="24"/>
          <w:lang w:val="lt-LT"/>
        </w:rPr>
        <w:t xml:space="preserve">. </w:t>
      </w:r>
      <w:r w:rsidR="00912153" w:rsidRPr="009D652B">
        <w:rPr>
          <w:sz w:val="24"/>
          <w:szCs w:val="24"/>
          <w:lang w:val="lt-LT"/>
        </w:rPr>
        <w:t>Su pasiūlymais susipažįstama, naudojantis elektroninėmis priemonėmis.</w:t>
      </w:r>
    </w:p>
    <w:p w14:paraId="75A1858C" w14:textId="76AD8D8D" w:rsidR="00737A9B" w:rsidRPr="004D1BED" w:rsidRDefault="00C91DB2" w:rsidP="00047CB3">
      <w:pPr>
        <w:pStyle w:val="Body2"/>
        <w:spacing w:after="0"/>
        <w:ind w:firstLine="851"/>
        <w:rPr>
          <w:color w:val="000000" w:themeColor="text1"/>
          <w:sz w:val="24"/>
          <w:szCs w:val="24"/>
          <w:lang w:val="lt-LT"/>
        </w:rPr>
      </w:pPr>
      <w:r w:rsidRPr="004D1BED">
        <w:rPr>
          <w:color w:val="000000" w:themeColor="text1"/>
          <w:sz w:val="24"/>
          <w:szCs w:val="24"/>
          <w:lang w:val="lt-LT"/>
        </w:rPr>
        <w:t>1</w:t>
      </w:r>
      <w:r w:rsidR="004D1BED">
        <w:rPr>
          <w:color w:val="000000" w:themeColor="text1"/>
          <w:sz w:val="24"/>
          <w:szCs w:val="24"/>
          <w:lang w:val="lt-LT"/>
        </w:rPr>
        <w:t>6</w:t>
      </w:r>
      <w:r w:rsidRPr="004D1BED">
        <w:rPr>
          <w:color w:val="000000" w:themeColor="text1"/>
          <w:sz w:val="24"/>
          <w:szCs w:val="24"/>
          <w:lang w:val="lt-LT"/>
        </w:rPr>
        <w:t xml:space="preserve">. </w:t>
      </w:r>
      <w:r w:rsidR="00737A9B" w:rsidRPr="004D1BED">
        <w:rPr>
          <w:color w:val="000000" w:themeColor="text1"/>
          <w:sz w:val="24"/>
          <w:szCs w:val="24"/>
          <w:lang w:val="lt-LT"/>
        </w:rPr>
        <w:t xml:space="preserve">Perkančioji organizacija atsako į CVPIS priemonėmis pateiktą prašymą dėl pirkimo dokumentų patikslinimo, paaiškinimo, jei prašymas yra pateiktas ne vėliau kaip </w:t>
      </w:r>
      <w:r w:rsidR="00737A9B" w:rsidRPr="004D1BED">
        <w:rPr>
          <w:color w:val="auto"/>
          <w:sz w:val="24"/>
          <w:szCs w:val="24"/>
          <w:lang w:val="lt-LT"/>
        </w:rPr>
        <w:t>likus 2 darbo dienoms iki</w:t>
      </w:r>
      <w:r w:rsidR="00737A9B" w:rsidRPr="004D1BED">
        <w:rPr>
          <w:color w:val="000000" w:themeColor="text1"/>
          <w:sz w:val="24"/>
          <w:szCs w:val="24"/>
          <w:lang w:val="lt-LT"/>
        </w:rPr>
        <w:t xml:space="preserve"> pasiūlymų pateikimo termino pabaigos.</w:t>
      </w:r>
    </w:p>
    <w:p w14:paraId="508D2FAA" w14:textId="3DFA1ECD" w:rsidR="00A752CA" w:rsidRPr="004D1BED" w:rsidRDefault="00C91DB2" w:rsidP="00047CB3">
      <w:pPr>
        <w:pStyle w:val="Body2"/>
        <w:spacing w:after="0"/>
        <w:ind w:firstLine="851"/>
        <w:rPr>
          <w:color w:val="000000" w:themeColor="text1"/>
          <w:sz w:val="24"/>
          <w:szCs w:val="24"/>
          <w:lang w:val="lt-LT"/>
        </w:rPr>
      </w:pPr>
      <w:r w:rsidRPr="004D1BED">
        <w:rPr>
          <w:color w:val="000000" w:themeColor="text1"/>
          <w:sz w:val="24"/>
          <w:szCs w:val="24"/>
          <w:lang w:val="lt-LT"/>
        </w:rPr>
        <w:t>1</w:t>
      </w:r>
      <w:r w:rsidR="004D1BED">
        <w:rPr>
          <w:color w:val="000000" w:themeColor="text1"/>
          <w:sz w:val="24"/>
          <w:szCs w:val="24"/>
          <w:lang w:val="lt-LT"/>
        </w:rPr>
        <w:t>7</w:t>
      </w:r>
      <w:r w:rsidRPr="004D1BED">
        <w:rPr>
          <w:color w:val="000000" w:themeColor="text1"/>
          <w:sz w:val="24"/>
          <w:szCs w:val="24"/>
          <w:lang w:val="lt-LT"/>
        </w:rPr>
        <w:t xml:space="preserve">. </w:t>
      </w:r>
      <w:r w:rsidR="00737A9B" w:rsidRPr="004D1BED">
        <w:rPr>
          <w:color w:val="000000" w:themeColor="text1"/>
          <w:sz w:val="24"/>
          <w:szCs w:val="24"/>
          <w:lang w:val="lt-LT"/>
        </w:rPr>
        <w:t xml:space="preserve">Tiekėjo prašymu papildomi pirkimo dokumentai (paaiškinimai ar pataisymai) pateikiami CVPIS </w:t>
      </w:r>
      <w:r w:rsidR="00C36CFC" w:rsidRPr="004D1BED">
        <w:rPr>
          <w:color w:val="000000" w:themeColor="text1"/>
          <w:sz w:val="24"/>
          <w:szCs w:val="24"/>
          <w:lang w:val="lt-LT"/>
        </w:rPr>
        <w:t xml:space="preserve">priemonėmis </w:t>
      </w:r>
      <w:r w:rsidR="00737A9B" w:rsidRPr="004D1BED">
        <w:rPr>
          <w:color w:val="000000" w:themeColor="text1"/>
          <w:sz w:val="24"/>
          <w:szCs w:val="24"/>
          <w:lang w:val="lt-LT"/>
        </w:rPr>
        <w:t xml:space="preserve">ne vėliau kaip likus </w:t>
      </w:r>
      <w:r w:rsidR="00737A9B" w:rsidRPr="004D1BED">
        <w:rPr>
          <w:color w:val="auto"/>
          <w:sz w:val="24"/>
          <w:szCs w:val="24"/>
          <w:lang w:val="lt-LT"/>
        </w:rPr>
        <w:t>1 darbo dienai</w:t>
      </w:r>
      <w:r w:rsidR="00737A9B" w:rsidRPr="004D1BED">
        <w:rPr>
          <w:color w:val="000000" w:themeColor="text1"/>
          <w:sz w:val="24"/>
          <w:szCs w:val="24"/>
          <w:lang w:val="lt-LT"/>
        </w:rPr>
        <w:t xml:space="preserve"> iki pasiūlymų pateikimo termino pabaigos, jei jų paprašyta laiku. </w:t>
      </w:r>
    </w:p>
    <w:p w14:paraId="536A647F" w14:textId="222988E1" w:rsidR="00737A9B" w:rsidRPr="004D1BED" w:rsidRDefault="00C91DB2" w:rsidP="00047CB3">
      <w:pPr>
        <w:pStyle w:val="Body2"/>
        <w:spacing w:after="0"/>
        <w:ind w:firstLine="851"/>
        <w:rPr>
          <w:color w:val="auto"/>
          <w:sz w:val="24"/>
          <w:szCs w:val="24"/>
          <w:lang w:val="lt-LT"/>
        </w:rPr>
      </w:pPr>
      <w:r w:rsidRPr="004D1BED">
        <w:rPr>
          <w:sz w:val="24"/>
          <w:szCs w:val="24"/>
          <w:lang w:val="lt-LT"/>
        </w:rPr>
        <w:t>1</w:t>
      </w:r>
      <w:r w:rsidR="004D1BED">
        <w:rPr>
          <w:sz w:val="24"/>
          <w:szCs w:val="24"/>
          <w:lang w:val="lt-LT"/>
        </w:rPr>
        <w:t>8</w:t>
      </w:r>
      <w:r w:rsidRPr="004D1BED">
        <w:rPr>
          <w:sz w:val="24"/>
          <w:szCs w:val="24"/>
          <w:lang w:val="lt-LT"/>
        </w:rPr>
        <w:t xml:space="preserve">. </w:t>
      </w:r>
      <w:r w:rsidR="00677E94" w:rsidRPr="004D1BED">
        <w:rPr>
          <w:sz w:val="24"/>
          <w:szCs w:val="24"/>
          <w:lang w:val="lt-LT"/>
        </w:rPr>
        <w:t>Perkančioji organizacija</w:t>
      </w:r>
      <w:r w:rsidR="00737A9B" w:rsidRPr="004D1BED">
        <w:rPr>
          <w:sz w:val="24"/>
          <w:szCs w:val="24"/>
          <w:lang w:val="lt-LT"/>
        </w:rPr>
        <w:t xml:space="preserve"> rengti susitikimo su tiekėjais </w:t>
      </w:r>
      <w:r w:rsidR="00737A9B" w:rsidRPr="004D1BED">
        <w:rPr>
          <w:color w:val="auto"/>
          <w:sz w:val="24"/>
          <w:szCs w:val="24"/>
          <w:lang w:val="lt-LT"/>
        </w:rPr>
        <w:t>nenumato.</w:t>
      </w:r>
    </w:p>
    <w:p w14:paraId="7F6396C4" w14:textId="54D75FA2" w:rsidR="00F643B6" w:rsidRPr="004D1BED" w:rsidRDefault="00C91DB2" w:rsidP="00F643B6">
      <w:pPr>
        <w:pStyle w:val="Body2"/>
        <w:spacing w:after="0"/>
        <w:ind w:firstLine="851"/>
        <w:rPr>
          <w:sz w:val="24"/>
          <w:szCs w:val="24"/>
          <w:lang w:val="lt-LT"/>
        </w:rPr>
      </w:pPr>
      <w:r w:rsidRPr="004D1BED">
        <w:rPr>
          <w:sz w:val="24"/>
          <w:szCs w:val="24"/>
          <w:lang w:val="lt-LT"/>
        </w:rPr>
        <w:t>1</w:t>
      </w:r>
      <w:r w:rsidR="004D1BED">
        <w:rPr>
          <w:sz w:val="24"/>
          <w:szCs w:val="24"/>
          <w:lang w:val="lt-LT"/>
        </w:rPr>
        <w:t>9</w:t>
      </w:r>
      <w:r w:rsidRPr="004D1BED">
        <w:rPr>
          <w:sz w:val="24"/>
          <w:szCs w:val="24"/>
          <w:lang w:val="lt-LT"/>
        </w:rPr>
        <w:t xml:space="preserve">. </w:t>
      </w:r>
      <w:r w:rsidR="0039176A" w:rsidRPr="004D1BED">
        <w:rPr>
          <w:sz w:val="24"/>
          <w:szCs w:val="24"/>
          <w:lang w:val="lt-LT"/>
        </w:rPr>
        <w:t xml:space="preserve">Pasiūlymas teikiamas, užpildant pirkimo sąlygų 2 priedą </w:t>
      </w:r>
      <w:r w:rsidR="007110A1" w:rsidRPr="004D1BED">
        <w:rPr>
          <w:sz w:val="24"/>
          <w:szCs w:val="24"/>
          <w:lang w:val="lt-LT"/>
        </w:rPr>
        <w:t>„Pasiūlymo forma“</w:t>
      </w:r>
      <w:r w:rsidR="00C125C8" w:rsidRPr="004D1BED">
        <w:rPr>
          <w:sz w:val="24"/>
          <w:szCs w:val="24"/>
          <w:lang w:val="lt-LT"/>
        </w:rPr>
        <w:t>.</w:t>
      </w:r>
      <w:r w:rsidR="007110A1" w:rsidRPr="004D1BED">
        <w:rPr>
          <w:sz w:val="24"/>
          <w:szCs w:val="24"/>
          <w:lang w:val="lt-LT"/>
        </w:rPr>
        <w:t xml:space="preserve"> </w:t>
      </w:r>
      <w:r w:rsidR="001C6343" w:rsidRPr="004D1BED">
        <w:rPr>
          <w:sz w:val="24"/>
          <w:szCs w:val="24"/>
          <w:lang w:val="lt-LT"/>
        </w:rPr>
        <w:t>Pasiūlymas turi galioti ne trumpiau kaip 3 mėnesius nuo galutinio pasiūlymų pateikimo termino. Perkančioji organizacija nereikalauja pasiūlymo galiojimo užtikrinimo.</w:t>
      </w:r>
    </w:p>
    <w:p w14:paraId="6293ECBA" w14:textId="081C6859" w:rsidR="0070277B" w:rsidRPr="004D1BED" w:rsidRDefault="004D1BED" w:rsidP="00997C8D">
      <w:pPr>
        <w:ind w:firstLine="851"/>
        <w:jc w:val="both"/>
      </w:pPr>
      <w:r>
        <w:t>20</w:t>
      </w:r>
      <w:r w:rsidR="00C91DB2" w:rsidRPr="004D1BED">
        <w:t xml:space="preserve">. </w:t>
      </w:r>
      <w:r w:rsidR="00F734A3" w:rsidRPr="004D1BED">
        <w:t>Kviečiam</w:t>
      </w:r>
      <w:r w:rsidR="00737A9B" w:rsidRPr="004D1BED">
        <w:t xml:space="preserve">e Jus pateikti pasiūlymą </w:t>
      </w:r>
      <w:r w:rsidR="00F734A3" w:rsidRPr="004D1BED">
        <w:t xml:space="preserve">iki </w:t>
      </w:r>
      <w:r w:rsidR="00912153" w:rsidRPr="004D1BED">
        <w:t>skelbime apie pirkimą</w:t>
      </w:r>
      <w:r w:rsidR="00F734A3" w:rsidRPr="004D1BED">
        <w:t xml:space="preserve"> nurodyto termino pabaigos.</w:t>
      </w:r>
    </w:p>
    <w:p w14:paraId="772AFEE8" w14:textId="2F8D80D3" w:rsidR="003A6E54" w:rsidRDefault="00277E6D" w:rsidP="00047CB3">
      <w:pPr>
        <w:ind w:firstLine="851"/>
        <w:jc w:val="both"/>
      </w:pPr>
      <w:r>
        <w:t>PRIDEDAMA</w:t>
      </w:r>
      <w:r w:rsidR="003A6E54">
        <w:t>:</w:t>
      </w:r>
    </w:p>
    <w:p w14:paraId="47821247" w14:textId="2CB4BB68" w:rsidR="00C36CFC" w:rsidRDefault="00DF68AF" w:rsidP="00047CB3">
      <w:pPr>
        <w:ind w:firstLine="851"/>
        <w:jc w:val="both"/>
      </w:pPr>
      <w:r>
        <w:t xml:space="preserve">1 priedas </w:t>
      </w:r>
      <w:r w:rsidR="00047CB3">
        <w:t>T</w:t>
      </w:r>
      <w:r w:rsidR="00C36CFC">
        <w:t>echninė specifikacija</w:t>
      </w:r>
      <w:r>
        <w:t>;</w:t>
      </w:r>
    </w:p>
    <w:p w14:paraId="27D763E7" w14:textId="38959AB2" w:rsidR="00F77E35" w:rsidRDefault="00047CB3" w:rsidP="00962D8E">
      <w:pPr>
        <w:ind w:firstLine="851"/>
        <w:jc w:val="both"/>
      </w:pPr>
      <w:r>
        <w:t>2</w:t>
      </w:r>
      <w:r w:rsidR="00DF68AF">
        <w:t xml:space="preserve"> priedas</w:t>
      </w:r>
      <w:r>
        <w:t xml:space="preserve"> Pasiūlymo forma</w:t>
      </w:r>
      <w:r w:rsidR="00DF68AF">
        <w:t>;</w:t>
      </w:r>
    </w:p>
    <w:p w14:paraId="397E681C" w14:textId="330ED05F" w:rsidR="008471C2" w:rsidRPr="00876619" w:rsidRDefault="00C125C8" w:rsidP="00387B97">
      <w:pPr>
        <w:ind w:firstLine="851"/>
        <w:jc w:val="both"/>
      </w:pPr>
      <w:r>
        <w:t>3</w:t>
      </w:r>
      <w:r w:rsidR="00DF68AF">
        <w:t xml:space="preserve"> priedas </w:t>
      </w:r>
      <w:r w:rsidR="00115FCB">
        <w:t>S</w:t>
      </w:r>
      <w:r w:rsidR="00C04061" w:rsidRPr="00C04061">
        <w:t>utarties</w:t>
      </w:r>
      <w:r w:rsidR="007110A1" w:rsidRPr="00C04061">
        <w:t xml:space="preserve"> projektas.</w:t>
      </w:r>
    </w:p>
    <w:sectPr w:rsidR="008471C2" w:rsidRPr="00876619" w:rsidSect="006F0F43">
      <w:pgSz w:w="11907" w:h="16840" w:code="9"/>
      <w:pgMar w:top="102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6420" w14:textId="77777777" w:rsidR="0061313D" w:rsidRDefault="0061313D" w:rsidP="004C6590">
      <w:r>
        <w:separator/>
      </w:r>
    </w:p>
  </w:endnote>
  <w:endnote w:type="continuationSeparator" w:id="0">
    <w:p w14:paraId="606EBD86" w14:textId="77777777" w:rsidR="0061313D" w:rsidRDefault="0061313D" w:rsidP="004C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9A79" w14:textId="77777777" w:rsidR="0061313D" w:rsidRDefault="0061313D" w:rsidP="004C6590">
      <w:r>
        <w:separator/>
      </w:r>
    </w:p>
  </w:footnote>
  <w:footnote w:type="continuationSeparator" w:id="0">
    <w:p w14:paraId="5E64B7C1" w14:textId="77777777" w:rsidR="0061313D" w:rsidRDefault="0061313D" w:rsidP="004C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061500"/>
      <w:docPartObj>
        <w:docPartGallery w:val="Page Numbers (Top of Page)"/>
        <w:docPartUnique/>
      </w:docPartObj>
    </w:sdtPr>
    <w:sdtEndPr/>
    <w:sdtContent>
      <w:p w14:paraId="394C3EC3" w14:textId="0E6F1974" w:rsidR="004C6590" w:rsidRDefault="004C659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25135" w14:textId="77777777" w:rsidR="004C6590" w:rsidRDefault="004C6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169"/>
    <w:multiLevelType w:val="hybridMultilevel"/>
    <w:tmpl w:val="A4467E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263B"/>
    <w:multiLevelType w:val="hybridMultilevel"/>
    <w:tmpl w:val="47085886"/>
    <w:lvl w:ilvl="0" w:tplc="3056C3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7B242EF"/>
    <w:multiLevelType w:val="hybridMultilevel"/>
    <w:tmpl w:val="4894A9BC"/>
    <w:lvl w:ilvl="0" w:tplc="8D8224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7B4778B"/>
    <w:multiLevelType w:val="hybridMultilevel"/>
    <w:tmpl w:val="118A5FFA"/>
    <w:lvl w:ilvl="0" w:tplc="174627E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1EC94782"/>
    <w:multiLevelType w:val="hybridMultilevel"/>
    <w:tmpl w:val="023ADD24"/>
    <w:lvl w:ilvl="0" w:tplc="46243C82">
      <w:start w:val="1"/>
      <w:numFmt w:val="decimal"/>
      <w:lvlText w:val="%1)"/>
      <w:lvlJc w:val="left"/>
      <w:pPr>
        <w:ind w:left="1020" w:hanging="360"/>
      </w:pPr>
    </w:lvl>
    <w:lvl w:ilvl="1" w:tplc="C04C9864">
      <w:start w:val="1"/>
      <w:numFmt w:val="decimal"/>
      <w:lvlText w:val="%2)"/>
      <w:lvlJc w:val="left"/>
      <w:pPr>
        <w:ind w:left="1020" w:hanging="360"/>
      </w:pPr>
    </w:lvl>
    <w:lvl w:ilvl="2" w:tplc="BE80CF2E">
      <w:start w:val="1"/>
      <w:numFmt w:val="decimal"/>
      <w:lvlText w:val="%3)"/>
      <w:lvlJc w:val="left"/>
      <w:pPr>
        <w:ind w:left="1020" w:hanging="360"/>
      </w:pPr>
    </w:lvl>
    <w:lvl w:ilvl="3" w:tplc="D71A87EA">
      <w:start w:val="1"/>
      <w:numFmt w:val="decimal"/>
      <w:lvlText w:val="%4)"/>
      <w:lvlJc w:val="left"/>
      <w:pPr>
        <w:ind w:left="1020" w:hanging="360"/>
      </w:pPr>
    </w:lvl>
    <w:lvl w:ilvl="4" w:tplc="C48A8EF6">
      <w:start w:val="1"/>
      <w:numFmt w:val="decimal"/>
      <w:lvlText w:val="%5)"/>
      <w:lvlJc w:val="left"/>
      <w:pPr>
        <w:ind w:left="1020" w:hanging="360"/>
      </w:pPr>
    </w:lvl>
    <w:lvl w:ilvl="5" w:tplc="1F80EB3E">
      <w:start w:val="1"/>
      <w:numFmt w:val="decimal"/>
      <w:lvlText w:val="%6)"/>
      <w:lvlJc w:val="left"/>
      <w:pPr>
        <w:ind w:left="1020" w:hanging="360"/>
      </w:pPr>
    </w:lvl>
    <w:lvl w:ilvl="6" w:tplc="662E5282">
      <w:start w:val="1"/>
      <w:numFmt w:val="decimal"/>
      <w:lvlText w:val="%7)"/>
      <w:lvlJc w:val="left"/>
      <w:pPr>
        <w:ind w:left="1020" w:hanging="360"/>
      </w:pPr>
    </w:lvl>
    <w:lvl w:ilvl="7" w:tplc="A9F48608">
      <w:start w:val="1"/>
      <w:numFmt w:val="decimal"/>
      <w:lvlText w:val="%8)"/>
      <w:lvlJc w:val="left"/>
      <w:pPr>
        <w:ind w:left="1020" w:hanging="360"/>
      </w:pPr>
    </w:lvl>
    <w:lvl w:ilvl="8" w:tplc="4DFC4310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1FBF0F74"/>
    <w:multiLevelType w:val="hybridMultilevel"/>
    <w:tmpl w:val="220A3D6A"/>
    <w:lvl w:ilvl="0" w:tplc="76F88C46">
      <w:start w:val="1"/>
      <w:numFmt w:val="decimal"/>
      <w:lvlText w:val="%1)"/>
      <w:lvlJc w:val="left"/>
      <w:pPr>
        <w:ind w:left="720" w:hanging="360"/>
      </w:pPr>
    </w:lvl>
    <w:lvl w:ilvl="1" w:tplc="FD7C3DA2">
      <w:start w:val="1"/>
      <w:numFmt w:val="decimal"/>
      <w:lvlText w:val="%2)"/>
      <w:lvlJc w:val="left"/>
      <w:pPr>
        <w:ind w:left="720" w:hanging="360"/>
      </w:pPr>
    </w:lvl>
    <w:lvl w:ilvl="2" w:tplc="DE7CD304">
      <w:start w:val="1"/>
      <w:numFmt w:val="decimal"/>
      <w:lvlText w:val="%3)"/>
      <w:lvlJc w:val="left"/>
      <w:pPr>
        <w:ind w:left="720" w:hanging="360"/>
      </w:pPr>
    </w:lvl>
    <w:lvl w:ilvl="3" w:tplc="F1FE402E">
      <w:start w:val="1"/>
      <w:numFmt w:val="decimal"/>
      <w:lvlText w:val="%4)"/>
      <w:lvlJc w:val="left"/>
      <w:pPr>
        <w:ind w:left="720" w:hanging="360"/>
      </w:pPr>
    </w:lvl>
    <w:lvl w:ilvl="4" w:tplc="7C82E708">
      <w:start w:val="1"/>
      <w:numFmt w:val="decimal"/>
      <w:lvlText w:val="%5)"/>
      <w:lvlJc w:val="left"/>
      <w:pPr>
        <w:ind w:left="720" w:hanging="360"/>
      </w:pPr>
    </w:lvl>
    <w:lvl w:ilvl="5" w:tplc="9D6A591C">
      <w:start w:val="1"/>
      <w:numFmt w:val="decimal"/>
      <w:lvlText w:val="%6)"/>
      <w:lvlJc w:val="left"/>
      <w:pPr>
        <w:ind w:left="720" w:hanging="360"/>
      </w:pPr>
    </w:lvl>
    <w:lvl w:ilvl="6" w:tplc="167626EC">
      <w:start w:val="1"/>
      <w:numFmt w:val="decimal"/>
      <w:lvlText w:val="%7)"/>
      <w:lvlJc w:val="left"/>
      <w:pPr>
        <w:ind w:left="720" w:hanging="360"/>
      </w:pPr>
    </w:lvl>
    <w:lvl w:ilvl="7" w:tplc="87F0625C">
      <w:start w:val="1"/>
      <w:numFmt w:val="decimal"/>
      <w:lvlText w:val="%8)"/>
      <w:lvlJc w:val="left"/>
      <w:pPr>
        <w:ind w:left="720" w:hanging="360"/>
      </w:pPr>
    </w:lvl>
    <w:lvl w:ilvl="8" w:tplc="EED87A78">
      <w:start w:val="1"/>
      <w:numFmt w:val="decimal"/>
      <w:lvlText w:val="%9)"/>
      <w:lvlJc w:val="left"/>
      <w:pPr>
        <w:ind w:left="720" w:hanging="360"/>
      </w:pPr>
    </w:lvl>
  </w:abstractNum>
  <w:abstractNum w:abstractNumId="6" w15:restartNumberingAfterBreak="0">
    <w:nsid w:val="27BC1F17"/>
    <w:multiLevelType w:val="multilevel"/>
    <w:tmpl w:val="D13A32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32936259"/>
    <w:multiLevelType w:val="hybridMultilevel"/>
    <w:tmpl w:val="825205CE"/>
    <w:lvl w:ilvl="0" w:tplc="1FAC6B20">
      <w:start w:val="1"/>
      <w:numFmt w:val="decimal"/>
      <w:lvlText w:val="%1)"/>
      <w:lvlJc w:val="left"/>
      <w:pPr>
        <w:ind w:left="720" w:hanging="360"/>
      </w:pPr>
    </w:lvl>
    <w:lvl w:ilvl="1" w:tplc="260037B0">
      <w:start w:val="1"/>
      <w:numFmt w:val="decimal"/>
      <w:lvlText w:val="%2)"/>
      <w:lvlJc w:val="left"/>
      <w:pPr>
        <w:ind w:left="720" w:hanging="360"/>
      </w:pPr>
    </w:lvl>
    <w:lvl w:ilvl="2" w:tplc="CE8E956C">
      <w:start w:val="1"/>
      <w:numFmt w:val="decimal"/>
      <w:lvlText w:val="%3)"/>
      <w:lvlJc w:val="left"/>
      <w:pPr>
        <w:ind w:left="720" w:hanging="360"/>
      </w:pPr>
    </w:lvl>
    <w:lvl w:ilvl="3" w:tplc="DE52848E">
      <w:start w:val="1"/>
      <w:numFmt w:val="decimal"/>
      <w:lvlText w:val="%4)"/>
      <w:lvlJc w:val="left"/>
      <w:pPr>
        <w:ind w:left="720" w:hanging="360"/>
      </w:pPr>
    </w:lvl>
    <w:lvl w:ilvl="4" w:tplc="9DB84D9C">
      <w:start w:val="1"/>
      <w:numFmt w:val="decimal"/>
      <w:lvlText w:val="%5)"/>
      <w:lvlJc w:val="left"/>
      <w:pPr>
        <w:ind w:left="720" w:hanging="360"/>
      </w:pPr>
    </w:lvl>
    <w:lvl w:ilvl="5" w:tplc="E5CA2152">
      <w:start w:val="1"/>
      <w:numFmt w:val="decimal"/>
      <w:lvlText w:val="%6)"/>
      <w:lvlJc w:val="left"/>
      <w:pPr>
        <w:ind w:left="720" w:hanging="360"/>
      </w:pPr>
    </w:lvl>
    <w:lvl w:ilvl="6" w:tplc="A540FD40">
      <w:start w:val="1"/>
      <w:numFmt w:val="decimal"/>
      <w:lvlText w:val="%7)"/>
      <w:lvlJc w:val="left"/>
      <w:pPr>
        <w:ind w:left="720" w:hanging="360"/>
      </w:pPr>
    </w:lvl>
    <w:lvl w:ilvl="7" w:tplc="12E084BC">
      <w:start w:val="1"/>
      <w:numFmt w:val="decimal"/>
      <w:lvlText w:val="%8)"/>
      <w:lvlJc w:val="left"/>
      <w:pPr>
        <w:ind w:left="720" w:hanging="360"/>
      </w:pPr>
    </w:lvl>
    <w:lvl w:ilvl="8" w:tplc="8FBEE0D6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9" w15:restartNumberingAfterBreak="0">
    <w:nsid w:val="463240AF"/>
    <w:multiLevelType w:val="hybridMultilevel"/>
    <w:tmpl w:val="8F1234BA"/>
    <w:lvl w:ilvl="0" w:tplc="1C44E0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580330A8"/>
    <w:multiLevelType w:val="hybridMultilevel"/>
    <w:tmpl w:val="CDBC1F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47C36"/>
    <w:multiLevelType w:val="hybridMultilevel"/>
    <w:tmpl w:val="A8F418B4"/>
    <w:lvl w:ilvl="0" w:tplc="55E6AA3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 w15:restartNumberingAfterBreak="0">
    <w:nsid w:val="713834DC"/>
    <w:multiLevelType w:val="hybridMultilevel"/>
    <w:tmpl w:val="59D00B22"/>
    <w:lvl w:ilvl="0" w:tplc="9222B6EC">
      <w:start w:val="1"/>
      <w:numFmt w:val="decimal"/>
      <w:lvlText w:val="%1)"/>
      <w:lvlJc w:val="left"/>
      <w:pPr>
        <w:ind w:left="720" w:hanging="360"/>
      </w:pPr>
    </w:lvl>
    <w:lvl w:ilvl="1" w:tplc="FF88ADEE">
      <w:start w:val="1"/>
      <w:numFmt w:val="decimal"/>
      <w:lvlText w:val="%2)"/>
      <w:lvlJc w:val="left"/>
      <w:pPr>
        <w:ind w:left="720" w:hanging="360"/>
      </w:pPr>
    </w:lvl>
    <w:lvl w:ilvl="2" w:tplc="2C18E262">
      <w:start w:val="1"/>
      <w:numFmt w:val="decimal"/>
      <w:lvlText w:val="%3)"/>
      <w:lvlJc w:val="left"/>
      <w:pPr>
        <w:ind w:left="720" w:hanging="360"/>
      </w:pPr>
    </w:lvl>
    <w:lvl w:ilvl="3" w:tplc="4BC2CE8A">
      <w:start w:val="1"/>
      <w:numFmt w:val="decimal"/>
      <w:lvlText w:val="%4)"/>
      <w:lvlJc w:val="left"/>
      <w:pPr>
        <w:ind w:left="720" w:hanging="360"/>
      </w:pPr>
    </w:lvl>
    <w:lvl w:ilvl="4" w:tplc="167AA854">
      <w:start w:val="1"/>
      <w:numFmt w:val="decimal"/>
      <w:lvlText w:val="%5)"/>
      <w:lvlJc w:val="left"/>
      <w:pPr>
        <w:ind w:left="720" w:hanging="360"/>
      </w:pPr>
    </w:lvl>
    <w:lvl w:ilvl="5" w:tplc="084803A4">
      <w:start w:val="1"/>
      <w:numFmt w:val="decimal"/>
      <w:lvlText w:val="%6)"/>
      <w:lvlJc w:val="left"/>
      <w:pPr>
        <w:ind w:left="720" w:hanging="360"/>
      </w:pPr>
    </w:lvl>
    <w:lvl w:ilvl="6" w:tplc="0FD83C5E">
      <w:start w:val="1"/>
      <w:numFmt w:val="decimal"/>
      <w:lvlText w:val="%7)"/>
      <w:lvlJc w:val="left"/>
      <w:pPr>
        <w:ind w:left="720" w:hanging="360"/>
      </w:pPr>
    </w:lvl>
    <w:lvl w:ilvl="7" w:tplc="6262E040">
      <w:start w:val="1"/>
      <w:numFmt w:val="decimal"/>
      <w:lvlText w:val="%8)"/>
      <w:lvlJc w:val="left"/>
      <w:pPr>
        <w:ind w:left="720" w:hanging="360"/>
      </w:pPr>
    </w:lvl>
    <w:lvl w:ilvl="8" w:tplc="BC324262">
      <w:start w:val="1"/>
      <w:numFmt w:val="decimal"/>
      <w:lvlText w:val="%9)"/>
      <w:lvlJc w:val="left"/>
      <w:pPr>
        <w:ind w:left="720" w:hanging="360"/>
      </w:pPr>
    </w:lvl>
  </w:abstractNum>
  <w:abstractNum w:abstractNumId="13" w15:restartNumberingAfterBreak="0">
    <w:nsid w:val="754B1A67"/>
    <w:multiLevelType w:val="hybridMultilevel"/>
    <w:tmpl w:val="1714D238"/>
    <w:lvl w:ilvl="0" w:tplc="D45A2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ED5FD8"/>
    <w:multiLevelType w:val="hybridMultilevel"/>
    <w:tmpl w:val="7ECCC00E"/>
    <w:lvl w:ilvl="0" w:tplc="9392EA48">
      <w:start w:val="1"/>
      <w:numFmt w:val="decimal"/>
      <w:lvlText w:val="%1)"/>
      <w:lvlJc w:val="left"/>
      <w:pPr>
        <w:ind w:left="720" w:hanging="360"/>
      </w:pPr>
    </w:lvl>
    <w:lvl w:ilvl="1" w:tplc="4A540606">
      <w:start w:val="1"/>
      <w:numFmt w:val="decimal"/>
      <w:lvlText w:val="%2)"/>
      <w:lvlJc w:val="left"/>
      <w:pPr>
        <w:ind w:left="720" w:hanging="360"/>
      </w:pPr>
    </w:lvl>
    <w:lvl w:ilvl="2" w:tplc="8ABA6F7A">
      <w:start w:val="1"/>
      <w:numFmt w:val="decimal"/>
      <w:lvlText w:val="%3)"/>
      <w:lvlJc w:val="left"/>
      <w:pPr>
        <w:ind w:left="720" w:hanging="360"/>
      </w:pPr>
    </w:lvl>
    <w:lvl w:ilvl="3" w:tplc="3118C366">
      <w:start w:val="1"/>
      <w:numFmt w:val="decimal"/>
      <w:lvlText w:val="%4)"/>
      <w:lvlJc w:val="left"/>
      <w:pPr>
        <w:ind w:left="720" w:hanging="360"/>
      </w:pPr>
    </w:lvl>
    <w:lvl w:ilvl="4" w:tplc="B0F8B420">
      <w:start w:val="1"/>
      <w:numFmt w:val="decimal"/>
      <w:lvlText w:val="%5)"/>
      <w:lvlJc w:val="left"/>
      <w:pPr>
        <w:ind w:left="720" w:hanging="360"/>
      </w:pPr>
    </w:lvl>
    <w:lvl w:ilvl="5" w:tplc="BD96975E">
      <w:start w:val="1"/>
      <w:numFmt w:val="decimal"/>
      <w:lvlText w:val="%6)"/>
      <w:lvlJc w:val="left"/>
      <w:pPr>
        <w:ind w:left="720" w:hanging="360"/>
      </w:pPr>
    </w:lvl>
    <w:lvl w:ilvl="6" w:tplc="81C285FE">
      <w:start w:val="1"/>
      <w:numFmt w:val="decimal"/>
      <w:lvlText w:val="%7)"/>
      <w:lvlJc w:val="left"/>
      <w:pPr>
        <w:ind w:left="720" w:hanging="360"/>
      </w:pPr>
    </w:lvl>
    <w:lvl w:ilvl="7" w:tplc="E70415B2">
      <w:start w:val="1"/>
      <w:numFmt w:val="decimal"/>
      <w:lvlText w:val="%8)"/>
      <w:lvlJc w:val="left"/>
      <w:pPr>
        <w:ind w:left="720" w:hanging="360"/>
      </w:pPr>
    </w:lvl>
    <w:lvl w:ilvl="8" w:tplc="BE8CA68E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7957563F"/>
    <w:multiLevelType w:val="hybridMultilevel"/>
    <w:tmpl w:val="D45A36D8"/>
    <w:lvl w:ilvl="0" w:tplc="4CE2F014">
      <w:start w:val="1"/>
      <w:numFmt w:val="decimal"/>
      <w:lvlText w:val="%1)"/>
      <w:lvlJc w:val="left"/>
      <w:pPr>
        <w:ind w:left="720" w:hanging="360"/>
      </w:pPr>
    </w:lvl>
    <w:lvl w:ilvl="1" w:tplc="B3E6ECEC">
      <w:start w:val="1"/>
      <w:numFmt w:val="decimal"/>
      <w:lvlText w:val="%2)"/>
      <w:lvlJc w:val="left"/>
      <w:pPr>
        <w:ind w:left="720" w:hanging="360"/>
      </w:pPr>
    </w:lvl>
    <w:lvl w:ilvl="2" w:tplc="BAA835B2">
      <w:start w:val="1"/>
      <w:numFmt w:val="decimal"/>
      <w:lvlText w:val="%3)"/>
      <w:lvlJc w:val="left"/>
      <w:pPr>
        <w:ind w:left="720" w:hanging="360"/>
      </w:pPr>
    </w:lvl>
    <w:lvl w:ilvl="3" w:tplc="4A3C6BFC">
      <w:start w:val="1"/>
      <w:numFmt w:val="decimal"/>
      <w:lvlText w:val="%4)"/>
      <w:lvlJc w:val="left"/>
      <w:pPr>
        <w:ind w:left="720" w:hanging="360"/>
      </w:pPr>
    </w:lvl>
    <w:lvl w:ilvl="4" w:tplc="FF064614">
      <w:start w:val="1"/>
      <w:numFmt w:val="decimal"/>
      <w:lvlText w:val="%5)"/>
      <w:lvlJc w:val="left"/>
      <w:pPr>
        <w:ind w:left="720" w:hanging="360"/>
      </w:pPr>
    </w:lvl>
    <w:lvl w:ilvl="5" w:tplc="E5D6DC28">
      <w:start w:val="1"/>
      <w:numFmt w:val="decimal"/>
      <w:lvlText w:val="%6)"/>
      <w:lvlJc w:val="left"/>
      <w:pPr>
        <w:ind w:left="720" w:hanging="360"/>
      </w:pPr>
    </w:lvl>
    <w:lvl w:ilvl="6" w:tplc="9C2E4212">
      <w:start w:val="1"/>
      <w:numFmt w:val="decimal"/>
      <w:lvlText w:val="%7)"/>
      <w:lvlJc w:val="left"/>
      <w:pPr>
        <w:ind w:left="720" w:hanging="360"/>
      </w:pPr>
    </w:lvl>
    <w:lvl w:ilvl="7" w:tplc="0532C334">
      <w:start w:val="1"/>
      <w:numFmt w:val="decimal"/>
      <w:lvlText w:val="%8)"/>
      <w:lvlJc w:val="left"/>
      <w:pPr>
        <w:ind w:left="720" w:hanging="360"/>
      </w:pPr>
    </w:lvl>
    <w:lvl w:ilvl="8" w:tplc="12DA85FC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7FCB6674"/>
    <w:multiLevelType w:val="hybridMultilevel"/>
    <w:tmpl w:val="7038A9A4"/>
    <w:lvl w:ilvl="0" w:tplc="CA58200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371420680">
    <w:abstractNumId w:val="11"/>
  </w:num>
  <w:num w:numId="2" w16cid:durableId="1667829065">
    <w:abstractNumId w:val="2"/>
  </w:num>
  <w:num w:numId="3" w16cid:durableId="1469125177">
    <w:abstractNumId w:val="1"/>
  </w:num>
  <w:num w:numId="4" w16cid:durableId="540481926">
    <w:abstractNumId w:val="9"/>
  </w:num>
  <w:num w:numId="5" w16cid:durableId="567958556">
    <w:abstractNumId w:val="10"/>
  </w:num>
  <w:num w:numId="6" w16cid:durableId="2099404399">
    <w:abstractNumId w:val="16"/>
  </w:num>
  <w:num w:numId="7" w16cid:durableId="1325862452">
    <w:abstractNumId w:val="3"/>
  </w:num>
  <w:num w:numId="8" w16cid:durableId="848761315">
    <w:abstractNumId w:val="6"/>
  </w:num>
  <w:num w:numId="9" w16cid:durableId="1146819060">
    <w:abstractNumId w:val="13"/>
  </w:num>
  <w:num w:numId="10" w16cid:durableId="1502699095">
    <w:abstractNumId w:val="8"/>
  </w:num>
  <w:num w:numId="11" w16cid:durableId="375859688">
    <w:abstractNumId w:val="0"/>
  </w:num>
  <w:num w:numId="12" w16cid:durableId="276257156">
    <w:abstractNumId w:val="4"/>
  </w:num>
  <w:num w:numId="13" w16cid:durableId="1159424519">
    <w:abstractNumId w:val="15"/>
  </w:num>
  <w:num w:numId="14" w16cid:durableId="189103076">
    <w:abstractNumId w:val="12"/>
  </w:num>
  <w:num w:numId="15" w16cid:durableId="342244426">
    <w:abstractNumId w:val="14"/>
  </w:num>
  <w:num w:numId="16" w16cid:durableId="1990018417">
    <w:abstractNumId w:val="5"/>
  </w:num>
  <w:num w:numId="17" w16cid:durableId="400520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F2"/>
    <w:rsid w:val="00000675"/>
    <w:rsid w:val="000019F5"/>
    <w:rsid w:val="00005AA5"/>
    <w:rsid w:val="00007E1E"/>
    <w:rsid w:val="00010F1F"/>
    <w:rsid w:val="000162C4"/>
    <w:rsid w:val="00025139"/>
    <w:rsid w:val="00043C08"/>
    <w:rsid w:val="00045141"/>
    <w:rsid w:val="00047CB3"/>
    <w:rsid w:val="00053BF0"/>
    <w:rsid w:val="00054BC3"/>
    <w:rsid w:val="000614F3"/>
    <w:rsid w:val="00063A08"/>
    <w:rsid w:val="0007513B"/>
    <w:rsid w:val="00081CEC"/>
    <w:rsid w:val="000910D3"/>
    <w:rsid w:val="00092CFB"/>
    <w:rsid w:val="00094F18"/>
    <w:rsid w:val="00095C00"/>
    <w:rsid w:val="000B1157"/>
    <w:rsid w:val="000C7438"/>
    <w:rsid w:val="000D2553"/>
    <w:rsid w:val="000D39AC"/>
    <w:rsid w:val="000E18A6"/>
    <w:rsid w:val="000E18E7"/>
    <w:rsid w:val="000E2996"/>
    <w:rsid w:val="000E4A8F"/>
    <w:rsid w:val="000E5812"/>
    <w:rsid w:val="000E641D"/>
    <w:rsid w:val="000F5BC6"/>
    <w:rsid w:val="000F6878"/>
    <w:rsid w:val="000F7222"/>
    <w:rsid w:val="00101351"/>
    <w:rsid w:val="00107BA4"/>
    <w:rsid w:val="00115444"/>
    <w:rsid w:val="00115763"/>
    <w:rsid w:val="00115FCB"/>
    <w:rsid w:val="00116E04"/>
    <w:rsid w:val="00123429"/>
    <w:rsid w:val="00124B9D"/>
    <w:rsid w:val="001272F7"/>
    <w:rsid w:val="001357BC"/>
    <w:rsid w:val="001408E5"/>
    <w:rsid w:val="00145761"/>
    <w:rsid w:val="00155A27"/>
    <w:rsid w:val="00160AA5"/>
    <w:rsid w:val="00163759"/>
    <w:rsid w:val="001637ED"/>
    <w:rsid w:val="00165624"/>
    <w:rsid w:val="00170CE0"/>
    <w:rsid w:val="001750B8"/>
    <w:rsid w:val="00177827"/>
    <w:rsid w:val="001863F2"/>
    <w:rsid w:val="001901F9"/>
    <w:rsid w:val="0019169B"/>
    <w:rsid w:val="00194487"/>
    <w:rsid w:val="00195BCC"/>
    <w:rsid w:val="00197CF6"/>
    <w:rsid w:val="001A5657"/>
    <w:rsid w:val="001A6800"/>
    <w:rsid w:val="001B494D"/>
    <w:rsid w:val="001C6343"/>
    <w:rsid w:val="001D30E0"/>
    <w:rsid w:val="001D4640"/>
    <w:rsid w:val="001D4DE4"/>
    <w:rsid w:val="001E154C"/>
    <w:rsid w:val="001E167D"/>
    <w:rsid w:val="001E1700"/>
    <w:rsid w:val="001E58E5"/>
    <w:rsid w:val="001F0D06"/>
    <w:rsid w:val="001F1322"/>
    <w:rsid w:val="00200645"/>
    <w:rsid w:val="00201567"/>
    <w:rsid w:val="0020488C"/>
    <w:rsid w:val="0020556D"/>
    <w:rsid w:val="00214B95"/>
    <w:rsid w:val="00216070"/>
    <w:rsid w:val="002377EA"/>
    <w:rsid w:val="002411F9"/>
    <w:rsid w:val="002432D3"/>
    <w:rsid w:val="0025237F"/>
    <w:rsid w:val="00254172"/>
    <w:rsid w:val="00254E0D"/>
    <w:rsid w:val="0027011B"/>
    <w:rsid w:val="002717A7"/>
    <w:rsid w:val="00277E6D"/>
    <w:rsid w:val="00282B8D"/>
    <w:rsid w:val="00293DBC"/>
    <w:rsid w:val="00293EB0"/>
    <w:rsid w:val="00294291"/>
    <w:rsid w:val="00294E7C"/>
    <w:rsid w:val="002A593E"/>
    <w:rsid w:val="002A5BCB"/>
    <w:rsid w:val="002A7512"/>
    <w:rsid w:val="002B4C73"/>
    <w:rsid w:val="002B5171"/>
    <w:rsid w:val="002C283B"/>
    <w:rsid w:val="002C3235"/>
    <w:rsid w:val="002C45DE"/>
    <w:rsid w:val="002D17D7"/>
    <w:rsid w:val="002E79D6"/>
    <w:rsid w:val="002F6033"/>
    <w:rsid w:val="00306826"/>
    <w:rsid w:val="00307AF2"/>
    <w:rsid w:val="00310227"/>
    <w:rsid w:val="0031518C"/>
    <w:rsid w:val="003157C8"/>
    <w:rsid w:val="0031761C"/>
    <w:rsid w:val="00324123"/>
    <w:rsid w:val="00324526"/>
    <w:rsid w:val="00325575"/>
    <w:rsid w:val="00326DF7"/>
    <w:rsid w:val="0033025B"/>
    <w:rsid w:val="003356EA"/>
    <w:rsid w:val="0034316E"/>
    <w:rsid w:val="00345E24"/>
    <w:rsid w:val="00347344"/>
    <w:rsid w:val="00356A74"/>
    <w:rsid w:val="00360906"/>
    <w:rsid w:val="003641A5"/>
    <w:rsid w:val="0037492D"/>
    <w:rsid w:val="00374B08"/>
    <w:rsid w:val="00384A76"/>
    <w:rsid w:val="0038514D"/>
    <w:rsid w:val="00387B97"/>
    <w:rsid w:val="003905C0"/>
    <w:rsid w:val="0039176A"/>
    <w:rsid w:val="00393447"/>
    <w:rsid w:val="003A03E4"/>
    <w:rsid w:val="003A4F46"/>
    <w:rsid w:val="003A6660"/>
    <w:rsid w:val="003A6E54"/>
    <w:rsid w:val="003B0E7F"/>
    <w:rsid w:val="003B63E0"/>
    <w:rsid w:val="003C4339"/>
    <w:rsid w:val="003D2073"/>
    <w:rsid w:val="003D2A61"/>
    <w:rsid w:val="003D3358"/>
    <w:rsid w:val="003E4903"/>
    <w:rsid w:val="003E7DF1"/>
    <w:rsid w:val="003F1812"/>
    <w:rsid w:val="003F35BE"/>
    <w:rsid w:val="00412F98"/>
    <w:rsid w:val="00415AAB"/>
    <w:rsid w:val="00417A6F"/>
    <w:rsid w:val="00421A88"/>
    <w:rsid w:val="004244FD"/>
    <w:rsid w:val="00425630"/>
    <w:rsid w:val="00426BA6"/>
    <w:rsid w:val="00427F10"/>
    <w:rsid w:val="0043448B"/>
    <w:rsid w:val="00434AFA"/>
    <w:rsid w:val="004401AD"/>
    <w:rsid w:val="00446080"/>
    <w:rsid w:val="00446334"/>
    <w:rsid w:val="004470BD"/>
    <w:rsid w:val="00451879"/>
    <w:rsid w:val="00465B1F"/>
    <w:rsid w:val="00470A48"/>
    <w:rsid w:val="004718E3"/>
    <w:rsid w:val="00472406"/>
    <w:rsid w:val="00475F19"/>
    <w:rsid w:val="0048480A"/>
    <w:rsid w:val="00485EF0"/>
    <w:rsid w:val="00486DB7"/>
    <w:rsid w:val="004912C9"/>
    <w:rsid w:val="004937BD"/>
    <w:rsid w:val="004A005D"/>
    <w:rsid w:val="004A330B"/>
    <w:rsid w:val="004B1398"/>
    <w:rsid w:val="004B4DF0"/>
    <w:rsid w:val="004B52D6"/>
    <w:rsid w:val="004B7B3A"/>
    <w:rsid w:val="004C0B06"/>
    <w:rsid w:val="004C6590"/>
    <w:rsid w:val="004C751E"/>
    <w:rsid w:val="004D1BED"/>
    <w:rsid w:val="004D2D47"/>
    <w:rsid w:val="004D4462"/>
    <w:rsid w:val="004D5C98"/>
    <w:rsid w:val="004E2121"/>
    <w:rsid w:val="004E7F36"/>
    <w:rsid w:val="004F09F1"/>
    <w:rsid w:val="004F43D8"/>
    <w:rsid w:val="00502348"/>
    <w:rsid w:val="005120BA"/>
    <w:rsid w:val="00514360"/>
    <w:rsid w:val="00514954"/>
    <w:rsid w:val="00517F3F"/>
    <w:rsid w:val="005260F5"/>
    <w:rsid w:val="00527121"/>
    <w:rsid w:val="00530541"/>
    <w:rsid w:val="00530F36"/>
    <w:rsid w:val="00532DB5"/>
    <w:rsid w:val="00536FD7"/>
    <w:rsid w:val="005408CF"/>
    <w:rsid w:val="00541543"/>
    <w:rsid w:val="00543CC3"/>
    <w:rsid w:val="005440B4"/>
    <w:rsid w:val="005477BE"/>
    <w:rsid w:val="005657B9"/>
    <w:rsid w:val="00567AA0"/>
    <w:rsid w:val="00581960"/>
    <w:rsid w:val="005850EC"/>
    <w:rsid w:val="0058577B"/>
    <w:rsid w:val="00585CBC"/>
    <w:rsid w:val="00587D53"/>
    <w:rsid w:val="005920C6"/>
    <w:rsid w:val="00596A02"/>
    <w:rsid w:val="00596FB4"/>
    <w:rsid w:val="00597016"/>
    <w:rsid w:val="005B0CEA"/>
    <w:rsid w:val="005B1F98"/>
    <w:rsid w:val="005B4449"/>
    <w:rsid w:val="005B7105"/>
    <w:rsid w:val="005C1516"/>
    <w:rsid w:val="005C7E31"/>
    <w:rsid w:val="005D2990"/>
    <w:rsid w:val="005E1D90"/>
    <w:rsid w:val="005F1341"/>
    <w:rsid w:val="005F17D2"/>
    <w:rsid w:val="005F569C"/>
    <w:rsid w:val="00611ED6"/>
    <w:rsid w:val="006121FD"/>
    <w:rsid w:val="0061313D"/>
    <w:rsid w:val="0061545A"/>
    <w:rsid w:val="00627972"/>
    <w:rsid w:val="0063112C"/>
    <w:rsid w:val="0063272E"/>
    <w:rsid w:val="00633658"/>
    <w:rsid w:val="00634E0E"/>
    <w:rsid w:val="00640A07"/>
    <w:rsid w:val="00641181"/>
    <w:rsid w:val="00642EC7"/>
    <w:rsid w:val="00651FD5"/>
    <w:rsid w:val="00652937"/>
    <w:rsid w:val="006601A4"/>
    <w:rsid w:val="00664097"/>
    <w:rsid w:val="006753CF"/>
    <w:rsid w:val="00675DC0"/>
    <w:rsid w:val="00676DC4"/>
    <w:rsid w:val="00677E94"/>
    <w:rsid w:val="006840FE"/>
    <w:rsid w:val="00687215"/>
    <w:rsid w:val="00690A8B"/>
    <w:rsid w:val="006C2763"/>
    <w:rsid w:val="006C331A"/>
    <w:rsid w:val="006C6EA9"/>
    <w:rsid w:val="006D0BB3"/>
    <w:rsid w:val="006D0FBF"/>
    <w:rsid w:val="006E5B12"/>
    <w:rsid w:val="006E76E9"/>
    <w:rsid w:val="006F0F43"/>
    <w:rsid w:val="006F5461"/>
    <w:rsid w:val="0070090B"/>
    <w:rsid w:val="00702336"/>
    <w:rsid w:val="0070277B"/>
    <w:rsid w:val="007110A1"/>
    <w:rsid w:val="00723A49"/>
    <w:rsid w:val="00731DFA"/>
    <w:rsid w:val="00733F3F"/>
    <w:rsid w:val="00736F64"/>
    <w:rsid w:val="00737A9B"/>
    <w:rsid w:val="0075556E"/>
    <w:rsid w:val="00755AF0"/>
    <w:rsid w:val="00755E56"/>
    <w:rsid w:val="00756808"/>
    <w:rsid w:val="00767A9F"/>
    <w:rsid w:val="00770F60"/>
    <w:rsid w:val="007732D7"/>
    <w:rsid w:val="00781709"/>
    <w:rsid w:val="00782E9E"/>
    <w:rsid w:val="00785ECD"/>
    <w:rsid w:val="00791858"/>
    <w:rsid w:val="007934EA"/>
    <w:rsid w:val="007A0282"/>
    <w:rsid w:val="007A6A2F"/>
    <w:rsid w:val="007B182E"/>
    <w:rsid w:val="007B6A25"/>
    <w:rsid w:val="007C2D0A"/>
    <w:rsid w:val="007C3633"/>
    <w:rsid w:val="007C541C"/>
    <w:rsid w:val="007F5730"/>
    <w:rsid w:val="007F7AA0"/>
    <w:rsid w:val="00806B52"/>
    <w:rsid w:val="00810292"/>
    <w:rsid w:val="0081682F"/>
    <w:rsid w:val="0082185F"/>
    <w:rsid w:val="0082187F"/>
    <w:rsid w:val="00822FAB"/>
    <w:rsid w:val="008310A7"/>
    <w:rsid w:val="00846B95"/>
    <w:rsid w:val="008471C2"/>
    <w:rsid w:val="00850748"/>
    <w:rsid w:val="00861536"/>
    <w:rsid w:val="00862286"/>
    <w:rsid w:val="00867158"/>
    <w:rsid w:val="00870E90"/>
    <w:rsid w:val="0087210E"/>
    <w:rsid w:val="00872B78"/>
    <w:rsid w:val="0087416F"/>
    <w:rsid w:val="00876619"/>
    <w:rsid w:val="00876A7F"/>
    <w:rsid w:val="00895ABD"/>
    <w:rsid w:val="00895FC1"/>
    <w:rsid w:val="008B6CAB"/>
    <w:rsid w:val="008C11FF"/>
    <w:rsid w:val="008C232B"/>
    <w:rsid w:val="008C6A2C"/>
    <w:rsid w:val="008D0068"/>
    <w:rsid w:val="008D2AFA"/>
    <w:rsid w:val="008D5AD3"/>
    <w:rsid w:val="008D7D5C"/>
    <w:rsid w:val="008F3898"/>
    <w:rsid w:val="008F585C"/>
    <w:rsid w:val="008F735E"/>
    <w:rsid w:val="009105F4"/>
    <w:rsid w:val="009106F8"/>
    <w:rsid w:val="00912153"/>
    <w:rsid w:val="00913B36"/>
    <w:rsid w:val="00926653"/>
    <w:rsid w:val="0092703F"/>
    <w:rsid w:val="00954833"/>
    <w:rsid w:val="00954941"/>
    <w:rsid w:val="00962817"/>
    <w:rsid w:val="00962D8E"/>
    <w:rsid w:val="00963D1F"/>
    <w:rsid w:val="00966743"/>
    <w:rsid w:val="0097209A"/>
    <w:rsid w:val="00973264"/>
    <w:rsid w:val="00974B1A"/>
    <w:rsid w:val="00976DFD"/>
    <w:rsid w:val="00981531"/>
    <w:rsid w:val="00984646"/>
    <w:rsid w:val="0098775E"/>
    <w:rsid w:val="0099659A"/>
    <w:rsid w:val="00997C8D"/>
    <w:rsid w:val="009A51DB"/>
    <w:rsid w:val="009A6294"/>
    <w:rsid w:val="009B0E42"/>
    <w:rsid w:val="009B52CD"/>
    <w:rsid w:val="009B67B7"/>
    <w:rsid w:val="009B6C55"/>
    <w:rsid w:val="009B71BA"/>
    <w:rsid w:val="009C2B6B"/>
    <w:rsid w:val="009D652B"/>
    <w:rsid w:val="009E6EB5"/>
    <w:rsid w:val="009F2F62"/>
    <w:rsid w:val="009F79EF"/>
    <w:rsid w:val="00A02135"/>
    <w:rsid w:val="00A0579F"/>
    <w:rsid w:val="00A11F04"/>
    <w:rsid w:val="00A14067"/>
    <w:rsid w:val="00A16728"/>
    <w:rsid w:val="00A1690F"/>
    <w:rsid w:val="00A220AD"/>
    <w:rsid w:val="00A2520A"/>
    <w:rsid w:val="00A25386"/>
    <w:rsid w:val="00A30C78"/>
    <w:rsid w:val="00A335BF"/>
    <w:rsid w:val="00A34A23"/>
    <w:rsid w:val="00A4095E"/>
    <w:rsid w:val="00A46570"/>
    <w:rsid w:val="00A47B20"/>
    <w:rsid w:val="00A572AA"/>
    <w:rsid w:val="00A64A67"/>
    <w:rsid w:val="00A65E5E"/>
    <w:rsid w:val="00A70CBC"/>
    <w:rsid w:val="00A752CA"/>
    <w:rsid w:val="00A76E92"/>
    <w:rsid w:val="00A81848"/>
    <w:rsid w:val="00A8301C"/>
    <w:rsid w:val="00A867C1"/>
    <w:rsid w:val="00A87499"/>
    <w:rsid w:val="00AA19B3"/>
    <w:rsid w:val="00AA20ED"/>
    <w:rsid w:val="00AA4469"/>
    <w:rsid w:val="00AA50CC"/>
    <w:rsid w:val="00AA5A68"/>
    <w:rsid w:val="00AB3905"/>
    <w:rsid w:val="00AC42BF"/>
    <w:rsid w:val="00AC5EB1"/>
    <w:rsid w:val="00AD05C9"/>
    <w:rsid w:val="00AD32ED"/>
    <w:rsid w:val="00AD497D"/>
    <w:rsid w:val="00AD6B5F"/>
    <w:rsid w:val="00AD7BF7"/>
    <w:rsid w:val="00AF1506"/>
    <w:rsid w:val="00AF3D99"/>
    <w:rsid w:val="00AF4366"/>
    <w:rsid w:val="00AF60B6"/>
    <w:rsid w:val="00B0429C"/>
    <w:rsid w:val="00B05B0A"/>
    <w:rsid w:val="00B06667"/>
    <w:rsid w:val="00B06ED6"/>
    <w:rsid w:val="00B10B65"/>
    <w:rsid w:val="00B12366"/>
    <w:rsid w:val="00B14DAD"/>
    <w:rsid w:val="00B217FD"/>
    <w:rsid w:val="00B22B2E"/>
    <w:rsid w:val="00B23DC7"/>
    <w:rsid w:val="00B24538"/>
    <w:rsid w:val="00B26664"/>
    <w:rsid w:val="00B313EB"/>
    <w:rsid w:val="00B33660"/>
    <w:rsid w:val="00B3620D"/>
    <w:rsid w:val="00B44759"/>
    <w:rsid w:val="00B44D0B"/>
    <w:rsid w:val="00B45E8D"/>
    <w:rsid w:val="00B512BC"/>
    <w:rsid w:val="00B5710A"/>
    <w:rsid w:val="00B62EEC"/>
    <w:rsid w:val="00B678C9"/>
    <w:rsid w:val="00B74991"/>
    <w:rsid w:val="00B75CDF"/>
    <w:rsid w:val="00B762A1"/>
    <w:rsid w:val="00B778BF"/>
    <w:rsid w:val="00B8350C"/>
    <w:rsid w:val="00B835A9"/>
    <w:rsid w:val="00B84AD8"/>
    <w:rsid w:val="00B8523B"/>
    <w:rsid w:val="00B85EE0"/>
    <w:rsid w:val="00B878F4"/>
    <w:rsid w:val="00B904BF"/>
    <w:rsid w:val="00B91C43"/>
    <w:rsid w:val="00BB3296"/>
    <w:rsid w:val="00BB46D7"/>
    <w:rsid w:val="00BB672F"/>
    <w:rsid w:val="00BC6E4F"/>
    <w:rsid w:val="00BE083B"/>
    <w:rsid w:val="00BE6A67"/>
    <w:rsid w:val="00BF47D2"/>
    <w:rsid w:val="00BF4D57"/>
    <w:rsid w:val="00C04061"/>
    <w:rsid w:val="00C125C8"/>
    <w:rsid w:val="00C1317B"/>
    <w:rsid w:val="00C24B03"/>
    <w:rsid w:val="00C32923"/>
    <w:rsid w:val="00C330F4"/>
    <w:rsid w:val="00C333AA"/>
    <w:rsid w:val="00C36CFC"/>
    <w:rsid w:val="00C4156D"/>
    <w:rsid w:val="00C473BB"/>
    <w:rsid w:val="00C50E89"/>
    <w:rsid w:val="00C6109A"/>
    <w:rsid w:val="00C611DE"/>
    <w:rsid w:val="00C70200"/>
    <w:rsid w:val="00C708EB"/>
    <w:rsid w:val="00C740B7"/>
    <w:rsid w:val="00C776E3"/>
    <w:rsid w:val="00C85264"/>
    <w:rsid w:val="00C86B96"/>
    <w:rsid w:val="00C913E0"/>
    <w:rsid w:val="00C91DB2"/>
    <w:rsid w:val="00C95365"/>
    <w:rsid w:val="00C962EB"/>
    <w:rsid w:val="00CA12F5"/>
    <w:rsid w:val="00CA48A7"/>
    <w:rsid w:val="00CA7C52"/>
    <w:rsid w:val="00CB1394"/>
    <w:rsid w:val="00CB159B"/>
    <w:rsid w:val="00CB68E6"/>
    <w:rsid w:val="00CC6BFC"/>
    <w:rsid w:val="00CD0220"/>
    <w:rsid w:val="00CD46D0"/>
    <w:rsid w:val="00CD5095"/>
    <w:rsid w:val="00CE5FFE"/>
    <w:rsid w:val="00CF29CF"/>
    <w:rsid w:val="00CF5448"/>
    <w:rsid w:val="00D10556"/>
    <w:rsid w:val="00D22D29"/>
    <w:rsid w:val="00D23B1E"/>
    <w:rsid w:val="00D23D81"/>
    <w:rsid w:val="00D26D77"/>
    <w:rsid w:val="00D3342A"/>
    <w:rsid w:val="00D40F3A"/>
    <w:rsid w:val="00D418BB"/>
    <w:rsid w:val="00D41B7E"/>
    <w:rsid w:val="00D44470"/>
    <w:rsid w:val="00D46893"/>
    <w:rsid w:val="00D52F76"/>
    <w:rsid w:val="00D6034E"/>
    <w:rsid w:val="00D6744F"/>
    <w:rsid w:val="00D90342"/>
    <w:rsid w:val="00D9091C"/>
    <w:rsid w:val="00D95528"/>
    <w:rsid w:val="00DB37BE"/>
    <w:rsid w:val="00DC2C08"/>
    <w:rsid w:val="00DC4EB2"/>
    <w:rsid w:val="00DD73B5"/>
    <w:rsid w:val="00DD752D"/>
    <w:rsid w:val="00DE768D"/>
    <w:rsid w:val="00DF68AF"/>
    <w:rsid w:val="00E00CBA"/>
    <w:rsid w:val="00E0249E"/>
    <w:rsid w:val="00E123F8"/>
    <w:rsid w:val="00E17A53"/>
    <w:rsid w:val="00E20A08"/>
    <w:rsid w:val="00E275A9"/>
    <w:rsid w:val="00E27DC9"/>
    <w:rsid w:val="00E31C2A"/>
    <w:rsid w:val="00E3783F"/>
    <w:rsid w:val="00E423D8"/>
    <w:rsid w:val="00E4303B"/>
    <w:rsid w:val="00E47A34"/>
    <w:rsid w:val="00E47E44"/>
    <w:rsid w:val="00E52A1B"/>
    <w:rsid w:val="00E55218"/>
    <w:rsid w:val="00E558F7"/>
    <w:rsid w:val="00E574DB"/>
    <w:rsid w:val="00E61D34"/>
    <w:rsid w:val="00E63AE8"/>
    <w:rsid w:val="00E63D80"/>
    <w:rsid w:val="00E64912"/>
    <w:rsid w:val="00E65813"/>
    <w:rsid w:val="00E84BDB"/>
    <w:rsid w:val="00E94B1E"/>
    <w:rsid w:val="00EA5297"/>
    <w:rsid w:val="00EB4B2D"/>
    <w:rsid w:val="00EC4933"/>
    <w:rsid w:val="00EC69E7"/>
    <w:rsid w:val="00ED272F"/>
    <w:rsid w:val="00EE1C42"/>
    <w:rsid w:val="00EF12B3"/>
    <w:rsid w:val="00F0362D"/>
    <w:rsid w:val="00F066EB"/>
    <w:rsid w:val="00F1126B"/>
    <w:rsid w:val="00F12B03"/>
    <w:rsid w:val="00F21B7C"/>
    <w:rsid w:val="00F27AAA"/>
    <w:rsid w:val="00F35A1C"/>
    <w:rsid w:val="00F6130B"/>
    <w:rsid w:val="00F643B6"/>
    <w:rsid w:val="00F64887"/>
    <w:rsid w:val="00F72B76"/>
    <w:rsid w:val="00F734A3"/>
    <w:rsid w:val="00F75938"/>
    <w:rsid w:val="00F76476"/>
    <w:rsid w:val="00F77E35"/>
    <w:rsid w:val="00F807EC"/>
    <w:rsid w:val="00F967E0"/>
    <w:rsid w:val="00FA1D8A"/>
    <w:rsid w:val="00FB04D0"/>
    <w:rsid w:val="00FB443C"/>
    <w:rsid w:val="00FC10F2"/>
    <w:rsid w:val="00FD39C7"/>
    <w:rsid w:val="00FD3FBA"/>
    <w:rsid w:val="00FD41D1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D84B3"/>
  <w15:docId w15:val="{67FFEC46-ED56-4786-8B0D-CFCAC241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F2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63F2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A59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5630"/>
    <w:rPr>
      <w:rFonts w:ascii="Times New Roman" w:hAnsi="Times New Roman" w:cs="Times New Roman"/>
      <w:sz w:val="2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E024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48"/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1408E5"/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FontStyle96">
    <w:name w:val="Font Style96"/>
    <w:uiPriority w:val="99"/>
    <w:rsid w:val="00543CC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Body2">
    <w:name w:val="Body 2"/>
    <w:rsid w:val="007934E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F6878"/>
    <w:pPr>
      <w:spacing w:after="120" w:line="276" w:lineRule="auto"/>
      <w:ind w:left="283"/>
    </w:pPr>
    <w:rPr>
      <w:rFonts w:eastAsia="Calibr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F6878"/>
    <w:rPr>
      <w:rFonts w:ascii="Times New Roman" w:hAnsi="Times New Roman"/>
      <w:sz w:val="16"/>
      <w:szCs w:val="16"/>
      <w:lang w:val="lt-LT"/>
    </w:rPr>
  </w:style>
  <w:style w:type="paragraph" w:customStyle="1" w:styleId="Hyperlink2">
    <w:name w:val="Hyperlink2"/>
    <w:basedOn w:val="Normal"/>
    <w:rsid w:val="008310A7"/>
    <w:pPr>
      <w:ind w:firstLine="720"/>
      <w:jc w:val="both"/>
    </w:pPr>
    <w:rPr>
      <w:szCs w:val="20"/>
      <w:lang w:eastAsia="en-US"/>
    </w:rPr>
  </w:style>
  <w:style w:type="paragraph" w:customStyle="1" w:styleId="Patvirtinta">
    <w:name w:val="Patvirtinta"/>
    <w:rsid w:val="00C50E8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7A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0A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5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90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C65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90"/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Default">
    <w:name w:val="Default"/>
    <w:rsid w:val="007F573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D6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52B"/>
    <w:rPr>
      <w:rFonts w:ascii="Times New Roman" w:eastAsia="Times New Roman" w:hAnsi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52B"/>
    <w:rPr>
      <w:rFonts w:ascii="Times New Roman" w:eastAsia="Times New Roman" w:hAnsi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345E24"/>
    <w:rPr>
      <w:rFonts w:ascii="Times New Roman" w:eastAsia="Times New Roman" w:hAnsi="Times New Roman"/>
      <w:sz w:val="24"/>
      <w:szCs w:val="24"/>
      <w:lang w:val="lt-LT" w:eastAsia="lt-LT"/>
    </w:rPr>
  </w:style>
  <w:style w:type="character" w:styleId="FootnoteReference">
    <w:name w:val="footnote reference"/>
    <w:uiPriority w:val="99"/>
    <w:semiHidden/>
    <w:unhideWhenUsed/>
    <w:rsid w:val="00FD3F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FBA"/>
    <w:rPr>
      <w:rFonts w:ascii="Aptos" w:eastAsia="Aptos" w:hAnsi="Aptos"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FBA"/>
    <w:rPr>
      <w:rFonts w:ascii="Aptos" w:eastAsia="Aptos" w:hAnsi="Aptos" w:cs="Arial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CCD4-CD3B-4C74-97DD-1482295F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849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„Petro ofsetas“</vt:lpstr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„Petro ofsetas“</dc:title>
  <dc:subject/>
  <dc:creator>birkantaitena</dc:creator>
  <cp:keywords/>
  <dc:description/>
  <cp:lastModifiedBy>Liutauras Barila</cp:lastModifiedBy>
  <cp:revision>48</cp:revision>
  <cp:lastPrinted>2025-09-22T09:45:00Z</cp:lastPrinted>
  <dcterms:created xsi:type="dcterms:W3CDTF">2025-09-17T04:48:00Z</dcterms:created>
  <dcterms:modified xsi:type="dcterms:W3CDTF">2025-09-22T12:29:00Z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16f0b095-d14d-4494-aa27-7824e1967e05</vt:lpwstr>
  </property>
</Properties>
</file>