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77777777" w:rsidR="004713FC" w:rsidRPr="00F70AE7"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F70AE7">
        <w:rPr>
          <w:rFonts w:cs="Times New Roman"/>
          <w:bCs/>
          <w:szCs w:val="24"/>
          <w:lang w:val="x-none"/>
        </w:rPr>
        <w:t>PATVIRTINTA</w:t>
      </w:r>
    </w:p>
    <w:p w14:paraId="7FBD7D1F" w14:textId="77777777" w:rsidR="004713FC" w:rsidRPr="00F70AE7" w:rsidRDefault="004713FC" w:rsidP="00F70AE7">
      <w:pPr>
        <w:tabs>
          <w:tab w:val="right" w:leader="underscore" w:pos="8505"/>
        </w:tabs>
        <w:spacing w:after="0"/>
        <w:ind w:left="5670"/>
        <w:rPr>
          <w:rFonts w:cs="Times New Roman"/>
          <w:bCs/>
          <w:szCs w:val="24"/>
          <w:lang w:val="x-none"/>
        </w:rPr>
      </w:pPr>
      <w:r w:rsidRPr="00F70AE7">
        <w:rPr>
          <w:rFonts w:cs="Times New Roman"/>
          <w:bCs/>
          <w:szCs w:val="24"/>
          <w:lang w:val="x-none"/>
        </w:rPr>
        <w:t>Vieš</w:t>
      </w:r>
      <w:r w:rsidRPr="00F70AE7">
        <w:rPr>
          <w:rFonts w:cs="Times New Roman"/>
          <w:bCs/>
          <w:szCs w:val="24"/>
        </w:rPr>
        <w:t>ųjų</w:t>
      </w:r>
      <w:r w:rsidRPr="00F70AE7">
        <w:rPr>
          <w:rFonts w:cs="Times New Roman"/>
          <w:bCs/>
          <w:szCs w:val="24"/>
          <w:lang w:val="x-none"/>
        </w:rPr>
        <w:t xml:space="preserve"> pirkimų komisijos </w:t>
      </w:r>
    </w:p>
    <w:p w14:paraId="23761DE7" w14:textId="510F96D7" w:rsidR="004713FC" w:rsidRPr="00F70AE7" w:rsidRDefault="004713FC" w:rsidP="00F70AE7">
      <w:pPr>
        <w:tabs>
          <w:tab w:val="right" w:leader="underscore" w:pos="8505"/>
        </w:tabs>
        <w:spacing w:after="0"/>
        <w:ind w:left="5670"/>
        <w:rPr>
          <w:rFonts w:cs="Times New Roman"/>
          <w:bCs/>
          <w:szCs w:val="24"/>
        </w:rPr>
      </w:pPr>
      <w:r w:rsidRPr="00F70AE7">
        <w:rPr>
          <w:rFonts w:cs="Times New Roman"/>
          <w:bCs/>
          <w:szCs w:val="24"/>
          <w:lang w:val="x-none"/>
        </w:rPr>
        <w:t>202</w:t>
      </w:r>
      <w:r w:rsidRPr="00F70AE7">
        <w:rPr>
          <w:rFonts w:cs="Times New Roman"/>
          <w:bCs/>
          <w:szCs w:val="24"/>
        </w:rPr>
        <w:t>5</w:t>
      </w:r>
      <w:r w:rsidRPr="00F70AE7">
        <w:rPr>
          <w:rFonts w:cs="Times New Roman"/>
          <w:bCs/>
          <w:szCs w:val="24"/>
          <w:lang w:val="x-none"/>
        </w:rPr>
        <w:t xml:space="preserve"> m. </w:t>
      </w:r>
      <w:r w:rsidRPr="00F70AE7">
        <w:rPr>
          <w:rFonts w:cs="Times New Roman"/>
          <w:bCs/>
          <w:szCs w:val="24"/>
        </w:rPr>
        <w:t>rugsėjo</w:t>
      </w:r>
      <w:r w:rsidRPr="00F70AE7">
        <w:rPr>
          <w:rFonts w:cs="Times New Roman"/>
          <w:bCs/>
          <w:szCs w:val="24"/>
          <w:lang w:val="x-none"/>
        </w:rPr>
        <w:t xml:space="preserve"> </w:t>
      </w:r>
      <w:r w:rsidR="009621C1">
        <w:rPr>
          <w:rFonts w:cs="Times New Roman"/>
          <w:bCs/>
          <w:szCs w:val="24"/>
          <w:lang w:val="x-none"/>
        </w:rPr>
        <w:t>22</w:t>
      </w:r>
      <w:r w:rsidRPr="00F70AE7">
        <w:rPr>
          <w:rFonts w:cs="Times New Roman"/>
          <w:bCs/>
          <w:szCs w:val="24"/>
          <w:lang w:val="x-none"/>
        </w:rPr>
        <w:t xml:space="preserve"> d. protokolu Nr. </w:t>
      </w:r>
      <w:r w:rsidRPr="00F70AE7">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58D5ECE2" w:rsidR="00653C51" w:rsidRPr="00F70AE7" w:rsidRDefault="00653C51" w:rsidP="00F70AE7">
      <w:pPr>
        <w:pStyle w:val="Default"/>
        <w:tabs>
          <w:tab w:val="left" w:pos="709"/>
        </w:tabs>
        <w:jc w:val="center"/>
        <w:rPr>
          <w:b/>
        </w:rPr>
      </w:pPr>
      <w:r w:rsidRPr="00F70AE7">
        <w:rPr>
          <w:b/>
          <w:bCs/>
        </w:rPr>
        <w:t>„</w:t>
      </w:r>
      <w:r w:rsidRPr="00F70AE7">
        <w:rPr>
          <w:b/>
        </w:rPr>
        <w:t>NAUDOTO AUTOMOBILIO SU ANT PLATFORMOS ĮRENGTU TELESKOPINIU BOKŠTELIU ĮSIGIJIMAS FINANSINIO LIZINGO BŪDU“</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77777777" w:rsidR="003E188D" w:rsidRPr="00F70AE7" w:rsidRDefault="003E188D" w:rsidP="00F70AE7">
            <w:pPr>
              <w:pStyle w:val="Default"/>
              <w:tabs>
                <w:tab w:val="left" w:pos="709"/>
              </w:tabs>
              <w:jc w:val="both"/>
              <w:rPr>
                <w:color w:val="000000" w:themeColor="text1"/>
              </w:rPr>
            </w:pPr>
            <w:r w:rsidRPr="00F70AE7">
              <w:rPr>
                <w:color w:val="000000" w:themeColor="text1"/>
              </w:rPr>
              <w:t>Supaprastintas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2694" w14:textId="77777777" w:rsidR="001C7E33" w:rsidRDefault="001C7E33" w:rsidP="009704AF">
      <w:pPr>
        <w:spacing w:after="0" w:line="240" w:lineRule="auto"/>
      </w:pPr>
      <w:r>
        <w:separator/>
      </w:r>
    </w:p>
  </w:endnote>
  <w:endnote w:type="continuationSeparator" w:id="0">
    <w:p w14:paraId="4BBC4791" w14:textId="77777777" w:rsidR="001C7E33" w:rsidRDefault="001C7E33" w:rsidP="009704AF">
      <w:pPr>
        <w:spacing w:after="0" w:line="240" w:lineRule="auto"/>
      </w:pPr>
      <w:r>
        <w:continuationSeparator/>
      </w:r>
    </w:p>
  </w:endnote>
  <w:endnote w:type="continuationNotice" w:id="1">
    <w:p w14:paraId="06E493C7" w14:textId="77777777" w:rsidR="001C7E33" w:rsidRDefault="001C7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ABBB" w14:textId="77777777" w:rsidR="001C7E33" w:rsidRDefault="001C7E33" w:rsidP="009704AF">
      <w:pPr>
        <w:spacing w:after="0" w:line="240" w:lineRule="auto"/>
      </w:pPr>
      <w:r>
        <w:separator/>
      </w:r>
    </w:p>
  </w:footnote>
  <w:footnote w:type="continuationSeparator" w:id="0">
    <w:p w14:paraId="3FD3C7BE" w14:textId="77777777" w:rsidR="001C7E33" w:rsidRDefault="001C7E33" w:rsidP="009704AF">
      <w:pPr>
        <w:spacing w:after="0" w:line="240" w:lineRule="auto"/>
      </w:pPr>
      <w:r>
        <w:continuationSeparator/>
      </w:r>
    </w:p>
  </w:footnote>
  <w:footnote w:type="continuationNotice" w:id="1">
    <w:p w14:paraId="0841EA72" w14:textId="77777777" w:rsidR="001C7E33" w:rsidRDefault="001C7E33">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2.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34530</Words>
  <Characters>19683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10</cp:revision>
  <cp:lastPrinted>2020-06-16T06:01:00Z</cp:lastPrinted>
  <dcterms:created xsi:type="dcterms:W3CDTF">2025-09-18T11:02:00Z</dcterms:created>
  <dcterms:modified xsi:type="dcterms:W3CDTF">2025-09-22T12:57:00Z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