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1DE67BA7"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DE6C67" w:rsidRDefault="00703462" w:rsidP="00A73BAC">
      <w:pPr>
        <w:ind w:left="1080"/>
        <w:rPr>
          <w:b/>
        </w:rPr>
      </w:pPr>
    </w:p>
    <w:p w14:paraId="08A56DBB" w14:textId="74647BF1" w:rsidR="007461E3" w:rsidRPr="005D4C29" w:rsidRDefault="00703462" w:rsidP="00ED549E">
      <w:pPr>
        <w:spacing w:line="267" w:lineRule="auto"/>
        <w:ind w:left="10" w:right="8" w:hanging="10"/>
        <w:jc w:val="both"/>
      </w:pPr>
      <w:r w:rsidRPr="00DE6C67">
        <w:rPr>
          <w:b/>
        </w:rPr>
        <w:t xml:space="preserve">Gynybos resursų agentūra prie Krašto apsaugos ministerijos </w:t>
      </w:r>
      <w:r w:rsidRPr="00DE6C67">
        <w:t>(toliau – GRA)</w:t>
      </w:r>
      <w:r w:rsidRPr="00DE6C67">
        <w:rPr>
          <w:b/>
        </w:rPr>
        <w:t>,</w:t>
      </w:r>
      <w:r w:rsidRPr="00DE6C67">
        <w:t xml:space="preserve"> atstovaujama GRA direktoriaus ____________, veikiančio pagal</w:t>
      </w:r>
      <w:r w:rsidRPr="00DE6C67">
        <w:rPr>
          <w:i/>
        </w:rPr>
        <w:t xml:space="preserve"> </w:t>
      </w:r>
      <w:r w:rsidRPr="00DE6C67">
        <w:t>GRA nuostatus</w:t>
      </w:r>
      <w:r w:rsidR="00C660F9" w:rsidRPr="00DE6C67">
        <w:t>,</w:t>
      </w:r>
      <w:r w:rsidRPr="00DE6C67">
        <w:t xml:space="preserve"> </w:t>
      </w:r>
      <w:r w:rsidR="00C660F9" w:rsidRPr="00DE6C67">
        <w:t xml:space="preserve">patvirtintus Lietuvos Respublikos krašto apsaugos ministro 2017 m. rugpjūčio 30 d. įsakymu Nr. V-794 „Dėl Gynybos resursų agentūros prie Krašto apsaugos ministerijos nuostatų ir struktūros tvirtinimo“ (toliau – GRA nuostatai) </w:t>
      </w:r>
      <w:r w:rsidRPr="00DE6C67">
        <w:t xml:space="preserve">(toliau – </w:t>
      </w:r>
      <w:r w:rsidRPr="00DE6C67">
        <w:rPr>
          <w:b/>
        </w:rPr>
        <w:t>Pirkėjas</w:t>
      </w:r>
      <w:r w:rsidRPr="00DE6C67">
        <w:t xml:space="preserve">), ir </w:t>
      </w:r>
      <w:r w:rsidRPr="00DE6C67">
        <w:rPr>
          <w:i/>
        </w:rPr>
        <w:t>(pardavėjas)</w:t>
      </w:r>
      <w:r w:rsidRPr="00DE6C67">
        <w:t xml:space="preserve">, atstovaujamas (a) </w:t>
      </w:r>
      <w:r w:rsidRPr="00DE6C67">
        <w:rPr>
          <w:i/>
        </w:rPr>
        <w:t>(pareigos, vardas, pavardė)</w:t>
      </w:r>
      <w:r w:rsidRPr="00DE6C67">
        <w:t>, veikiančio (-</w:t>
      </w:r>
      <w:proofErr w:type="spellStart"/>
      <w:r w:rsidRPr="00DE6C67">
        <w:t>ios</w:t>
      </w:r>
      <w:proofErr w:type="spellEnd"/>
      <w:r w:rsidRPr="00DE6C67">
        <w:t xml:space="preserve">) pagal </w:t>
      </w:r>
      <w:r w:rsidRPr="00DE6C67">
        <w:rPr>
          <w:i/>
        </w:rPr>
        <w:t>(dokumentas, kurio pagrindu veikia asmuo)</w:t>
      </w:r>
      <w:r w:rsidRPr="00DE6C67">
        <w:t xml:space="preserve"> (toliau – </w:t>
      </w:r>
      <w:r w:rsidRPr="00DE6C67">
        <w:rPr>
          <w:b/>
        </w:rPr>
        <w:t>Pardavėjas</w:t>
      </w:r>
      <w:r w:rsidRPr="00DE6C67">
        <w:t xml:space="preserve">), </w:t>
      </w:r>
      <w:r w:rsidRPr="00DE6C67">
        <w:rPr>
          <w:i/>
        </w:rPr>
        <w:t>(jei tai ūkio subjektų grupė – atitinkami duomenys apie kiekvieną partnerį)</w:t>
      </w:r>
      <w:r w:rsidRPr="00DE6C67">
        <w:t xml:space="preserve"> </w:t>
      </w:r>
      <w:r w:rsidR="007461E3" w:rsidRPr="00DE6C67">
        <w:t>toliau kartu šioje prekių viešojo pirkimo-pardavimo sutartyje vadinami „Šalimis“, o kiekvienas atskirai – „Šalimi“, vadovaudamosi Lietuvos Respublikos viešųjų pirkimų įstatymu</w:t>
      </w:r>
      <w:r w:rsidR="007461E3" w:rsidRPr="00DE6C67">
        <w:rPr>
          <w:i/>
        </w:rPr>
        <w:t xml:space="preserve"> </w:t>
      </w:r>
      <w:r w:rsidR="007461E3" w:rsidRPr="00DE6C67">
        <w:t>(toliau – Viešųjų pirkimų įstatymas)</w:t>
      </w:r>
      <w:r w:rsidR="002971C1" w:rsidRPr="00DE6C67">
        <w:rPr>
          <w:color w:val="000000"/>
        </w:rPr>
        <w:t xml:space="preserve"> 202</w:t>
      </w:r>
      <w:r w:rsidR="00A858E7" w:rsidRPr="00DE6C67">
        <w:rPr>
          <w:color w:val="000000"/>
        </w:rPr>
        <w:t>5</w:t>
      </w:r>
      <w:r w:rsidR="002971C1" w:rsidRPr="00DE6C67">
        <w:rPr>
          <w:color w:val="000000"/>
        </w:rPr>
        <w:t xml:space="preserve"> m.     d. Centrinėje viešųjų pirkimų informacinėje sistemoje (toliau – CVP IS) paskelbtomis viešojo pirkimo „</w:t>
      </w:r>
      <w:r w:rsidR="00BB5D8C" w:rsidRPr="00DE6C67">
        <w:rPr>
          <w:color w:val="000000"/>
        </w:rPr>
        <w:t>Odontologinių medžiagų ir priemonių</w:t>
      </w:r>
      <w:r w:rsidR="002971C1" w:rsidRPr="00DE6C67">
        <w:rPr>
          <w:color w:val="000000"/>
        </w:rPr>
        <w:t xml:space="preserve"> pirkimas</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0FD7B17"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1B4E34">
              <w:rPr>
                <w:b/>
              </w:rPr>
              <w:t>Odontologines medžiagas ir priemones</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 d. CVP IS priemonėmis pateiktą pasiūlymą Nr./pavadinimas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0F1CCFA6"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 xml:space="preserve">(toliau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r w:rsidR="00C660F9">
              <w:t xml:space="preserve"> PVM sudaro (suma skaičiais) </w:t>
            </w:r>
            <w:proofErr w:type="spellStart"/>
            <w:r w:rsidR="00C660F9">
              <w:t>Eur</w:t>
            </w:r>
            <w:proofErr w:type="spellEnd"/>
            <w:r w:rsidR="00C660F9">
              <w:t xml:space="preserve"> (suma žodžiais).</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t xml:space="preserve">2.5.1. Sutarties kaina/įkainiai yra pastovūs ir nekeičiami visą Sutarties galiojimo laikotarpį, išskyrus atvejus, kai po Sutarties pasirašymo keičiasi prekėms taikomo PVM/akcizų tarifas  arba </w:t>
            </w:r>
            <w:r w:rsidRPr="00BA4D7E">
              <w:lastRenderedPageBreak/>
              <w:t>yra taikomas sutarties įkainio indeksavimas. Prekių įkainio indeksavimas atliekamas tokiomis sąlygomis ir tvarka:</w:t>
            </w:r>
          </w:p>
          <w:p w14:paraId="3721EC51" w14:textId="620AAF6E" w:rsidR="00BA4D7E" w:rsidRPr="00BA4D7E" w:rsidRDefault="00BA4D7E" w:rsidP="00BA4D7E">
            <w:pPr>
              <w:jc w:val="both"/>
            </w:pPr>
            <w:r w:rsidRPr="00BA4D7E">
              <w:t xml:space="preserve">2.5.2. Bet kuri Šalis turi teisę inicijuoti Susitarimu nustatytų įkainių perskaičiavimą (keitimą), tačiau ne anksčiau kaip po 12 (dvylikos) mėnesių nuo </w:t>
            </w:r>
            <w:r w:rsidR="003A13FE">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57057D"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r w:rsidRPr="003A13FE">
              <w:t>Medicinos gaminiai, aparatai ir įranga</w:t>
            </w:r>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r w:rsidRPr="003A13FE">
              <w:t>Medicinos gaminiai, aparatai ir įranga</w:t>
            </w:r>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3A13FE">
              <w:t>Medicinos gaminiai, aparatai ir įranga</w:t>
            </w:r>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77777777" w:rsidR="00BA4D7E" w:rsidRPr="00971D8A" w:rsidRDefault="00BA4D7E" w:rsidP="00BA4D7E">
            <w:pPr>
              <w:jc w:val="both"/>
            </w:pPr>
            <w:r>
              <w:t>2.5.</w:t>
            </w:r>
            <w:r w:rsidRPr="00971D8A">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E3E186"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3068C85B"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5B32C9">
              <w:rPr>
                <w:b/>
              </w:rPr>
              <w:t>1</w:t>
            </w:r>
            <w:r w:rsidR="00ED549E" w:rsidRPr="00C15D1F">
              <w:rPr>
                <w:b/>
              </w:rPr>
              <w:t xml:space="preserve">0 (dešimt) </w:t>
            </w:r>
            <w:r w:rsidR="005B32C9">
              <w:rPr>
                <w:b/>
              </w:rPr>
              <w:t>darbo</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p>
          <w:p w14:paraId="2AE944C1" w14:textId="3478E82B" w:rsidR="001C47EE" w:rsidRPr="00672A82" w:rsidRDefault="0091569E" w:rsidP="001C47EE">
            <w:pPr>
              <w:autoSpaceDE w:val="0"/>
              <w:autoSpaceDN w:val="0"/>
              <w:adjustRightInd w:val="0"/>
              <w:jc w:val="both"/>
            </w:pPr>
            <w:r w:rsidRPr="00CB2B0F">
              <w:lastRenderedPageBreak/>
              <w:t xml:space="preserve">3.5. Prekės pristatomos </w:t>
            </w:r>
            <w:r w:rsidRPr="00CB2B0F">
              <w:rPr>
                <w:b/>
              </w:rPr>
              <w:t>Gavėjui</w:t>
            </w:r>
            <w:r w:rsidRPr="00CB2B0F">
              <w:t xml:space="preserve"> adres</w:t>
            </w:r>
            <w:r w:rsidR="005B32C9">
              <w:t>u</w:t>
            </w:r>
            <w:r w:rsidR="001C47EE" w:rsidRPr="00672A82">
              <w:t xml:space="preserve"> Lietuvos kariuomenės Dr. Jono Basanavičiaus Karo medicinos tarnyba, Ašmenos 2-oji g. 25A, Kaunas, atsakingas asmuo: </w:t>
            </w:r>
            <w:r w:rsidR="005B32C9">
              <w:t>karo medicinos gydytojo vyr. padėjėja</w:t>
            </w:r>
            <w:r w:rsidR="001C47EE" w:rsidRPr="00672A82">
              <w:t xml:space="preserve"> </w:t>
            </w:r>
            <w:proofErr w:type="spellStart"/>
            <w:r w:rsidR="001C47EE">
              <w:t>št</w:t>
            </w:r>
            <w:proofErr w:type="spellEnd"/>
            <w:r w:rsidR="001C47EE">
              <w:t xml:space="preserve">. </w:t>
            </w:r>
            <w:proofErr w:type="spellStart"/>
            <w:r w:rsidR="001C47EE" w:rsidRPr="00672A82">
              <w:t>srž</w:t>
            </w:r>
            <w:proofErr w:type="spellEnd"/>
            <w:r w:rsidR="001C47EE" w:rsidRPr="00672A82">
              <w:t xml:space="preserve">. </w:t>
            </w:r>
            <w:r w:rsidR="005B32C9">
              <w:t>sp. Giedrė Čiapienė</w:t>
            </w:r>
            <w:r w:rsidR="001C47EE" w:rsidRPr="00672A82">
              <w:t xml:space="preserve">, tel. </w:t>
            </w:r>
            <w:r w:rsidR="005B32C9">
              <w:t>+370 37</w:t>
            </w:r>
            <w:r w:rsidR="001C47EE" w:rsidRPr="00672A82">
              <w:t xml:space="preserve"> 75 40 09,</w:t>
            </w:r>
            <w:r w:rsidR="005B32C9">
              <w:t xml:space="preserve"> </w:t>
            </w:r>
            <w:proofErr w:type="spellStart"/>
            <w:r w:rsidR="005B32C9">
              <w:t>giedre.ciapiene</w:t>
            </w:r>
            <w:r w:rsidR="001C47EE" w:rsidRPr="00672A82">
              <w:t>@mil.lt</w:t>
            </w:r>
            <w:proofErr w:type="spellEnd"/>
            <w:r w:rsidR="001C47EE" w:rsidRPr="00672A82">
              <w:t>.</w:t>
            </w:r>
          </w:p>
          <w:p w14:paraId="21389F9E" w14:textId="77777777" w:rsidR="00266566" w:rsidRPr="00266566" w:rsidRDefault="00266566" w:rsidP="00266566">
            <w:pPr>
              <w:autoSpaceDE w:val="0"/>
              <w:autoSpaceDN w:val="0"/>
              <w:adjustRightInd w:val="0"/>
              <w:jc w:val="both"/>
            </w:pPr>
            <w:r w:rsidRPr="00266566">
              <w:t>3.6.</w:t>
            </w:r>
            <w:r w:rsidRPr="00266566">
              <w:rPr>
                <w:b/>
              </w:rPr>
              <w:t xml:space="preserve"> </w:t>
            </w:r>
            <w:r w:rsidRPr="00266566">
              <w:t>Prekių pristatymo sąlygos – INCOTERMS 2020 DDP.</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4EF8F683" w:rsidR="000F7C80" w:rsidRPr="005D4C29" w:rsidRDefault="000F7C80" w:rsidP="003A13FE">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 xml:space="preserve">darbo dienų nuo prašymo </w:t>
            </w:r>
            <w:r w:rsidR="003A13FE">
              <w:t>pateikimo</w:t>
            </w:r>
            <w:r w:rsidRPr="005D4C29">
              <w:t xml:space="preserve"> </w:t>
            </w:r>
            <w:r w:rsidR="003A13FE">
              <w:t xml:space="preserve">Sutarties specialiosios dalies 9.9 punkte nurodytu elektroninio pašto adresu </w:t>
            </w:r>
            <w:r w:rsidRPr="005D4C29">
              <w:t>dienos.</w:t>
            </w:r>
            <w:r w:rsidR="003A13FE">
              <w:t xml:space="preserve"> Pardavėjas</w:t>
            </w:r>
            <w:r w:rsidR="003A13FE" w:rsidRPr="003A13FE">
              <w:t xml:space="preserve"> taip pat privalo užtikrinti, kad </w:t>
            </w:r>
            <w:r w:rsidR="003A13FE">
              <w:t>Pardavėjas</w:t>
            </w:r>
            <w:r w:rsidR="003A13FE" w:rsidRPr="003A13FE">
              <w:t xml:space="preserve">, jo subtiekėjai, kiti ūkio subjektai, kurių </w:t>
            </w:r>
            <w:proofErr w:type="spellStart"/>
            <w:r w:rsidR="003A13FE" w:rsidRPr="003A13FE">
              <w:t>pajėgumais</w:t>
            </w:r>
            <w:proofErr w:type="spellEnd"/>
            <w:r w:rsidR="003A13FE" w:rsidRPr="003A13FE">
              <w:t xml:space="preserve"> yra remiamasi, gamintojai ar juos kontroliuojantys asmenys viso Sutarties vykdymo metu neatitinka Viešųjų pirkimų įstatymo 37 straipsnio 8 dalyje ir (ar) 47 straipsnio 8 dalyje išvardintų sąlygų.</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3A96C6CB" w:rsidR="001A7C08" w:rsidRPr="005D4C29" w:rsidRDefault="001A7C08" w:rsidP="001A7C08">
            <w:pPr>
              <w:jc w:val="both"/>
              <w:rPr>
                <w:b/>
              </w:rPr>
            </w:pPr>
            <w:r w:rsidRPr="005D4C29">
              <w:rPr>
                <w:b/>
              </w:rPr>
              <w:t>5. Pirkėjo teisė vienašališkai nutraukti Sutartį</w:t>
            </w:r>
            <w:r w:rsidRPr="005D4C29">
              <w:t xml:space="preserve"> </w:t>
            </w:r>
          </w:p>
          <w:p w14:paraId="12222C08" w14:textId="4317DA54"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3A13FE">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lastRenderedPageBreak/>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5396E314" w:rsidR="00C10019" w:rsidRPr="003A13FE" w:rsidRDefault="00C10019" w:rsidP="00C10019">
            <w:pPr>
              <w:jc w:val="both"/>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rsidR="003A13FE">
              <w:t xml:space="preserve"> T</w:t>
            </w:r>
            <w:r w:rsidR="003A13FE" w:rsidRPr="003A13FE">
              <w:rPr>
                <w:color w:val="000000"/>
              </w:rPr>
              <w:t xml:space="preserve">aip pat paaiškėjus, kad </w:t>
            </w:r>
            <w:r w:rsidR="003A13FE">
              <w:rPr>
                <w:color w:val="000000"/>
              </w:rPr>
              <w:t>Pardavėjas</w:t>
            </w:r>
            <w:r w:rsidR="003A13FE" w:rsidRPr="003A13FE">
              <w:rPr>
                <w:color w:val="000000"/>
              </w:rPr>
              <w:t xml:space="preserve">, jo subtiekėjai, kiti ūkio subjektai, kurių </w:t>
            </w:r>
            <w:proofErr w:type="spellStart"/>
            <w:r w:rsidR="003A13FE" w:rsidRPr="003A13FE">
              <w:rPr>
                <w:color w:val="000000"/>
              </w:rPr>
              <w:t>pajėgumais</w:t>
            </w:r>
            <w:proofErr w:type="spellEnd"/>
            <w:r w:rsidR="003A13FE"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62EDACB3"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3A13FE">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CC3A5CD"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DB31C6">
              <w:t>s</w:t>
            </w:r>
            <w:r w:rsidR="007461E3" w:rsidRPr="00D9649A">
              <w:t>) darbo dien</w:t>
            </w:r>
            <w:r w:rsidR="00DB31C6">
              <w:t>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5892F619"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w:t>
            </w:r>
            <w:r w:rsidR="00810810">
              <w:t>7</w:t>
            </w:r>
            <w:r w:rsidR="000F1175">
              <w:t xml:space="preserve">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003A13FE">
              <w:rPr>
                <w:i/>
              </w:rPr>
              <w:t xml:space="preserve"> be PVM</w:t>
            </w:r>
            <w:r w:rsidRPr="005D4C29">
              <w:t xml:space="preserve">). </w:t>
            </w:r>
          </w:p>
          <w:p w14:paraId="6CD38E3C" w14:textId="77777777" w:rsidR="009D3494"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40787C">
              <w:t>38</w:t>
            </w:r>
            <w:r w:rsidRPr="005D4C29">
              <w:t xml:space="preserve"> (</w:t>
            </w:r>
            <w:r w:rsidR="0040787C">
              <w:t>tris</w:t>
            </w:r>
            <w:r w:rsidR="00710438">
              <w:t xml:space="preserve">dešimt </w:t>
            </w:r>
            <w:r w:rsidR="0040787C">
              <w:t>aštuoni</w:t>
            </w:r>
            <w:r w:rsidRPr="005D4C29">
              <w:t>) mėnesi</w:t>
            </w:r>
            <w:r w:rsidR="00710438">
              <w:t>ai</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p w14:paraId="5B2D314A" w14:textId="771BDDFA" w:rsidR="003A13FE" w:rsidRPr="005D4C29" w:rsidRDefault="003A13FE" w:rsidP="002945F6">
            <w:pPr>
              <w:pStyle w:val="ListParagraph"/>
              <w:spacing w:after="0" w:line="240" w:lineRule="auto"/>
              <w:ind w:left="0"/>
              <w:jc w:val="both"/>
            </w:pPr>
            <w:r>
              <w:t>8</w:t>
            </w:r>
            <w:r w:rsidRPr="003A13FE">
              <w:t>.3. Pardavėjas turi teisę pateikti banko garantiją ar draudimo bendrovės laidavimo raštą, kurio galiojimo terminas trumpesnis už nurodytą Sutarties Specialiosios dalies 8.</w:t>
            </w:r>
            <w:r>
              <w:t>2</w:t>
            </w:r>
            <w:r w:rsidRPr="003A13FE">
              <w:t xml:space="preserve"> punkte, bet ne trumpesnis kaip 24 (dvidešimt keturi) mėnesiai. Šiuo atveju kartu su Sutarties įvykdymo užtikrinimo dokumentais Pardavėjas privalo pateikti banko ar draudimo bendrovės patvirtinimą, kad iki banko garantijos ar draudimo bendrovės laidavimo rašto galiojimo termino pabaigos likus ne mažiau kaip 60 dienų, banko garantija ar draudimo bendrovės laidavimo raštas bus tomis pačiomis sąlygomis pratęstas ne trumpesniam kaip 14 (keturiolikos) mėnesių galiojimo laikotarpiui pratęsimą skaičiuojant nuo 24 mėnesių laikotarpio pasibaigimo. Banko garantijos ar draudimo bendrovės laidavimo rašto galiojimo terminas turi būti tomis pačiomis sąlygomis pratęstas tiek, kad bendras Sutarties įvykdymo užtikrinimo galiojimo terminas apimtų </w:t>
            </w:r>
            <w:r w:rsidR="002945F6">
              <w:t>38</w:t>
            </w:r>
            <w:r w:rsidRPr="003A13FE">
              <w:t xml:space="preserve"> (</w:t>
            </w:r>
            <w:r w:rsidR="002945F6">
              <w:t>trisdešimt aštuonių</w:t>
            </w:r>
            <w:r w:rsidRPr="003A13FE">
              <w:t xml:space="preserve">) </w:t>
            </w:r>
            <w:r w:rsidRPr="003A13FE">
              <w:lastRenderedPageBreak/>
              <w:t>mėnesi</w:t>
            </w:r>
            <w:r w:rsidR="002945F6">
              <w:t>ų</w:t>
            </w:r>
            <w:r w:rsidRPr="003A13FE">
              <w:t>, skaičiuojant nuo Sutarties įsigaliojimo dienos, terminą. Šiame Sutarties punkte nurodyta tvarka Pardavėjui nepratęsus Sutarties įvykdymo užtikrinimo dokumento galiojimo termino, Pirkėjas įgyja teisę reikalauti sumokėti visą Sutarties įvykdymo užtikrinime nurodytą sumą.</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lastRenderedPageBreak/>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57057D"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w:t>
            </w:r>
            <w:r w:rsidRPr="0057057D">
              <w:t>nesikreipdamas į teismą, nutraukti Sutartį bendrosios dalies nustatyta tvarka.</w:t>
            </w:r>
          </w:p>
          <w:p w14:paraId="00F54FEB" w14:textId="77777777" w:rsidR="00C21B43" w:rsidRDefault="00892968" w:rsidP="00C21B43">
            <w:pPr>
              <w:jc w:val="both"/>
            </w:pPr>
            <w:r w:rsidRPr="0057057D">
              <w:t xml:space="preserve">9.8. </w:t>
            </w:r>
            <w:r w:rsidR="00C21B43" w:rsidRPr="0057057D">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C21B43" w:rsidRPr="0057057D">
              <w:rPr>
                <w:i/>
                <w:color w:val="000000"/>
              </w:rPr>
              <w:t>prekei pagaminti ir (ar) tiekti, paslaugai</w:t>
            </w:r>
            <w:r w:rsidR="00C21B43" w:rsidRPr="00790B74">
              <w:rPr>
                <w:i/>
                <w:color w:val="000000"/>
              </w:rPr>
              <w:t xml:space="preserve"> teikti ar darbams atl</w:t>
            </w:r>
            <w:bookmarkStart w:id="0" w:name="_GoBack"/>
            <w:bookmarkEnd w:id="0"/>
            <w:r w:rsidR="00C21B43" w:rsidRPr="00790B74">
              <w:rPr>
                <w:i/>
                <w:color w:val="000000"/>
              </w:rPr>
              <w:t>ikti sunaudojama mažiau gamtos išteklių ir (ar) sudėtyje yra pakartotinai panaudotų ir (ar) perdirbtų medžiagų</w:t>
            </w:r>
            <w:r w:rsidR="00C21B43" w:rsidRPr="009659D3">
              <w:rPr>
                <w:lang w:val="en-US"/>
              </w:rPr>
              <w:t>). </w:t>
            </w:r>
            <w:r w:rsidR="00C21B43">
              <w:rPr>
                <w:lang w:val="en-US"/>
              </w:rPr>
              <w:t xml:space="preserve"> </w:t>
            </w:r>
            <w:r w:rsidR="00C21B43" w:rsidRPr="005D4C29">
              <w:rPr>
                <w:b/>
              </w:rPr>
              <w:t>Pardavėjas</w:t>
            </w:r>
            <w:r w:rsidR="00C21B43" w:rsidRPr="005D4C29">
              <w:t xml:space="preserve"> </w:t>
            </w:r>
            <w:r w:rsidR="00C21B43" w:rsidRPr="009659D3">
              <w:t xml:space="preserve">įsipareigoja bendrauti su Pirkėju elektroninėmis priemonėmis (telefonu, elektroniniu paštu ar kt.), mažinti popieriaus sunaudojimą, atsisakyti nebūtino dokumentų kopijavimo ir spausdinimo. Su Sutarties vykdymu susiję dokumentai </w:t>
            </w:r>
            <w:r w:rsidR="00C21B43" w:rsidRPr="0057057D">
              <w:rPr>
                <w:b/>
              </w:rPr>
              <w:t>Pirkėjui</w:t>
            </w:r>
            <w:r w:rsidR="00C21B43" w:rsidRPr="009659D3">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21B43" w:rsidRPr="0057057D">
              <w:rPr>
                <w:b/>
              </w:rPr>
              <w:t>Pirkėjas</w:t>
            </w:r>
            <w:r w:rsidR="00C21B43" w:rsidRPr="009659D3">
              <w:t xml:space="preserve"> nurodo tokį būtinumą – tokiu atveju turi būti naudojamas perdirbtas popierius, kuris atitinka minimaliuosius aplinkos apsaugos kriterijus, patvirtintus </w:t>
            </w:r>
            <w:r w:rsidR="00C21B43">
              <w:t>Tvarkos apraše</w:t>
            </w:r>
            <w:r w:rsidR="00C21B43" w:rsidRPr="009659D3">
              <w:t xml:space="preserve">. Jeigu prekės supakuojamos į antrinę pakuotę, prekių antrinės pakuotės turi būti laikytinos perdirbamosiomis pakuotėmis pagal Lietuvos Respublikos mokesčio už aplinkos teršimą įstatymo nuostatas. </w:t>
            </w:r>
            <w:r w:rsidR="00C21B43" w:rsidRPr="009659D3">
              <w:lastRenderedPageBreak/>
              <w:t xml:space="preserve">Popierinė pakuotė turi būti pagaminta iš 100 proc. perdirbto popieriaus (naudoto popieriaus ir (ar) gamybos atliekų) plaušų arba ne mažiau kaip 30 proc. pirminės medienos plaušų, gautų iš miškų, sertifikuotų naudojant </w:t>
            </w:r>
            <w:proofErr w:type="spellStart"/>
            <w:r w:rsidR="00C21B43" w:rsidRPr="009659D3">
              <w:t>Forest</w:t>
            </w:r>
            <w:proofErr w:type="spellEnd"/>
            <w:r w:rsidR="00C21B43" w:rsidRPr="009659D3">
              <w:t xml:space="preserve"> </w:t>
            </w:r>
            <w:proofErr w:type="spellStart"/>
            <w:r w:rsidR="00C21B43" w:rsidRPr="009659D3">
              <w:t>Stewardship</w:t>
            </w:r>
            <w:proofErr w:type="spellEnd"/>
            <w:r w:rsidR="00C21B43" w:rsidRPr="009659D3">
              <w:t xml:space="preserve"> </w:t>
            </w:r>
            <w:proofErr w:type="spellStart"/>
            <w:r w:rsidR="00C21B43" w:rsidRPr="009659D3">
              <w:t>Council</w:t>
            </w:r>
            <w:proofErr w:type="spellEnd"/>
            <w:r w:rsidR="00C21B43" w:rsidRPr="009659D3">
              <w:t xml:space="preserve"> (toliau – FSC) ar Miškų sertifikavimo sistemų pripažinimo programą (angl. </w:t>
            </w:r>
            <w:proofErr w:type="spellStart"/>
            <w:r w:rsidR="00C21B43" w:rsidRPr="009659D3">
              <w:t>Programme</w:t>
            </w:r>
            <w:proofErr w:type="spellEnd"/>
            <w:r w:rsidR="00C21B43" w:rsidRPr="009659D3">
              <w:t xml:space="preserve"> </w:t>
            </w:r>
            <w:proofErr w:type="spellStart"/>
            <w:r w:rsidR="00C21B43" w:rsidRPr="009659D3">
              <w:t>for</w:t>
            </w:r>
            <w:proofErr w:type="spellEnd"/>
            <w:r w:rsidR="00C21B43" w:rsidRPr="009659D3">
              <w:t xml:space="preserve"> </w:t>
            </w:r>
            <w:proofErr w:type="spellStart"/>
            <w:r w:rsidR="00C21B43" w:rsidRPr="009659D3">
              <w:t>the</w:t>
            </w:r>
            <w:proofErr w:type="spellEnd"/>
            <w:r w:rsidR="00C21B43" w:rsidRPr="009659D3">
              <w:t xml:space="preserve"> </w:t>
            </w:r>
            <w:proofErr w:type="spellStart"/>
            <w:r w:rsidR="00C21B43" w:rsidRPr="009659D3">
              <w:t>Endorsement</w:t>
            </w:r>
            <w:proofErr w:type="spellEnd"/>
            <w:r w:rsidR="00C21B43" w:rsidRPr="009659D3">
              <w:t xml:space="preserve"> </w:t>
            </w:r>
            <w:proofErr w:type="spellStart"/>
            <w:r w:rsidR="00C21B43" w:rsidRPr="009659D3">
              <w:t>of</w:t>
            </w:r>
            <w:proofErr w:type="spellEnd"/>
            <w:r w:rsidR="00C21B43" w:rsidRPr="009659D3">
              <w:t xml:space="preserve"> </w:t>
            </w:r>
            <w:proofErr w:type="spellStart"/>
            <w:r w:rsidR="00C21B43" w:rsidRPr="009659D3">
              <w:t>Forest</w:t>
            </w:r>
            <w:proofErr w:type="spellEnd"/>
            <w:r w:rsidR="00C21B43" w:rsidRPr="009659D3">
              <w:t xml:space="preserve"> </w:t>
            </w:r>
            <w:proofErr w:type="spellStart"/>
            <w:r w:rsidR="00C21B43" w:rsidRPr="009659D3">
              <w:t>Certification</w:t>
            </w:r>
            <w:proofErr w:type="spellEnd"/>
            <w:r w:rsidR="00C21B43" w:rsidRPr="009659D3">
              <w:t xml:space="preserve"> </w:t>
            </w:r>
            <w:proofErr w:type="spellStart"/>
            <w:r w:rsidR="00C21B43" w:rsidRPr="009659D3">
              <w:t>schemes</w:t>
            </w:r>
            <w:proofErr w:type="spellEnd"/>
            <w:r w:rsidR="00C21B43" w:rsidRPr="009659D3">
              <w:t xml:space="preserve"> (toliau – PEFC) arba lygiavertes miškų sertifikavimo sistemas, kita dalis – iš perdirbto popieriaus plaušų. </w:t>
            </w:r>
          </w:p>
          <w:p w14:paraId="5E079587" w14:textId="77777777" w:rsidR="00C21B43" w:rsidRPr="009659D3" w:rsidRDefault="00C21B43" w:rsidP="00C21B4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050E6FCC" w14:textId="74E38207"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(ai) – </w:t>
            </w:r>
          </w:p>
          <w:p w14:paraId="15E3A926" w14:textId="35068F7C" w:rsidR="007461E3" w:rsidRPr="005D4C29" w:rsidRDefault="007461E3" w:rsidP="007461E3">
            <w:pPr>
              <w:jc w:val="both"/>
            </w:pPr>
            <w:r w:rsidRPr="005D4C29">
              <w:t>9.</w:t>
            </w:r>
            <w:r w:rsidR="000F74B6">
              <w:t>10</w:t>
            </w:r>
            <w:r w:rsidRPr="005D4C29">
              <w:t xml:space="preserve">. </w:t>
            </w:r>
            <w:r w:rsidRPr="005D4C29">
              <w:rPr>
                <w:b/>
              </w:rPr>
              <w:t>Pirkėjo</w:t>
            </w:r>
            <w:r w:rsidRPr="005D4C29">
              <w:t xml:space="preserve"> atstovas (ai) –</w:t>
            </w:r>
          </w:p>
          <w:p w14:paraId="59DCC795" w14:textId="18934FE3"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(ai) –</w:t>
            </w:r>
          </w:p>
          <w:p w14:paraId="6E2BDE09" w14:textId="75489BA7" w:rsidR="003720DE" w:rsidRPr="005D4C29" w:rsidRDefault="003720DE" w:rsidP="003720DE">
            <w:pPr>
              <w:jc w:val="both"/>
              <w:rPr>
                <w:color w:val="000000"/>
              </w:rPr>
            </w:pPr>
            <w:r w:rsidRPr="005D4C29">
              <w:t>9.1</w:t>
            </w:r>
            <w:r>
              <w:t>2</w:t>
            </w:r>
            <w:r w:rsidRPr="005D4C29">
              <w:t>. A</w:t>
            </w:r>
            <w:r w:rsidRPr="005D4C29">
              <w:rPr>
                <w:color w:val="000000"/>
              </w:rPr>
              <w:t>smuo, atsakingas už Sutarties paskelbimą –</w:t>
            </w:r>
          </w:p>
          <w:p w14:paraId="41B1AC71" w14:textId="23DC1828"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241954BB"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6650D731"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A4C419B" w:rsidR="00EB0044" w:rsidRDefault="00EB0044" w:rsidP="007E3154">
            <w:pPr>
              <w:jc w:val="both"/>
            </w:pPr>
            <w:r w:rsidRPr="005D4C29">
              <w:t>9.</w:t>
            </w:r>
            <w:r w:rsidR="001E7DD9">
              <w:t>1</w:t>
            </w:r>
            <w:r w:rsidR="003720DE">
              <w:t>4</w:t>
            </w:r>
            <w:r w:rsidRPr="005D4C29">
              <w:t>.4. 4 priedas „Tiekėjo pasiūlymas“,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D52CE8A" w:rsidR="003822DC" w:rsidRDefault="003822DC">
        <w:pPr>
          <w:pStyle w:val="Footer"/>
          <w:jc w:val="center"/>
        </w:pPr>
        <w:r>
          <w:fldChar w:fldCharType="begin"/>
        </w:r>
        <w:r>
          <w:instrText xml:space="preserve"> PAGE   \* MERGEFORMAT </w:instrText>
        </w:r>
        <w:r>
          <w:fldChar w:fldCharType="separate"/>
        </w:r>
        <w:r w:rsidR="0057057D">
          <w:rPr>
            <w:noProof/>
          </w:rPr>
          <w:t>7</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4E34"/>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5F6"/>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13FE"/>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57D"/>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32C9"/>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0810"/>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5D8C"/>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1B43"/>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50AF"/>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1C6"/>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6C67"/>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46778"/>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A47A0"/>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4141-FE12-48EC-A2EF-5E6CE724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8453</Words>
  <Characters>60582</Characters>
  <Application>Microsoft Office Word</Application>
  <DocSecurity>0</DocSecurity>
  <Lines>504</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5</cp:revision>
  <cp:lastPrinted>2020-10-28T13:49:00Z</cp:lastPrinted>
  <dcterms:created xsi:type="dcterms:W3CDTF">2025-09-02T16:39:00Z</dcterms:created>
  <dcterms:modified xsi:type="dcterms:W3CDTF">2025-09-10T08:39:00Z</dcterms:modified>
</cp:coreProperties>
</file>