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E67243">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41C3F212"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8D05A6">
            <w:rPr>
              <w:rFonts w:cstheme="minorHAnsi"/>
              <w:b/>
              <w:bCs/>
              <w:i/>
              <w:iCs/>
              <w:sz w:val="22"/>
              <w:szCs w:val="22"/>
            </w:rPr>
            <w:t>NVP-78812 Medicininė įrang</w:t>
          </w:r>
          <w:r w:rsidR="00D57450">
            <w:rPr>
              <w:rFonts w:cstheme="minorHAnsi"/>
              <w:b/>
              <w:bCs/>
              <w:i/>
              <w:iCs/>
              <w:sz w:val="22"/>
              <w:szCs w:val="22"/>
            </w:rPr>
            <w:t>a</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E67243">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E67243">
              <w:pPr>
                <w:pStyle w:val="Turinys2"/>
                <w:spacing w:line="240" w:lineRule="auto"/>
              </w:pPr>
            </w:p>
            <w:p w14:paraId="0DDC40AE" w14:textId="40A28A09" w:rsidR="001C24BC" w:rsidRPr="008D3D9F" w:rsidRDefault="00000000" w:rsidP="00E67243">
              <w:pPr>
                <w:pStyle w:val="Turinys2"/>
                <w:spacing w:line="240" w:lineRule="auto"/>
                <w:rPr>
                  <w:noProof/>
                  <w:kern w:val="2"/>
                  <w:sz w:val="24"/>
                  <w:szCs w:val="24"/>
                  <w14:ligatures w14:val="standardContextual"/>
                </w:rPr>
              </w:pPr>
            </w:p>
          </w:sdtContent>
        </w:sdt>
        <w:p w14:paraId="73CCB438" w14:textId="4D844494" w:rsidR="005F13F0" w:rsidRPr="008D3D9F" w:rsidRDefault="000E350F" w:rsidP="00E67243">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E6724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E6724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E67243">
      <w:pPr>
        <w:spacing w:after="0" w:line="240" w:lineRule="auto"/>
        <w:ind w:left="1418"/>
      </w:pPr>
      <w:r w:rsidRPr="008D3D9F">
        <w:t>2.1 priedas „1 p. o. d. techninė specifikacija“;</w:t>
      </w:r>
    </w:p>
    <w:p w14:paraId="306DD704" w14:textId="2FA32F04" w:rsidR="001F3EC3" w:rsidRDefault="001F3EC3" w:rsidP="00E67243">
      <w:pPr>
        <w:spacing w:after="0" w:line="240" w:lineRule="auto"/>
        <w:ind w:left="1418"/>
      </w:pPr>
      <w:r w:rsidRPr="008D3D9F">
        <w:t>2.2 priedas „2 p. o. d. techninė specifikacija“</w:t>
      </w:r>
      <w:r w:rsidR="00187AD2">
        <w:t>;</w:t>
      </w:r>
    </w:p>
    <w:p w14:paraId="60C5B292" w14:textId="524D607B" w:rsidR="00187AD2" w:rsidRDefault="00187AD2" w:rsidP="00E67243">
      <w:pPr>
        <w:spacing w:after="0" w:line="240" w:lineRule="auto"/>
        <w:ind w:left="1418"/>
      </w:pPr>
      <w:r w:rsidRPr="008D3D9F">
        <w:t>2.</w:t>
      </w:r>
      <w:r>
        <w:t>3</w:t>
      </w:r>
      <w:r w:rsidRPr="008D3D9F">
        <w:t xml:space="preserve"> priedas „</w:t>
      </w:r>
      <w:r>
        <w:t>3</w:t>
      </w:r>
      <w:r w:rsidRPr="008D3D9F">
        <w:t xml:space="preserve"> p. o. d. techninė specifikacija“</w:t>
      </w:r>
      <w:r>
        <w:t>;</w:t>
      </w:r>
    </w:p>
    <w:p w14:paraId="7A1EBF38" w14:textId="7CBFDC8B" w:rsidR="00187AD2" w:rsidRDefault="00187AD2" w:rsidP="00E67243">
      <w:pPr>
        <w:spacing w:after="0" w:line="240" w:lineRule="auto"/>
        <w:ind w:left="1418"/>
      </w:pPr>
      <w:r w:rsidRPr="008D3D9F">
        <w:t>2.</w:t>
      </w:r>
      <w:r>
        <w:t>4</w:t>
      </w:r>
      <w:r w:rsidRPr="008D3D9F">
        <w:t xml:space="preserve"> priedas „</w:t>
      </w:r>
      <w:r>
        <w:t>4</w:t>
      </w:r>
      <w:r w:rsidRPr="008D3D9F">
        <w:t xml:space="preserve"> p. o. d. techninė specifikacija“</w:t>
      </w:r>
      <w:r>
        <w:t>;</w:t>
      </w:r>
    </w:p>
    <w:p w14:paraId="3877DF16" w14:textId="2E911400" w:rsidR="00187AD2" w:rsidRDefault="00C27491" w:rsidP="00E67243">
      <w:pPr>
        <w:spacing w:after="0" w:line="240" w:lineRule="auto"/>
        <w:ind w:left="1418"/>
      </w:pPr>
      <w:r w:rsidRPr="008D3D9F">
        <w:t>2.</w:t>
      </w:r>
      <w:r>
        <w:t>5</w:t>
      </w:r>
      <w:r w:rsidRPr="008D3D9F">
        <w:t xml:space="preserve"> priedas „</w:t>
      </w:r>
      <w:r>
        <w:t>5</w:t>
      </w:r>
      <w:r w:rsidRPr="008D3D9F">
        <w:t xml:space="preserve"> p. o. d. techninė specifikacija“</w:t>
      </w:r>
      <w:r>
        <w:t>;</w:t>
      </w:r>
    </w:p>
    <w:p w14:paraId="6B7EB805" w14:textId="5A116FCF" w:rsidR="00C27491" w:rsidRDefault="00C27491" w:rsidP="00E67243">
      <w:pPr>
        <w:spacing w:after="0" w:line="240" w:lineRule="auto"/>
        <w:ind w:left="1418"/>
      </w:pPr>
      <w:r w:rsidRPr="008D3D9F">
        <w:t>2.</w:t>
      </w:r>
      <w:r w:rsidR="005C02FA">
        <w:t>6</w:t>
      </w:r>
      <w:r w:rsidRPr="008D3D9F">
        <w:t xml:space="preserve"> priedas „</w:t>
      </w:r>
      <w:r w:rsidR="005C02FA">
        <w:t>6</w:t>
      </w:r>
      <w:r w:rsidRPr="008D3D9F">
        <w:t xml:space="preserve"> p. o. d. techninė specifikacija“</w:t>
      </w:r>
      <w:r>
        <w:t>;</w:t>
      </w:r>
    </w:p>
    <w:p w14:paraId="4B067DC1" w14:textId="15F1587D" w:rsidR="00C27491" w:rsidRDefault="00C27491" w:rsidP="00E67243">
      <w:pPr>
        <w:spacing w:after="0" w:line="240" w:lineRule="auto"/>
        <w:ind w:left="1418"/>
      </w:pPr>
      <w:r w:rsidRPr="008D3D9F">
        <w:t>2.</w:t>
      </w:r>
      <w:r w:rsidR="005C02FA">
        <w:t>7</w:t>
      </w:r>
      <w:r w:rsidRPr="008D3D9F">
        <w:t xml:space="preserve"> priedas „</w:t>
      </w:r>
      <w:r w:rsidR="005C02FA">
        <w:t>7</w:t>
      </w:r>
      <w:r w:rsidRPr="008D3D9F">
        <w:t xml:space="preserve"> p. o. d. techninė specifikacija“</w:t>
      </w:r>
      <w:r>
        <w:t>;</w:t>
      </w:r>
    </w:p>
    <w:p w14:paraId="3CEB88CD" w14:textId="7C4B3D00" w:rsidR="00C27491" w:rsidRDefault="00C27491" w:rsidP="00E67243">
      <w:pPr>
        <w:spacing w:after="0" w:line="240" w:lineRule="auto"/>
        <w:ind w:left="1418"/>
      </w:pPr>
      <w:r w:rsidRPr="008D3D9F">
        <w:t>2.</w:t>
      </w:r>
      <w:r w:rsidR="005C02FA">
        <w:t>8</w:t>
      </w:r>
      <w:r w:rsidRPr="008D3D9F">
        <w:t xml:space="preserve"> priedas „</w:t>
      </w:r>
      <w:r w:rsidR="005C02FA">
        <w:t>8</w:t>
      </w:r>
      <w:r w:rsidRPr="008D3D9F">
        <w:t xml:space="preserve"> p. o. d. techninė specifikacija“</w:t>
      </w:r>
      <w:r>
        <w:t>;</w:t>
      </w:r>
    </w:p>
    <w:p w14:paraId="28BC6E80" w14:textId="27FC5FE1" w:rsidR="00C27491" w:rsidRDefault="00C27491" w:rsidP="00E67243">
      <w:pPr>
        <w:spacing w:after="0" w:line="240" w:lineRule="auto"/>
        <w:ind w:left="1418"/>
      </w:pPr>
      <w:r w:rsidRPr="008D3D9F">
        <w:t>2.</w:t>
      </w:r>
      <w:r w:rsidR="005C02FA">
        <w:t>9</w:t>
      </w:r>
      <w:r w:rsidRPr="008D3D9F">
        <w:t xml:space="preserve"> priedas „</w:t>
      </w:r>
      <w:r w:rsidR="005C02FA">
        <w:t>9</w:t>
      </w:r>
      <w:r w:rsidRPr="008D3D9F">
        <w:t xml:space="preserve"> p. o. d. techninė specifikacija“</w:t>
      </w:r>
      <w:r>
        <w:t>;</w:t>
      </w:r>
    </w:p>
    <w:p w14:paraId="72D8486C" w14:textId="2CE9DFC5" w:rsidR="00C27491" w:rsidRDefault="00C27491" w:rsidP="00E67243">
      <w:pPr>
        <w:spacing w:after="0" w:line="240" w:lineRule="auto"/>
        <w:ind w:left="1418"/>
      </w:pPr>
      <w:r w:rsidRPr="008D3D9F">
        <w:t>2.</w:t>
      </w:r>
      <w:r w:rsidR="005C02FA">
        <w:t>10</w:t>
      </w:r>
      <w:r w:rsidRPr="008D3D9F">
        <w:t xml:space="preserve"> priedas „</w:t>
      </w:r>
      <w:r w:rsidR="005C02FA">
        <w:t>10</w:t>
      </w:r>
      <w:r w:rsidRPr="008D3D9F">
        <w:t xml:space="preserve"> p. o. d. techninė specifikacija“</w:t>
      </w:r>
      <w:r>
        <w:t>;</w:t>
      </w:r>
    </w:p>
    <w:p w14:paraId="69B5FE87" w14:textId="037CA157" w:rsidR="00C27491" w:rsidRDefault="00C27491" w:rsidP="00E67243">
      <w:pPr>
        <w:spacing w:after="0" w:line="240" w:lineRule="auto"/>
        <w:ind w:left="1418"/>
      </w:pPr>
      <w:r w:rsidRPr="008D3D9F">
        <w:t>2.</w:t>
      </w:r>
      <w:r w:rsidR="005C02FA">
        <w:t>11</w:t>
      </w:r>
      <w:r w:rsidRPr="008D3D9F">
        <w:t xml:space="preserve"> priedas „</w:t>
      </w:r>
      <w:r w:rsidR="005C02FA">
        <w:t>11</w:t>
      </w:r>
      <w:r w:rsidRPr="008D3D9F">
        <w:t xml:space="preserve"> p. o. d. techninė specifikacija“</w:t>
      </w:r>
      <w:r>
        <w:t>;</w:t>
      </w:r>
    </w:p>
    <w:p w14:paraId="7518FB6A" w14:textId="25515C3E" w:rsidR="00C27491" w:rsidRDefault="00C27491" w:rsidP="00E67243">
      <w:pPr>
        <w:spacing w:after="0" w:line="240" w:lineRule="auto"/>
        <w:ind w:left="1418"/>
      </w:pPr>
      <w:r w:rsidRPr="008D3D9F">
        <w:t>2.</w:t>
      </w:r>
      <w:r w:rsidR="005C02FA">
        <w:t>1</w:t>
      </w:r>
      <w:r w:rsidRPr="008D3D9F">
        <w:t>2 priedas „</w:t>
      </w:r>
      <w:r w:rsidR="005C02FA">
        <w:t>1</w:t>
      </w:r>
      <w:r w:rsidRPr="008D3D9F">
        <w:t>2 p. o. d. techninė specifikacija“</w:t>
      </w:r>
      <w:r>
        <w:t>;</w:t>
      </w:r>
    </w:p>
    <w:p w14:paraId="564E4FFF" w14:textId="5B4EA55C" w:rsidR="00C27491" w:rsidRPr="008D3D9F" w:rsidRDefault="00C27491" w:rsidP="00E67243">
      <w:pPr>
        <w:spacing w:after="0" w:line="240" w:lineRule="auto"/>
        <w:ind w:left="1418"/>
      </w:pPr>
      <w:r w:rsidRPr="008D3D9F">
        <w:t>2.</w:t>
      </w:r>
      <w:r w:rsidR="005C02FA">
        <w:t>13</w:t>
      </w:r>
      <w:r w:rsidRPr="008D3D9F">
        <w:t xml:space="preserve"> priedas „</w:t>
      </w:r>
      <w:r w:rsidR="005C02FA">
        <w:t>13</w:t>
      </w:r>
      <w:r w:rsidRPr="008D3D9F">
        <w:t xml:space="preserve"> p. o. d. techninė specifikacija“</w:t>
      </w:r>
      <w:r>
        <w:t>.</w:t>
      </w:r>
    </w:p>
    <w:p w14:paraId="72966F5C" w14:textId="4ADC79F8" w:rsidR="009C03D0" w:rsidRPr="008D3D9F" w:rsidRDefault="001F3EC3" w:rsidP="00E67243">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77777777" w:rsidR="001F3EC3" w:rsidRPr="008D3D9F" w:rsidRDefault="001F3EC3" w:rsidP="00E6724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2204D04A" w:rsidR="001F3EC3" w:rsidRPr="008D3D9F" w:rsidRDefault="001F3EC3" w:rsidP="00E67243">
      <w:pPr>
        <w:spacing w:after="0" w:line="240" w:lineRule="auto"/>
        <w:ind w:left="1418"/>
      </w:pPr>
      <w:r w:rsidRPr="008D3D9F">
        <w:t>4.1 priedas „</w:t>
      </w:r>
      <w:r w:rsidR="00CC5F43">
        <w:t>1, 3 – 6, 8 - 13</w:t>
      </w:r>
      <w:r w:rsidRPr="008D3D9F">
        <w:t xml:space="preserve"> p. o. d. pasiūlymų vertinimo kriterijai ir sąlygos“;</w:t>
      </w:r>
    </w:p>
    <w:p w14:paraId="1FE4284E" w14:textId="4E4A9F5C" w:rsidR="001F3EC3" w:rsidRDefault="001F3EC3" w:rsidP="00E67243">
      <w:pPr>
        <w:spacing w:after="0" w:line="240" w:lineRule="auto"/>
        <w:ind w:left="1418"/>
      </w:pPr>
      <w:r w:rsidRPr="008D3D9F">
        <w:t>4.2 priedas „</w:t>
      </w:r>
      <w:r w:rsidR="00CC5F43">
        <w:t>2</w:t>
      </w:r>
      <w:r w:rsidRPr="008D3D9F">
        <w:t xml:space="preserve"> p. o. d. pasiūlymų vertinimo kriterijai ir sąlygos“</w:t>
      </w:r>
      <w:r w:rsidR="00CC5F43">
        <w:t>;</w:t>
      </w:r>
    </w:p>
    <w:p w14:paraId="3C9356F2" w14:textId="2DB77C74" w:rsidR="00CC5F43" w:rsidRPr="008D3D9F" w:rsidRDefault="00CC5F43" w:rsidP="00E67243">
      <w:pPr>
        <w:spacing w:after="0" w:line="240" w:lineRule="auto"/>
        <w:ind w:left="1418"/>
      </w:pPr>
      <w:r w:rsidRPr="008D3D9F">
        <w:t>4.</w:t>
      </w:r>
      <w:r>
        <w:t>3</w:t>
      </w:r>
      <w:r w:rsidRPr="008D3D9F">
        <w:t xml:space="preserve"> priedas „</w:t>
      </w:r>
      <w:r>
        <w:t>7</w:t>
      </w:r>
      <w:r w:rsidRPr="008D3D9F">
        <w:t xml:space="preserve"> p. o. d. pasiūlymų vertinimo kriterijai ir sąlygos“</w:t>
      </w:r>
      <w:r>
        <w:t>.</w:t>
      </w:r>
    </w:p>
    <w:p w14:paraId="0EEAEDD7" w14:textId="77777777" w:rsidR="001F3EC3" w:rsidRPr="008D3D9F" w:rsidRDefault="001F3EC3" w:rsidP="00E6724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E6724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01DF0AC3" w:rsidR="00D84BF3" w:rsidRPr="00DA09AE" w:rsidRDefault="001F3EC3" w:rsidP="00E67243">
      <w:pPr>
        <w:pStyle w:val="Turinys2"/>
        <w:spacing w:line="240" w:lineRule="auto"/>
        <w:rPr>
          <w:color w:val="FF0000"/>
        </w:rPr>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F4663C" w:rsidRPr="00DA09AE">
        <w:rPr>
          <w:rFonts w:cstheme="minorHAnsi"/>
          <w:color w:val="FF0000"/>
        </w:rPr>
        <w:t xml:space="preserve"> </w:t>
      </w:r>
      <w:r w:rsidR="00D84BF3" w:rsidRPr="00DA09AE">
        <w:rPr>
          <w:rFonts w:cstheme="minorHAnsi"/>
          <w:color w:val="FF0000"/>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AB1676E"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06451F">
        <w:rPr>
          <w:rStyle w:val="normaltextrun"/>
          <w:rFonts w:cstheme="minorHAnsi"/>
          <w:color w:val="000000" w:themeColor="text1"/>
          <w:sz w:val="22"/>
          <w:szCs w:val="22"/>
        </w:rPr>
        <w:t>Naujosios Vilnios poliklinika</w:t>
      </w:r>
      <w:r w:rsidR="00503B35" w:rsidRPr="008D3D9F">
        <w:rPr>
          <w:rStyle w:val="normaltextrun"/>
          <w:rFonts w:cstheme="minorHAnsi"/>
          <w:color w:val="000000" w:themeColor="text1"/>
          <w:sz w:val="22"/>
          <w:szCs w:val="22"/>
        </w:rPr>
        <w:t xml:space="preserve">, kodas </w:t>
      </w:r>
      <w:r w:rsidR="005A6AE6" w:rsidRPr="005A6AE6">
        <w:rPr>
          <w:rFonts w:cstheme="minorHAnsi"/>
          <w:sz w:val="22"/>
          <w:szCs w:val="22"/>
        </w:rPr>
        <w:t>124246043</w:t>
      </w:r>
      <w:r w:rsidR="00503B35" w:rsidRPr="008D3D9F">
        <w:rPr>
          <w:rStyle w:val="normaltextrun"/>
          <w:rFonts w:cstheme="minorHAnsi"/>
          <w:color w:val="000000" w:themeColor="text1"/>
          <w:sz w:val="22"/>
          <w:szCs w:val="22"/>
        </w:rPr>
        <w:t xml:space="preserve">, adresas </w:t>
      </w:r>
      <w:r w:rsidR="005A6AE6" w:rsidRPr="005A6AE6">
        <w:rPr>
          <w:rFonts w:cstheme="minorHAnsi"/>
          <w:sz w:val="22"/>
          <w:szCs w:val="22"/>
        </w:rPr>
        <w:t>V. Sirokomlės g. 8, LT-11200 Vilnius</w:t>
      </w:r>
      <w:r w:rsidR="00503B35" w:rsidRPr="008D3D9F">
        <w:rPr>
          <w:rFonts w:eastAsia="Calibri" w:cstheme="minorHAnsi"/>
          <w:sz w:val="22"/>
          <w:szCs w:val="22"/>
        </w:rPr>
        <w:t xml:space="preserve">. Perkančioji organizacija </w:t>
      </w:r>
      <w:r w:rsidR="008D295A">
        <w:rPr>
          <w:rFonts w:eastAsia="Calibri" w:cstheme="minorHAnsi"/>
          <w:b/>
          <w:bCs/>
          <w:sz w:val="22"/>
          <w:szCs w:val="22"/>
        </w:rPr>
        <w:t>nėra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01C79057"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8D295A">
        <w:rPr>
          <w:rStyle w:val="normaltextrun"/>
          <w:b/>
          <w:bCs/>
          <w:color w:val="000000" w:themeColor="text1"/>
          <w:sz w:val="22"/>
          <w:szCs w:val="22"/>
        </w:rPr>
        <w:t>Naujosios Vilnios poliklinika</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58264B26" w14:textId="3608DFAD" w:rsidR="00824526" w:rsidRPr="008D3D9F" w:rsidRDefault="00824526" w:rsidP="00E67243">
      <w:pPr>
        <w:pStyle w:val="Sraopastraipa"/>
        <w:numPr>
          <w:ilvl w:val="1"/>
          <w:numId w:val="1"/>
        </w:numPr>
        <w:tabs>
          <w:tab w:val="left" w:pos="1134"/>
        </w:tabs>
        <w:spacing w:after="0" w:line="240" w:lineRule="auto"/>
        <w:ind w:left="0" w:firstLine="567"/>
        <w:jc w:val="both"/>
        <w:rPr>
          <w:sz w:val="22"/>
          <w:szCs w:val="22"/>
        </w:rPr>
      </w:pPr>
      <w:r w:rsidRPr="00824526">
        <w:rPr>
          <w:sz w:val="22"/>
          <w:szCs w:val="22"/>
        </w:rPr>
        <w:t>Pirkimas atliekamas įgyvendinant investicinį projektą „</w:t>
      </w:r>
      <w:r w:rsidR="00476863" w:rsidRPr="00476863">
        <w:rPr>
          <w:sz w:val="22"/>
          <w:szCs w:val="22"/>
        </w:rPr>
        <w:t>Naujosios Vilnios sveikatos centro sveikatos priežiūros paslaugoms teikti reikiamos infrastruktūros modernizavimas</w:t>
      </w:r>
      <w:r w:rsidR="00476863" w:rsidRPr="00476863">
        <w:rPr>
          <w:sz w:val="22"/>
          <w:szCs w:val="22"/>
        </w:rPr>
        <w:t xml:space="preserve"> </w:t>
      </w:r>
      <w:r w:rsidRPr="00824526">
        <w:rPr>
          <w:sz w:val="22"/>
          <w:szCs w:val="22"/>
        </w:rPr>
        <w:t>Nr.</w:t>
      </w:r>
      <w:r w:rsidR="00D04991" w:rsidRPr="00D04991">
        <w:t xml:space="preserve"> </w:t>
      </w:r>
      <w:r w:rsidR="00D04991" w:rsidRPr="00D04991">
        <w:rPr>
          <w:sz w:val="22"/>
          <w:szCs w:val="22"/>
        </w:rPr>
        <w:t>09-022-P-0053</w:t>
      </w:r>
      <w:r w:rsidRPr="00824526">
        <w:rPr>
          <w:sz w:val="22"/>
          <w:szCs w:val="22"/>
        </w:rPr>
        <w:t>“.</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5FF8FAF2"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F1AAD7C" w:rsidR="00EA7DDC" w:rsidRPr="008D3D9F" w:rsidRDefault="00507DC9" w:rsidP="00E67243">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D57450">
        <w:rPr>
          <w:rFonts w:eastAsia="Times New Roman" w:cstheme="minorHAnsi"/>
          <w:iCs/>
          <w:sz w:val="22"/>
          <w:szCs w:val="22"/>
          <w:lang w:eastAsia="en-US"/>
        </w:rPr>
        <w:t>13</w:t>
      </w:r>
      <w:r w:rsidR="00AF5F9C" w:rsidRPr="008D3D9F">
        <w:rPr>
          <w:rFonts w:eastAsia="Times New Roman" w:cstheme="minorHAnsi"/>
          <w:iCs/>
          <w:sz w:val="22"/>
          <w:szCs w:val="22"/>
          <w:lang w:eastAsia="en-US"/>
        </w:rPr>
        <w:t xml:space="preserve"> (</w:t>
      </w:r>
      <w:r w:rsidR="00D57450">
        <w:rPr>
          <w:rFonts w:eastAsia="Times New Roman" w:cstheme="minorHAnsi"/>
          <w:iCs/>
          <w:sz w:val="22"/>
          <w:szCs w:val="22"/>
          <w:lang w:eastAsia="en-US"/>
        </w:rPr>
        <w:t>trylik</w:t>
      </w:r>
      <w:r w:rsidR="00E465DB">
        <w:rPr>
          <w:rFonts w:eastAsia="Times New Roman" w:cstheme="minorHAnsi"/>
          <w:iCs/>
          <w:sz w:val="22"/>
          <w:szCs w:val="22"/>
          <w:lang w:eastAsia="en-US"/>
        </w:rPr>
        <w:t>a</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1A6728">
        <w:rPr>
          <w:rFonts w:eastAsia="Times New Roman" w:cstheme="minorHAnsi"/>
          <w:iCs/>
          <w:sz w:val="22"/>
          <w:szCs w:val="22"/>
          <w:lang w:eastAsia="en-US"/>
        </w:rPr>
        <w:t>ų</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4196A3F7" w:rsidR="00976825" w:rsidRPr="008D3D9F" w:rsidRDefault="00D57450"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Regos analizatorius</w:t>
      </w:r>
      <w:r w:rsidR="00AF5F9C" w:rsidRPr="008D3D9F">
        <w:rPr>
          <w:rFonts w:eastAsia="Times New Roman" w:cstheme="minorHAnsi"/>
          <w:iCs/>
          <w:sz w:val="22"/>
          <w:szCs w:val="22"/>
          <w:lang w:eastAsia="en-US"/>
        </w:rPr>
        <w:t>;</w:t>
      </w:r>
    </w:p>
    <w:p w14:paraId="126F2F73" w14:textId="179E29DF" w:rsidR="003D17AB"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Ultragarsinių tyrimų aparatas su priedais;</w:t>
      </w:r>
    </w:p>
    <w:p w14:paraId="391E0BB7" w14:textId="19E3E99B"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Pr>
          <w:rFonts w:eastAsia="Times New Roman" w:cstheme="minorHAnsi"/>
          <w:iCs/>
          <w:sz w:val="22"/>
          <w:szCs w:val="22"/>
          <w:lang w:eastAsia="en-US"/>
        </w:rPr>
        <w:t>Audiokabina</w:t>
      </w:r>
      <w:proofErr w:type="spellEnd"/>
      <w:r>
        <w:rPr>
          <w:rFonts w:eastAsia="Times New Roman" w:cstheme="minorHAnsi"/>
          <w:iCs/>
          <w:sz w:val="22"/>
          <w:szCs w:val="22"/>
          <w:lang w:eastAsia="en-US"/>
        </w:rPr>
        <w:t>;</w:t>
      </w:r>
    </w:p>
    <w:p w14:paraId="3EFA658A" w14:textId="1FA7DD28"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Pr>
          <w:rFonts w:eastAsia="Times New Roman" w:cstheme="minorHAnsi"/>
          <w:iCs/>
          <w:sz w:val="22"/>
          <w:szCs w:val="22"/>
          <w:lang w:eastAsia="en-US"/>
        </w:rPr>
        <w:t>Audiometras</w:t>
      </w:r>
      <w:proofErr w:type="spellEnd"/>
      <w:r>
        <w:rPr>
          <w:rFonts w:eastAsia="Times New Roman" w:cstheme="minorHAnsi"/>
          <w:iCs/>
          <w:sz w:val="22"/>
          <w:szCs w:val="22"/>
          <w:lang w:eastAsia="en-US"/>
        </w:rPr>
        <w:t>;</w:t>
      </w:r>
    </w:p>
    <w:p w14:paraId="67EDB735" w14:textId="4FCC11B0"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Lankstus LOR </w:t>
      </w:r>
      <w:proofErr w:type="spellStart"/>
      <w:r>
        <w:rPr>
          <w:rFonts w:eastAsia="Times New Roman" w:cstheme="minorHAnsi"/>
          <w:iCs/>
          <w:sz w:val="22"/>
          <w:szCs w:val="22"/>
          <w:lang w:eastAsia="en-US"/>
        </w:rPr>
        <w:t>fibroendoskopas</w:t>
      </w:r>
      <w:proofErr w:type="spellEnd"/>
      <w:r>
        <w:rPr>
          <w:rFonts w:eastAsia="Times New Roman" w:cstheme="minorHAnsi"/>
          <w:iCs/>
          <w:sz w:val="22"/>
          <w:szCs w:val="22"/>
          <w:lang w:eastAsia="en-US"/>
        </w:rPr>
        <w:t>;</w:t>
      </w:r>
    </w:p>
    <w:p w14:paraId="4C6F91E4" w14:textId="55F022E0"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Standus endoskopas;</w:t>
      </w:r>
    </w:p>
    <w:p w14:paraId="03135725" w14:textId="248ADECB" w:rsidR="00E82D07" w:rsidRDefault="00E82D07"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Optinis </w:t>
      </w:r>
      <w:proofErr w:type="spellStart"/>
      <w:r>
        <w:rPr>
          <w:rFonts w:eastAsia="Times New Roman" w:cstheme="minorHAnsi"/>
          <w:iCs/>
          <w:sz w:val="22"/>
          <w:szCs w:val="22"/>
          <w:lang w:eastAsia="en-US"/>
        </w:rPr>
        <w:t>koherentinis</w:t>
      </w:r>
      <w:proofErr w:type="spellEnd"/>
      <w:r>
        <w:rPr>
          <w:rFonts w:eastAsia="Times New Roman" w:cstheme="minorHAnsi"/>
          <w:iCs/>
          <w:sz w:val="22"/>
          <w:szCs w:val="22"/>
          <w:lang w:eastAsia="en-US"/>
        </w:rPr>
        <w:t xml:space="preserve"> tomografas;</w:t>
      </w:r>
    </w:p>
    <w:p w14:paraId="39730B71" w14:textId="37461D40" w:rsidR="00E82D07"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Mobilus </w:t>
      </w:r>
      <w:proofErr w:type="spellStart"/>
      <w:r>
        <w:rPr>
          <w:rFonts w:eastAsia="Times New Roman" w:cstheme="minorHAnsi"/>
          <w:iCs/>
          <w:sz w:val="22"/>
          <w:szCs w:val="22"/>
          <w:lang w:eastAsia="en-US"/>
        </w:rPr>
        <w:t>autorefraktometras</w:t>
      </w:r>
      <w:proofErr w:type="spellEnd"/>
      <w:r>
        <w:rPr>
          <w:rFonts w:eastAsia="Times New Roman" w:cstheme="minorHAnsi"/>
          <w:iCs/>
          <w:sz w:val="22"/>
          <w:szCs w:val="22"/>
          <w:lang w:eastAsia="en-US"/>
        </w:rPr>
        <w:t>;</w:t>
      </w:r>
    </w:p>
    <w:p w14:paraId="13AF7351" w14:textId="2D2113FC" w:rsidR="00FB477E" w:rsidRPr="00DC251F"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DC251F">
        <w:rPr>
          <w:rFonts w:eastAsia="Times New Roman" w:cstheme="minorHAnsi"/>
          <w:iCs/>
          <w:sz w:val="22"/>
          <w:szCs w:val="22"/>
          <w:lang w:eastAsia="en-US"/>
        </w:rPr>
        <w:t>Masažo stalas;</w:t>
      </w:r>
    </w:p>
    <w:p w14:paraId="066CBFE9" w14:textId="139572C7" w:rsidR="00FB477E"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Elektroterapijos aparatas;</w:t>
      </w:r>
    </w:p>
    <w:p w14:paraId="0FE91E11" w14:textId="5F6B777C" w:rsidR="00FB477E" w:rsidRDefault="00FB477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Operacinis stalas;</w:t>
      </w:r>
    </w:p>
    <w:p w14:paraId="2EC3F1A0" w14:textId="235A0288" w:rsidR="00FB477E" w:rsidRDefault="0071255A"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Guminių žiedų </w:t>
      </w:r>
      <w:proofErr w:type="spellStart"/>
      <w:r>
        <w:rPr>
          <w:rFonts w:eastAsia="Times New Roman" w:cstheme="minorHAnsi"/>
          <w:iCs/>
          <w:sz w:val="22"/>
          <w:szCs w:val="22"/>
          <w:lang w:eastAsia="en-US"/>
        </w:rPr>
        <w:t>ligatorius</w:t>
      </w:r>
      <w:proofErr w:type="spellEnd"/>
      <w:r>
        <w:rPr>
          <w:rFonts w:eastAsia="Times New Roman" w:cstheme="minorHAnsi"/>
          <w:iCs/>
          <w:sz w:val="22"/>
          <w:szCs w:val="22"/>
          <w:lang w:eastAsia="en-US"/>
        </w:rPr>
        <w:t>;</w:t>
      </w:r>
    </w:p>
    <w:p w14:paraId="16193A32" w14:textId="538EAE91" w:rsidR="0071255A" w:rsidRPr="008D3D9F" w:rsidRDefault="0071255A"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lastRenderedPageBreak/>
        <w:t>Šviesos lempa.</w:t>
      </w:r>
    </w:p>
    <w:p w14:paraId="01CA5A71" w14:textId="3EBFE6E2" w:rsidR="00A316F1" w:rsidRPr="008D3D9F" w:rsidRDefault="00F91084" w:rsidP="00E67243">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E67243">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lastRenderedPageBreak/>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B8CC6D" w:rsidR="00B22EBE" w:rsidRPr="008D3D9F"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D0D9A">
        <w:rPr>
          <w:rFonts w:cstheme="minorHAnsi"/>
          <w:sz w:val="22"/>
          <w:szCs w:val="22"/>
        </w:rPr>
        <w:t xml:space="preserve">, </w:t>
      </w:r>
      <w:r w:rsidR="003D0D9A" w:rsidRPr="008D3D9F">
        <w:rPr>
          <w:rFonts w:cstheme="minorHAnsi"/>
          <w:sz w:val="22"/>
          <w:szCs w:val="22"/>
        </w:rPr>
        <w:t>2.</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4</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4</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5</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5</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6</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6</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7</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7</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8</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8</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9</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9</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10</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0</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1</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1</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2</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2</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D54680" w:rsidRPr="008D3D9F">
        <w:rPr>
          <w:rFonts w:cstheme="minorHAnsi"/>
          <w:sz w:val="22"/>
          <w:szCs w:val="22"/>
        </w:rPr>
        <w:t>priedą;</w:t>
      </w:r>
    </w:p>
    <w:p w14:paraId="7D3AD558" w14:textId="7EAA9109" w:rsidR="008F3AB8" w:rsidRPr="008D3D9F" w:rsidRDefault="00981A92"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DC251F">
        <w:rPr>
          <w:rFonts w:cstheme="minorHAnsi"/>
          <w:bCs/>
          <w:sz w:val="22"/>
          <w:szCs w:val="22"/>
        </w:rPr>
        <w:t>dokumentai</w:t>
      </w:r>
      <w:r w:rsidR="00D04A56">
        <w:rPr>
          <w:rFonts w:cstheme="minorHAnsi"/>
          <w:bCs/>
          <w:sz w:val="22"/>
          <w:szCs w:val="22"/>
        </w:rPr>
        <w:t xml:space="preserve"> lietuvių arba anglų kalba</w:t>
      </w:r>
      <w:r w:rsidRPr="00981A92">
        <w:rPr>
          <w:rFonts w:cstheme="minorHAnsi"/>
          <w:bCs/>
          <w:sz w:val="22"/>
          <w:szCs w:val="22"/>
        </w:rPr>
        <w:t>, įrodantys siūlomos įrangos atitikimą techniniams reikalavimams, nurodytiems pirkimo dokumentų techninėje specifikacijoje: tiekėjas turi pateikti gamintojo parengtus katalogus  ir / ar siūlomos įrangos techninių charakteristikų aprašymus (</w:t>
      </w:r>
      <w:proofErr w:type="spellStart"/>
      <w:r w:rsidRPr="00981A92">
        <w:rPr>
          <w:rFonts w:cstheme="minorHAnsi"/>
          <w:bCs/>
          <w:sz w:val="22"/>
          <w:szCs w:val="22"/>
        </w:rPr>
        <w:t>pdf</w:t>
      </w:r>
      <w:proofErr w:type="spellEnd"/>
      <w:r w:rsidRPr="00981A92">
        <w:rPr>
          <w:rFonts w:cstheme="minorHAnsi"/>
          <w:bCs/>
          <w:sz w:val="22"/>
          <w:szCs w:val="22"/>
        </w:rPr>
        <w:t xml:space="preserve"> formatu) su vertimu į </w:t>
      </w:r>
      <w:r w:rsidRPr="00981A92">
        <w:rPr>
          <w:rFonts w:cstheme="minorHAnsi"/>
          <w:bCs/>
          <w:sz w:val="22"/>
          <w:szCs w:val="22"/>
        </w:rPr>
        <w:lastRenderedPageBreak/>
        <w:t>lietuvių kalbą</w:t>
      </w:r>
      <w:r w:rsidR="00CF7921" w:rsidRPr="00981A92">
        <w:rPr>
          <w:rFonts w:cstheme="minorHAnsi"/>
          <w:sz w:val="22"/>
          <w:szCs w:val="22"/>
        </w:rPr>
        <w:t xml:space="preserve">. </w:t>
      </w:r>
      <w:r w:rsidR="00CF7921" w:rsidRPr="003D0D9A">
        <w:rPr>
          <w:rFonts w:cstheme="minorHAnsi"/>
          <w:b/>
          <w:bCs/>
          <w:sz w:val="22"/>
          <w:szCs w:val="22"/>
        </w:rPr>
        <w:t>Kiekvienai pirkimo objekto daliai dokumentai turi būti pateikiami atskirame aiškiai užvadintame faile</w:t>
      </w:r>
      <w:r w:rsidR="00CF7921" w:rsidRPr="008D3D9F">
        <w:rPr>
          <w:rFonts w:cstheme="minorHAnsi"/>
          <w:sz w:val="22"/>
          <w:szCs w:val="22"/>
        </w:rPr>
        <w:t>;</w:t>
      </w:r>
      <w:r w:rsidR="00A4619A">
        <w:rPr>
          <w:rFonts w:cstheme="minorHAnsi"/>
          <w:sz w:val="22"/>
          <w:szCs w:val="22"/>
        </w:rPr>
        <w:t xml:space="preserve"> (</w:t>
      </w:r>
      <w:r w:rsidR="00A4619A">
        <w:rPr>
          <w:rFonts w:cstheme="minorHAnsi"/>
          <w:b/>
          <w:sz w:val="22"/>
          <w:szCs w:val="22"/>
        </w:rPr>
        <w:t>netaikoma 12 p. o. d.)</w:t>
      </w:r>
    </w:p>
    <w:p w14:paraId="11991CD7" w14:textId="6F5A9A5D" w:rsidR="004A427F" w:rsidRPr="008D3D9F" w:rsidRDefault="00A2045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A20458">
        <w:rPr>
          <w:b/>
          <w:bCs/>
          <w:sz w:val="22"/>
          <w:szCs w:val="22"/>
        </w:rPr>
        <w:t>taikoma 1</w:t>
      </w:r>
      <w:r w:rsidR="00FF7608">
        <w:rPr>
          <w:b/>
          <w:bCs/>
          <w:sz w:val="22"/>
          <w:szCs w:val="22"/>
        </w:rPr>
        <w:t xml:space="preserve">, </w:t>
      </w:r>
      <w:r w:rsidR="00A4619A">
        <w:rPr>
          <w:b/>
          <w:bCs/>
          <w:sz w:val="22"/>
          <w:szCs w:val="22"/>
        </w:rPr>
        <w:t xml:space="preserve">2, </w:t>
      </w:r>
      <w:r w:rsidR="00FF7608">
        <w:rPr>
          <w:b/>
          <w:bCs/>
          <w:sz w:val="22"/>
          <w:szCs w:val="22"/>
        </w:rPr>
        <w:t>3</w:t>
      </w:r>
      <w:r w:rsidR="00B76A62">
        <w:rPr>
          <w:b/>
          <w:bCs/>
          <w:sz w:val="22"/>
          <w:szCs w:val="22"/>
        </w:rPr>
        <w:t>, 5</w:t>
      </w:r>
      <w:r w:rsidR="006141AD">
        <w:rPr>
          <w:b/>
          <w:bCs/>
          <w:sz w:val="22"/>
          <w:szCs w:val="22"/>
        </w:rPr>
        <w:t>, 7</w:t>
      </w:r>
      <w:r w:rsidR="004A01E0">
        <w:rPr>
          <w:b/>
          <w:bCs/>
          <w:sz w:val="22"/>
          <w:szCs w:val="22"/>
        </w:rPr>
        <w:t>, 8</w:t>
      </w:r>
      <w:r w:rsidR="009941C9">
        <w:rPr>
          <w:b/>
          <w:bCs/>
          <w:sz w:val="22"/>
          <w:szCs w:val="22"/>
        </w:rPr>
        <w:t xml:space="preserve">, </w:t>
      </w:r>
      <w:r w:rsidR="00CE6A49">
        <w:rPr>
          <w:rFonts w:cstheme="minorHAnsi"/>
          <w:b/>
          <w:bCs/>
          <w:sz w:val="22"/>
          <w:szCs w:val="22"/>
        </w:rPr>
        <w:t>10 – 13</w:t>
      </w:r>
      <w:r w:rsidR="00CE6A49" w:rsidRPr="00C207B3">
        <w:rPr>
          <w:rFonts w:cstheme="minorHAnsi"/>
          <w:b/>
          <w:bCs/>
          <w:sz w:val="22"/>
          <w:szCs w:val="22"/>
        </w:rPr>
        <w:t xml:space="preserve"> </w:t>
      </w:r>
      <w:r w:rsidRPr="00A20458">
        <w:rPr>
          <w:b/>
          <w:bCs/>
          <w:sz w:val="22"/>
          <w:szCs w:val="22"/>
        </w:rPr>
        <w:t xml:space="preserve">p. o. d.: </w:t>
      </w:r>
      <w:r w:rsidR="00EC3C7D" w:rsidRPr="00A20458">
        <w:rPr>
          <w:sz w:val="22"/>
          <w:szCs w:val="22"/>
        </w:rPr>
        <w:t>d</w:t>
      </w:r>
      <w:r w:rsidR="00EC3C7D" w:rsidRPr="00A20458">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00EC3C7D" w:rsidRPr="00A20458">
        <w:rPr>
          <w:rFonts w:cstheme="minorHAnsi"/>
          <w:i/>
          <w:iCs/>
          <w:sz w:val="22"/>
          <w:szCs w:val="22"/>
        </w:rPr>
        <w:t xml:space="preserve"> </w:t>
      </w:r>
      <w:r w:rsidR="008F3AB8" w:rsidRPr="00A20458">
        <w:rPr>
          <w:rFonts w:cstheme="minorHAnsi"/>
          <w:i/>
          <w:iCs/>
          <w:sz w:val="22"/>
          <w:szCs w:val="22"/>
        </w:rPr>
        <w:t>(</w:t>
      </w:r>
      <w:r w:rsidR="000628E8" w:rsidRPr="00A20458">
        <w:rPr>
          <w:rFonts w:cstheme="minorHAnsi"/>
          <w:i/>
          <w:sz w:val="22"/>
          <w:szCs w:val="22"/>
        </w:rPr>
        <w:t>pateikiamas dokumentas tiesiogiai suformuotas elektroninėmis priemonėmis arba skaitmeninė dokumento kopija</w:t>
      </w:r>
      <w:r w:rsidR="008F3AB8" w:rsidRPr="00A20458">
        <w:rPr>
          <w:rFonts w:cstheme="minorHAnsi"/>
          <w:i/>
          <w:iCs/>
          <w:sz w:val="22"/>
          <w:szCs w:val="22"/>
        </w:rPr>
        <w:t>)</w:t>
      </w:r>
      <w:r w:rsidR="00BD3C4A" w:rsidRPr="00A20458">
        <w:rPr>
          <w:rFonts w:cstheme="minorHAnsi"/>
          <w:i/>
          <w:iCs/>
          <w:sz w:val="22"/>
          <w:szCs w:val="22"/>
        </w:rPr>
        <w:t xml:space="preserve">. </w:t>
      </w:r>
      <w:r w:rsidR="00BD3C4A" w:rsidRPr="003D0D9A">
        <w:rPr>
          <w:rFonts w:cstheme="minorHAnsi"/>
          <w:b/>
          <w:bCs/>
          <w:sz w:val="22"/>
          <w:szCs w:val="22"/>
        </w:rPr>
        <w:t>Kiekvienai pirkimo objekto daliai dokumentai turi būti pateikiami atskirame aiškiai užvadintame faile</w:t>
      </w:r>
      <w:r w:rsidR="00373DCE" w:rsidRPr="008D3D9F">
        <w:rPr>
          <w:rFonts w:cstheme="minorHAnsi"/>
          <w:sz w:val="22"/>
          <w:szCs w:val="22"/>
        </w:rPr>
        <w:t>;</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6926652D"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044D78">
        <w:rPr>
          <w:color w:val="000000" w:themeColor="text1"/>
          <w:sz w:val="22"/>
          <w:szCs w:val="22"/>
        </w:rPr>
        <w:t>2 p. o. d.</w:t>
      </w:r>
      <w:r w:rsidRPr="008D3D9F">
        <w:rPr>
          <w:color w:val="000000" w:themeColor="text1"/>
          <w:sz w:val="22"/>
          <w:szCs w:val="22"/>
        </w:rPr>
        <w:t xml:space="preserve"> </w:t>
      </w:r>
      <w:r w:rsidR="00044D78">
        <w:rPr>
          <w:color w:val="000000" w:themeColor="text1"/>
          <w:sz w:val="22"/>
          <w:szCs w:val="22"/>
        </w:rPr>
        <w:t>880</w:t>
      </w:r>
      <w:r w:rsidRPr="008D3D9F">
        <w:rPr>
          <w:color w:val="000000" w:themeColor="text1"/>
          <w:sz w:val="22"/>
          <w:szCs w:val="22"/>
        </w:rPr>
        <w:t>,00 Eur</w:t>
      </w:r>
      <w:r w:rsidR="0020715A">
        <w:rPr>
          <w:color w:val="000000" w:themeColor="text1"/>
          <w:sz w:val="22"/>
          <w:szCs w:val="22"/>
        </w:rPr>
        <w:t xml:space="preserve"> </w:t>
      </w:r>
      <w:r w:rsidRPr="008D3D9F">
        <w:rPr>
          <w:color w:val="000000" w:themeColor="text1"/>
          <w:sz w:val="22"/>
          <w:szCs w:val="22"/>
        </w:rPr>
        <w:t xml:space="preserve">/ </w:t>
      </w:r>
      <w:r w:rsidR="0020715A">
        <w:rPr>
          <w:color w:val="000000" w:themeColor="text1"/>
          <w:sz w:val="22"/>
          <w:szCs w:val="22"/>
        </w:rPr>
        <w:t>7 p. o. d.</w:t>
      </w:r>
      <w:r w:rsidRPr="008D3D9F">
        <w:rPr>
          <w:color w:val="000000" w:themeColor="text1"/>
          <w:sz w:val="22"/>
          <w:szCs w:val="22"/>
        </w:rPr>
        <w:t xml:space="preserve"> </w:t>
      </w:r>
      <w:r w:rsidR="0020715A">
        <w:rPr>
          <w:color w:val="000000" w:themeColor="text1"/>
          <w:sz w:val="22"/>
          <w:szCs w:val="22"/>
        </w:rPr>
        <w:t>690</w:t>
      </w:r>
      <w:r w:rsidRPr="008D3D9F">
        <w:rPr>
          <w:color w:val="000000" w:themeColor="text1"/>
          <w:sz w:val="22"/>
          <w:szCs w:val="22"/>
        </w:rPr>
        <w:t>,00 Eur</w:t>
      </w:r>
      <w:r w:rsidR="00901BC6">
        <w:rPr>
          <w:color w:val="000000" w:themeColor="text1"/>
          <w:sz w:val="22"/>
          <w:szCs w:val="22"/>
        </w:rPr>
        <w:t xml:space="preserve"> / 11 p. o. d. 560,00 Eur</w:t>
      </w:r>
      <w:r w:rsidRPr="008D3D9F">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EF2C458" w14:textId="2B3674C9" w:rsidR="00DE6FB1" w:rsidRPr="00212C1E" w:rsidRDefault="00044D78" w:rsidP="00E67243">
      <w:pPr>
        <w:pStyle w:val="Sraopastraipa"/>
        <w:tabs>
          <w:tab w:val="left" w:pos="993"/>
        </w:tabs>
        <w:spacing w:after="0" w:line="240" w:lineRule="auto"/>
        <w:ind w:left="567"/>
        <w:jc w:val="both"/>
        <w:rPr>
          <w:sz w:val="22"/>
          <w:szCs w:val="22"/>
        </w:rPr>
      </w:pPr>
      <w:r w:rsidRPr="00212C1E">
        <w:rPr>
          <w:sz w:val="22"/>
          <w:szCs w:val="22"/>
        </w:rPr>
        <w:t>1</w:t>
      </w:r>
      <w:r w:rsidR="00DE6FB1" w:rsidRPr="00212C1E">
        <w:rPr>
          <w:sz w:val="22"/>
          <w:szCs w:val="22"/>
        </w:rPr>
        <w:t xml:space="preserve"> p. o. d.</w:t>
      </w:r>
      <w:r w:rsidR="00451108" w:rsidRPr="00212C1E">
        <w:rPr>
          <w:sz w:val="22"/>
          <w:szCs w:val="22"/>
        </w:rPr>
        <w:t xml:space="preserve">, 3 </w:t>
      </w:r>
      <w:r w:rsidR="00223B39" w:rsidRPr="00212C1E">
        <w:rPr>
          <w:sz w:val="22"/>
          <w:szCs w:val="22"/>
        </w:rPr>
        <w:t>– 6</w:t>
      </w:r>
      <w:r w:rsidR="0020715A" w:rsidRPr="00212C1E">
        <w:rPr>
          <w:sz w:val="22"/>
          <w:szCs w:val="22"/>
        </w:rPr>
        <w:t xml:space="preserve"> </w:t>
      </w:r>
      <w:r w:rsidR="00451108" w:rsidRPr="00212C1E">
        <w:rPr>
          <w:sz w:val="22"/>
          <w:szCs w:val="22"/>
        </w:rPr>
        <w:t>p. o. d.</w:t>
      </w:r>
      <w:r w:rsidR="00545679" w:rsidRPr="00212C1E">
        <w:rPr>
          <w:sz w:val="22"/>
          <w:szCs w:val="22"/>
        </w:rPr>
        <w:t xml:space="preserve">, 8 – </w:t>
      </w:r>
      <w:r w:rsidR="00901BC6" w:rsidRPr="00212C1E">
        <w:rPr>
          <w:sz w:val="22"/>
          <w:szCs w:val="22"/>
        </w:rPr>
        <w:t>10</w:t>
      </w:r>
      <w:r w:rsidR="000274DE" w:rsidRPr="00212C1E">
        <w:rPr>
          <w:sz w:val="22"/>
          <w:szCs w:val="22"/>
        </w:rPr>
        <w:t>, 12 p. o. d., 13</w:t>
      </w:r>
      <w:r w:rsidR="00901BC6" w:rsidRPr="00212C1E">
        <w:rPr>
          <w:sz w:val="22"/>
          <w:szCs w:val="22"/>
        </w:rPr>
        <w:t xml:space="preserve"> p. o. d. </w:t>
      </w:r>
      <w:r w:rsidR="00DE6FB1" w:rsidRPr="00212C1E">
        <w:rPr>
          <w:sz w:val="22"/>
          <w:szCs w:val="22"/>
        </w:rPr>
        <w:t>pasiūlymo galiojimo užtikrinimas netaikomas</w:t>
      </w:r>
      <w:r w:rsidR="008458EF">
        <w:rPr>
          <w:sz w:val="22"/>
          <w:szCs w:val="22"/>
        </w:rPr>
        <w:t>.</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lastRenderedPageBreak/>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46E1A60B" w14:textId="59320871" w:rsidR="004E71CB" w:rsidRPr="009923EC" w:rsidRDefault="003A5896" w:rsidP="00E67243">
      <w:pPr>
        <w:pStyle w:val="Sraopastraipa"/>
        <w:numPr>
          <w:ilvl w:val="1"/>
          <w:numId w:val="6"/>
        </w:numPr>
        <w:tabs>
          <w:tab w:val="left" w:pos="993"/>
        </w:tabs>
        <w:spacing w:after="0" w:line="240" w:lineRule="auto"/>
        <w:ind w:left="0" w:firstLine="567"/>
        <w:jc w:val="both"/>
        <w:rPr>
          <w:rFonts w:cstheme="minorHAnsi"/>
          <w:sz w:val="22"/>
          <w:szCs w:val="22"/>
        </w:rPr>
      </w:pPr>
      <w:r w:rsidRPr="009923EC">
        <w:rPr>
          <w:rFonts w:eastAsia="Calibri" w:cstheme="minorHAnsi"/>
          <w:b/>
          <w:bCs/>
          <w:sz w:val="22"/>
          <w:szCs w:val="22"/>
        </w:rPr>
        <w:t xml:space="preserve">1, 3-6, </w:t>
      </w:r>
      <w:r w:rsidR="006B5E8C" w:rsidRPr="009923EC">
        <w:rPr>
          <w:rFonts w:eastAsia="Calibri" w:cstheme="minorHAnsi"/>
          <w:b/>
          <w:bCs/>
          <w:sz w:val="22"/>
          <w:szCs w:val="22"/>
        </w:rPr>
        <w:t>8-13 p.</w:t>
      </w:r>
      <w:r w:rsidR="00E67243">
        <w:rPr>
          <w:rFonts w:eastAsia="Calibri" w:cstheme="minorHAnsi"/>
          <w:b/>
          <w:bCs/>
          <w:sz w:val="22"/>
          <w:szCs w:val="22"/>
        </w:rPr>
        <w:t xml:space="preserve"> </w:t>
      </w:r>
      <w:r w:rsidR="006B5E8C" w:rsidRPr="009923EC">
        <w:rPr>
          <w:rFonts w:eastAsia="Calibri" w:cstheme="minorHAnsi"/>
          <w:b/>
          <w:bCs/>
          <w:sz w:val="22"/>
          <w:szCs w:val="22"/>
        </w:rPr>
        <w:t>o.</w:t>
      </w:r>
      <w:r w:rsidR="00E67243">
        <w:rPr>
          <w:rFonts w:eastAsia="Calibri" w:cstheme="minorHAnsi"/>
          <w:b/>
          <w:bCs/>
          <w:sz w:val="22"/>
          <w:szCs w:val="22"/>
        </w:rPr>
        <w:t xml:space="preserve"> </w:t>
      </w:r>
      <w:r w:rsidR="006B5E8C" w:rsidRPr="009923EC">
        <w:rPr>
          <w:rFonts w:eastAsia="Calibri" w:cstheme="minorHAnsi"/>
          <w:b/>
          <w:bCs/>
          <w:sz w:val="22"/>
          <w:szCs w:val="22"/>
        </w:rPr>
        <w:t>d.:</w:t>
      </w:r>
      <w:r w:rsidR="006B5E8C">
        <w:rPr>
          <w:rFonts w:eastAsia="Calibri" w:cstheme="minorHAnsi"/>
          <w:sz w:val="22"/>
          <w:szCs w:val="22"/>
        </w:rPr>
        <w:t xml:space="preserve"> </w:t>
      </w:r>
      <w:r w:rsidR="004E71CB"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004E71CB"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3"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3"/>
      <w:r w:rsidR="00090235" w:rsidRPr="008D3D9F">
        <w:rPr>
          <w:rFonts w:eastAsia="Calibri" w:cstheme="minorHAnsi"/>
          <w:sz w:val="22"/>
          <w:szCs w:val="22"/>
        </w:rPr>
        <w:t xml:space="preserve">. </w:t>
      </w:r>
    </w:p>
    <w:p w14:paraId="11ED664E" w14:textId="51B882CD" w:rsidR="006B5E8C" w:rsidRPr="009923EC" w:rsidRDefault="006B5E8C" w:rsidP="00E67243">
      <w:pPr>
        <w:pStyle w:val="Sraopastraipa"/>
        <w:tabs>
          <w:tab w:val="left" w:pos="993"/>
        </w:tabs>
        <w:spacing w:after="0" w:line="240" w:lineRule="auto"/>
        <w:ind w:left="0" w:firstLine="567"/>
        <w:jc w:val="both"/>
        <w:rPr>
          <w:rFonts w:cstheme="minorHAnsi"/>
          <w:sz w:val="22"/>
          <w:szCs w:val="22"/>
        </w:rPr>
      </w:pPr>
      <w:r>
        <w:rPr>
          <w:rFonts w:eastAsia="Calibri" w:cstheme="minorHAnsi"/>
          <w:b/>
          <w:bCs/>
          <w:sz w:val="22"/>
          <w:szCs w:val="22"/>
        </w:rPr>
        <w:t>2 ir 7 p.</w:t>
      </w:r>
      <w:r w:rsidR="00E67243">
        <w:rPr>
          <w:rFonts w:eastAsia="Calibri" w:cstheme="minorHAnsi"/>
          <w:b/>
          <w:bCs/>
          <w:sz w:val="22"/>
          <w:szCs w:val="22"/>
        </w:rPr>
        <w:t xml:space="preserve"> </w:t>
      </w:r>
      <w:r w:rsidRPr="009923EC">
        <w:rPr>
          <w:rFonts w:cstheme="minorHAnsi"/>
          <w:b/>
          <w:bCs/>
          <w:sz w:val="22"/>
          <w:szCs w:val="22"/>
        </w:rPr>
        <w:t>o.</w:t>
      </w:r>
      <w:r w:rsidR="00E67243">
        <w:rPr>
          <w:rFonts w:cstheme="minorHAnsi"/>
          <w:b/>
          <w:bCs/>
          <w:sz w:val="22"/>
          <w:szCs w:val="22"/>
        </w:rPr>
        <w:t xml:space="preserve"> </w:t>
      </w:r>
      <w:r w:rsidRPr="009923EC">
        <w:rPr>
          <w:rFonts w:cstheme="minorHAnsi"/>
          <w:b/>
          <w:bCs/>
          <w:sz w:val="22"/>
          <w:szCs w:val="22"/>
        </w:rPr>
        <w:t>d.:</w:t>
      </w:r>
      <w:r w:rsidR="00D638E5" w:rsidRPr="00D638E5">
        <w:rPr>
          <w:rFonts w:eastAsia="Calibri" w:cstheme="minorHAnsi"/>
          <w:sz w:val="22"/>
          <w:szCs w:val="22"/>
        </w:rPr>
        <w:t xml:space="preserve"> </w:t>
      </w:r>
      <w:r w:rsidR="00D638E5" w:rsidRPr="00682B25">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D638E5">
        <w:rPr>
          <w:rFonts w:eastAsia="Calibri" w:cstheme="minorHAnsi"/>
          <w:sz w:val="22"/>
          <w:szCs w:val="22"/>
        </w:rPr>
        <w:t>ą</w:t>
      </w:r>
      <w:r w:rsidR="00D638E5" w:rsidRPr="00682B25">
        <w:rPr>
          <w:rFonts w:eastAsia="Calibri" w:cstheme="minorHAnsi"/>
          <w:sz w:val="22"/>
          <w:szCs w:val="22"/>
        </w:rPr>
        <w:t xml:space="preserve"> vertinami tiekėjo pateikti duomenys, pateikiama specialiųjų pirkimo </w:t>
      </w:r>
      <w:r w:rsidR="00D638E5" w:rsidRPr="009923EC">
        <w:rPr>
          <w:rFonts w:eastAsia="Calibri" w:cstheme="minorHAnsi"/>
          <w:sz w:val="22"/>
          <w:szCs w:val="22"/>
        </w:rPr>
        <w:t xml:space="preserve">sąlygų </w:t>
      </w:r>
      <w:r w:rsidR="00D638E5" w:rsidRPr="009923EC">
        <w:rPr>
          <w:rFonts w:cstheme="minorHAnsi"/>
          <w:sz w:val="22"/>
          <w:szCs w:val="22"/>
          <w:shd w:val="clear" w:color="auto" w:fill="FFFFFF"/>
        </w:rPr>
        <w:t xml:space="preserve">3 priede „Pasiūlymo forma“ ir 4 priede </w:t>
      </w:r>
      <w:r w:rsidR="00D638E5" w:rsidRPr="009923EC">
        <w:rPr>
          <w:rFonts w:eastAsia="Calibri" w:cstheme="minorHAnsi"/>
          <w:sz w:val="22"/>
          <w:szCs w:val="22"/>
        </w:rPr>
        <w:t>„Pasiūlymų vertinimo kriterijai ir sąlygos“.</w:t>
      </w:r>
    </w:p>
    <w:p w14:paraId="416BE89A" w14:textId="77777777" w:rsidR="00863B22" w:rsidRPr="008D3D9F" w:rsidRDefault="00D734C6"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375C2C3" w:rsidR="00F57665" w:rsidRPr="008D3D9F" w:rsidRDefault="00F57665"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E67243">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lastRenderedPageBreak/>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60"/>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6" w:name="_Pirkimo_sąlygų_2"/>
      <w:bookmarkStart w:id="67" w:name="_Ref38291223"/>
      <w:bookmarkStart w:id="68" w:name="_Ref38291334"/>
      <w:bookmarkStart w:id="69" w:name="_Ref38533412"/>
      <w:bookmarkStart w:id="70" w:name="_Toc190416446"/>
      <w:bookmarkEnd w:id="66"/>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8"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9"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7"/>
      <w:bookmarkEnd w:id="68"/>
      <w:bookmarkEnd w:id="69"/>
      <w:bookmarkEnd w:id="70"/>
    </w:p>
    <w:sectPr w:rsidR="004770A1" w:rsidRPr="008D3D9F" w:rsidSect="00AB3E93">
      <w:headerReference w:type="even" r:id="rId23"/>
      <w:head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62E7" w14:textId="77777777" w:rsidR="00C9275B" w:rsidRDefault="00C9275B" w:rsidP="00D05666">
      <w:r>
        <w:separator/>
      </w:r>
    </w:p>
  </w:endnote>
  <w:endnote w:type="continuationSeparator" w:id="0">
    <w:p w14:paraId="5CE21D81" w14:textId="77777777" w:rsidR="00C9275B" w:rsidRDefault="00C9275B" w:rsidP="00D05666">
      <w:r>
        <w:continuationSeparator/>
      </w:r>
    </w:p>
  </w:endnote>
  <w:endnote w:type="continuationNotice" w:id="1">
    <w:p w14:paraId="4169AED7" w14:textId="77777777" w:rsidR="00C9275B" w:rsidRDefault="00C92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427A" w14:textId="77777777" w:rsidR="00C9275B" w:rsidRDefault="00C9275B" w:rsidP="00D05666">
      <w:r>
        <w:separator/>
      </w:r>
    </w:p>
  </w:footnote>
  <w:footnote w:type="continuationSeparator" w:id="0">
    <w:p w14:paraId="4D2D2B03" w14:textId="77777777" w:rsidR="00C9275B" w:rsidRDefault="00C9275B" w:rsidP="00D05666">
      <w:r>
        <w:continuationSeparator/>
      </w:r>
    </w:p>
  </w:footnote>
  <w:footnote w:type="continuationNotice" w:id="1">
    <w:p w14:paraId="7009C98B" w14:textId="77777777" w:rsidR="00C9275B" w:rsidRDefault="00C9275B">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035E5245" w:rsidR="007223F0" w:rsidRDefault="00F00C45">
    <w:pPr>
      <w:pStyle w:val="Antrats"/>
    </w:pPr>
    <w:r>
      <w:rPr>
        <w:noProof/>
      </w:rPr>
      <w:drawing>
        <wp:inline distT="0" distB="0" distL="0" distR="0" wp14:anchorId="65427F52" wp14:editId="35605A79">
          <wp:extent cx="2156346" cy="528491"/>
          <wp:effectExtent l="0" t="0" r="0" b="5080"/>
          <wp:docPr id="745573994" name="Paveikslėlis 2"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733" cy="5349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4DE"/>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18</Pages>
  <Words>27045</Words>
  <Characters>15417</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1754</cp:revision>
  <cp:lastPrinted>2025-02-28T19:45:00Z</cp:lastPrinted>
  <dcterms:created xsi:type="dcterms:W3CDTF">2024-11-29T13:07:00Z</dcterms:created>
  <dcterms:modified xsi:type="dcterms:W3CDTF">2025-09-23T08:52:00Z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