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479C61C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BD4F41">
        <w:rPr>
          <w:rFonts w:ascii="Times New Roman" w:hAnsi="Times New Roman" w:cs="Times New Roman"/>
          <w:b/>
          <w:bCs/>
        </w:rPr>
        <w:t>Avariniai ir apsaugos įrenginiai (palatinė signalizacija)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5BAEC3D2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BD4F41">
        <w:rPr>
          <w:rFonts w:ascii="Times New Roman" w:hAnsi="Times New Roman" w:cs="Times New Roman"/>
        </w:rPr>
        <w:t>2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391A79">
        <w:rPr>
          <w:rFonts w:ascii="Times New Roman" w:hAnsi="Times New Roman" w:cs="Times New Roman"/>
          <w:lang w:val="en-US"/>
        </w:rPr>
        <w:t>ai</w:t>
      </w:r>
      <w:proofErr w:type="spellEnd"/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D4F41"/>
    <w:rsid w:val="00BF5EBF"/>
    <w:rsid w:val="00C41AD8"/>
    <w:rsid w:val="00C840EA"/>
    <w:rsid w:val="00CB4505"/>
    <w:rsid w:val="00CB63CA"/>
    <w:rsid w:val="00D60CBD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9</cp:revision>
  <cp:lastPrinted>2024-02-29T08:03:00Z</cp:lastPrinted>
  <dcterms:created xsi:type="dcterms:W3CDTF">2024-02-29T08:38:00Z</dcterms:created>
  <dcterms:modified xsi:type="dcterms:W3CDTF">2025-09-24T06:24:00Z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