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5ED0" w14:textId="77777777" w:rsidR="005B55B1" w:rsidRPr="0021237F" w:rsidRDefault="005B55B1" w:rsidP="00CC5684">
      <w:pPr>
        <w:pStyle w:val="Paantrat"/>
        <w:tabs>
          <w:tab w:val="left" w:pos="8581"/>
        </w:tabs>
        <w:spacing w:before="60" w:after="60"/>
        <w:jc w:val="center"/>
        <w:rPr>
          <w:rFonts w:ascii="Arial" w:hAnsi="Arial" w:cs="Arial"/>
          <w:b/>
          <w:bCs/>
          <w:sz w:val="22"/>
          <w:szCs w:val="22"/>
          <w:u w:val="none"/>
          <w:lang w:val="lt-LT"/>
        </w:rPr>
      </w:pPr>
    </w:p>
    <w:p w14:paraId="46664657"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5CA541B5" w14:textId="77777777" w:rsidR="005B55B1" w:rsidRPr="0021237F" w:rsidRDefault="005B55B1" w:rsidP="005B55B1">
      <w:pPr>
        <w:jc w:val="center"/>
        <w:rPr>
          <w:rFonts w:ascii="Arial" w:hAnsi="Arial" w:cs="Arial"/>
          <w:b/>
          <w:sz w:val="22"/>
          <w:szCs w:val="22"/>
        </w:rPr>
      </w:pPr>
    </w:p>
    <w:p w14:paraId="4AD6AF3E" w14:textId="77777777" w:rsidR="005B55B1" w:rsidRPr="0021237F" w:rsidRDefault="005B55B1" w:rsidP="005B55B1">
      <w:pPr>
        <w:jc w:val="center"/>
        <w:rPr>
          <w:rFonts w:ascii="Arial" w:hAnsi="Arial" w:cs="Arial"/>
          <w:b/>
          <w:sz w:val="22"/>
          <w:szCs w:val="22"/>
        </w:rPr>
      </w:pPr>
    </w:p>
    <w:p w14:paraId="290DCC58"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1651840" w14:textId="77777777" w:rsidR="005B55B1" w:rsidRPr="0021237F" w:rsidRDefault="005B55B1" w:rsidP="005B55B1">
          <w:pPr>
            <w:pStyle w:val="Turinioantrat"/>
            <w:rPr>
              <w:rFonts w:ascii="Arial" w:hAnsi="Arial" w:cs="Arial"/>
              <w:sz w:val="22"/>
              <w:szCs w:val="22"/>
              <w:lang w:val="lt-LT"/>
            </w:rPr>
          </w:pPr>
        </w:p>
        <w:p w14:paraId="6E5FFF47" w14:textId="77777777"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2</w:t>
            </w:r>
            <w:r w:rsidR="00AE66FB" w:rsidRPr="0021237F">
              <w:rPr>
                <w:rFonts w:ascii="Arial" w:hAnsi="Arial" w:cs="Arial"/>
                <w:webHidden/>
                <w:sz w:val="22"/>
                <w:szCs w:val="22"/>
              </w:rPr>
              <w:fldChar w:fldCharType="end"/>
            </w:r>
          </w:hyperlink>
        </w:p>
        <w:p w14:paraId="73D13130" w14:textId="77777777" w:rsidR="00AE66FB" w:rsidRPr="0021237F" w:rsidRDefault="00AE66FB">
          <w:pPr>
            <w:pStyle w:val="Turinys1"/>
            <w:rPr>
              <w:rFonts w:ascii="Arial" w:eastAsiaTheme="minorEastAsia" w:hAnsi="Arial" w:cs="Arial"/>
              <w:iCs w:val="0"/>
              <w:caps w:val="0"/>
              <w:sz w:val="22"/>
              <w:szCs w:val="22"/>
            </w:rPr>
          </w:pPr>
          <w:hyperlink w:anchor="_Toc32300326" w:history="1">
            <w:r w:rsidRPr="0021237F">
              <w:rPr>
                <w:rStyle w:val="Hipersaitas"/>
                <w:rFonts w:ascii="Arial" w:hAnsi="Arial" w:cs="Arial"/>
                <w:sz w:val="22"/>
                <w:szCs w:val="22"/>
              </w:rPr>
              <w:t>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PERKANČIOSIOS ORGANIZACIJOS IR TIEKĖJO BENDRAVIMO PRIEMONĖS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_Toc32300326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3B58FBF1" w14:textId="77777777" w:rsidR="00AE66FB" w:rsidRPr="0021237F" w:rsidRDefault="00AE66FB">
          <w:pPr>
            <w:pStyle w:val="Turinys1"/>
            <w:rPr>
              <w:rFonts w:ascii="Arial" w:eastAsiaTheme="minorEastAsia" w:hAnsi="Arial" w:cs="Arial"/>
              <w:iCs w:val="0"/>
              <w:caps w:val="0"/>
              <w:sz w:val="22"/>
              <w:szCs w:val="22"/>
            </w:rPr>
          </w:pPr>
          <w:hyperlink w:anchor="_Toc32300327" w:history="1">
            <w:r w:rsidRPr="0021237F">
              <w:rPr>
                <w:rStyle w:val="Hipersaitas"/>
                <w:rFonts w:ascii="Arial" w:hAnsi="Arial" w:cs="Arial"/>
                <w:sz w:val="22"/>
                <w:szCs w:val="22"/>
              </w:rPr>
              <w:t>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PIRKIMO DOKUMENTŲ PAAIŠKINIMAS IR PATIKSLINIMAS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_Toc32300327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5FC62FFB" w14:textId="77777777" w:rsidR="00AE66FB" w:rsidRPr="0021237F" w:rsidRDefault="00AE66FB">
          <w:pPr>
            <w:pStyle w:val="Turinys1"/>
            <w:rPr>
              <w:rFonts w:ascii="Arial" w:eastAsiaTheme="minorEastAsia" w:hAnsi="Arial" w:cs="Arial"/>
              <w:iCs w:val="0"/>
              <w:caps w:val="0"/>
              <w:sz w:val="22"/>
              <w:szCs w:val="22"/>
            </w:rPr>
          </w:pPr>
          <w:hyperlink w:anchor="_Toc32300331" w:history="1">
            <w:r w:rsidRPr="0021237F">
              <w:rPr>
                <w:rStyle w:val="Hipersaitas"/>
                <w:rFonts w:ascii="Arial" w:hAnsi="Arial" w:cs="Arial"/>
                <w:sz w:val="22"/>
                <w:szCs w:val="22"/>
              </w:rPr>
              <w:t>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PAŠALINIMO PAGRINDAI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_Toc32300331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512B8B72" w14:textId="77777777" w:rsidR="00AE66FB" w:rsidRPr="0021237F" w:rsidRDefault="00AE66FB">
          <w:pPr>
            <w:pStyle w:val="Turinys1"/>
            <w:rPr>
              <w:rFonts w:ascii="Arial" w:eastAsiaTheme="minorEastAsia" w:hAnsi="Arial" w:cs="Arial"/>
              <w:iCs w:val="0"/>
              <w:caps w:val="0"/>
              <w:sz w:val="22"/>
              <w:szCs w:val="22"/>
            </w:rPr>
          </w:pPr>
          <w:hyperlink w:anchor="_Toc32300332" w:history="1">
            <w:r w:rsidRPr="0021237F">
              <w:rPr>
                <w:rStyle w:val="Hipersaitas"/>
                <w:rFonts w:ascii="Arial" w:hAnsi="Arial" w:cs="Arial"/>
                <w:sz w:val="22"/>
                <w:szCs w:val="22"/>
              </w:rPr>
              <w:t>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RĖMIMASIS KITŲ ŪKIO SUBJEKTŲ PAJĖGUMAIS IR SUBTIEKĖJŲ PASITELKIMAS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_Toc32300332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4</w:t>
            </w:r>
            <w:r w:rsidRPr="0021237F">
              <w:rPr>
                <w:rFonts w:ascii="Arial" w:hAnsi="Arial" w:cs="Arial"/>
                <w:webHidden/>
                <w:sz w:val="22"/>
                <w:szCs w:val="22"/>
              </w:rPr>
              <w:fldChar w:fldCharType="end"/>
            </w:r>
          </w:hyperlink>
        </w:p>
        <w:p w14:paraId="0E917766" w14:textId="77777777" w:rsidR="00AE66FB" w:rsidRPr="0021237F" w:rsidRDefault="00AE66FB">
          <w:pPr>
            <w:pStyle w:val="Turinys1"/>
            <w:rPr>
              <w:rFonts w:ascii="Arial" w:eastAsiaTheme="minorEastAsia" w:hAnsi="Arial" w:cs="Arial"/>
              <w:iCs w:val="0"/>
              <w:caps w:val="0"/>
              <w:sz w:val="22"/>
              <w:szCs w:val="22"/>
            </w:rPr>
          </w:pPr>
          <w:hyperlink w:anchor="_Toc32300333" w:history="1">
            <w:r w:rsidRPr="0021237F">
              <w:rPr>
                <w:rStyle w:val="Hipersaitas"/>
                <w:rFonts w:ascii="Arial" w:hAnsi="Arial" w:cs="Arial"/>
                <w:sz w:val="22"/>
                <w:szCs w:val="22"/>
              </w:rPr>
              <w:t>6.</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TIEKĖJŲ GRUPĖS DALYVAVIMAS PIRKIME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_Toc32300333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7D9E3581" w14:textId="77777777" w:rsidR="00AE66FB" w:rsidRPr="0021237F" w:rsidRDefault="00AE66FB">
          <w:pPr>
            <w:pStyle w:val="Turinys1"/>
            <w:rPr>
              <w:rFonts w:ascii="Arial" w:eastAsiaTheme="minorEastAsia" w:hAnsi="Arial" w:cs="Arial"/>
              <w:iCs w:val="0"/>
              <w:caps w:val="0"/>
              <w:sz w:val="22"/>
              <w:szCs w:val="22"/>
            </w:rPr>
          </w:pPr>
          <w:hyperlink w:anchor="_Toc32300334" w:history="1">
            <w:r w:rsidRPr="0021237F">
              <w:rPr>
                <w:rStyle w:val="Hipersaitas"/>
                <w:rFonts w:ascii="Arial" w:hAnsi="Arial" w:cs="Arial"/>
                <w:sz w:val="22"/>
                <w:szCs w:val="22"/>
              </w:rPr>
              <w:t>7.</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PASIŪLYMŲ RENGIMUI IR PATEIKIMUI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_Toc32300334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39779192" w14:textId="77777777" w:rsidR="00AE66FB" w:rsidRPr="0021237F" w:rsidRDefault="00AE66FB">
          <w:pPr>
            <w:pStyle w:val="Turinys1"/>
            <w:rPr>
              <w:rFonts w:ascii="Arial" w:eastAsiaTheme="minorEastAsia" w:hAnsi="Arial" w:cs="Arial"/>
              <w:iCs w:val="0"/>
              <w:caps w:val="0"/>
              <w:sz w:val="22"/>
              <w:szCs w:val="22"/>
            </w:rPr>
          </w:pPr>
          <w:hyperlink w:anchor="_Toc32300335" w:history="1">
            <w:r w:rsidRPr="0021237F">
              <w:rPr>
                <w:rStyle w:val="Hipersaitas"/>
                <w:rFonts w:ascii="Arial" w:hAnsi="Arial" w:cs="Arial"/>
                <w:sz w:val="22"/>
                <w:szCs w:val="22"/>
              </w:rPr>
              <w:t>7.1.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_Toc32300335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3B1863AF" w14:textId="77777777" w:rsidR="00AE66FB" w:rsidRPr="0021237F" w:rsidRDefault="00AE66FB">
          <w:pPr>
            <w:pStyle w:val="Turinys1"/>
            <w:rPr>
              <w:rFonts w:ascii="Arial" w:eastAsiaTheme="minorEastAsia" w:hAnsi="Arial" w:cs="Arial"/>
              <w:iCs w:val="0"/>
              <w:caps w:val="0"/>
              <w:sz w:val="22"/>
              <w:szCs w:val="22"/>
            </w:rPr>
          </w:pPr>
          <w:hyperlink w:anchor="_Toc32300343" w:history="1">
            <w:r w:rsidRPr="0021237F">
              <w:rPr>
                <w:rStyle w:val="Hipersaitas"/>
                <w:rFonts w:ascii="Arial" w:hAnsi="Arial" w:cs="Arial"/>
                <w:sz w:val="22"/>
                <w:szCs w:val="22"/>
              </w:rPr>
              <w:t>8.</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GALIOJIMAS IR PASIŪLYMŲ GALIOJIMO UŽTIKRINIMAS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_Toc32300343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7</w:t>
            </w:r>
            <w:r w:rsidRPr="0021237F">
              <w:rPr>
                <w:rFonts w:ascii="Arial" w:hAnsi="Arial" w:cs="Arial"/>
                <w:webHidden/>
                <w:sz w:val="22"/>
                <w:szCs w:val="22"/>
              </w:rPr>
              <w:fldChar w:fldCharType="end"/>
            </w:r>
          </w:hyperlink>
        </w:p>
        <w:p w14:paraId="31B4FBA7" w14:textId="77777777" w:rsidR="00AE66FB" w:rsidRPr="0021237F" w:rsidRDefault="00AE66FB">
          <w:pPr>
            <w:pStyle w:val="Turinys1"/>
            <w:rPr>
              <w:rFonts w:ascii="Arial" w:eastAsiaTheme="minorEastAsia" w:hAnsi="Arial" w:cs="Arial"/>
              <w:iCs w:val="0"/>
              <w:caps w:val="0"/>
              <w:sz w:val="22"/>
              <w:szCs w:val="22"/>
            </w:rPr>
          </w:pPr>
          <w:hyperlink w:anchor="_Toc32300344" w:history="1">
            <w:r w:rsidRPr="0021237F">
              <w:rPr>
                <w:rStyle w:val="Hipersaitas"/>
                <w:rFonts w:ascii="Arial" w:hAnsi="Arial" w:cs="Arial"/>
                <w:sz w:val="22"/>
                <w:szCs w:val="22"/>
              </w:rPr>
              <w:t>9.</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ŠIFRAVIMAS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_Toc32300344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8</w:t>
            </w:r>
            <w:r w:rsidRPr="0021237F">
              <w:rPr>
                <w:rFonts w:ascii="Arial" w:hAnsi="Arial" w:cs="Arial"/>
                <w:webHidden/>
                <w:sz w:val="22"/>
                <w:szCs w:val="22"/>
              </w:rPr>
              <w:fldChar w:fldCharType="end"/>
            </w:r>
          </w:hyperlink>
        </w:p>
        <w:p w14:paraId="07270FA9" w14:textId="77777777" w:rsidR="00AE66FB" w:rsidRPr="0021237F" w:rsidRDefault="00AE66FB">
          <w:pPr>
            <w:pStyle w:val="Turinys1"/>
            <w:rPr>
              <w:rFonts w:ascii="Arial" w:eastAsiaTheme="minorEastAsia" w:hAnsi="Arial" w:cs="Arial"/>
              <w:iCs w:val="0"/>
              <w:caps w:val="0"/>
              <w:sz w:val="22"/>
              <w:szCs w:val="22"/>
            </w:rPr>
          </w:pPr>
          <w:hyperlink w:anchor="_Toc32300347" w:history="1">
            <w:r w:rsidRPr="0021237F">
              <w:rPr>
                <w:rStyle w:val="Hipersaitas"/>
                <w:rFonts w:ascii="Arial" w:hAnsi="Arial" w:cs="Arial"/>
                <w:sz w:val="22"/>
                <w:szCs w:val="22"/>
              </w:rPr>
              <w:t>10.</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KONFIDENCIALUMAS IR SUPAŽINDINIMAS SU KITŲ TIEKĖJŲ PASIŪLYMAIS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_Toc32300347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9</w:t>
            </w:r>
            <w:r w:rsidRPr="0021237F">
              <w:rPr>
                <w:rFonts w:ascii="Arial" w:hAnsi="Arial" w:cs="Arial"/>
                <w:webHidden/>
                <w:sz w:val="22"/>
                <w:szCs w:val="22"/>
              </w:rPr>
              <w:fldChar w:fldCharType="end"/>
            </w:r>
          </w:hyperlink>
        </w:p>
        <w:p w14:paraId="00907FA5" w14:textId="77777777" w:rsidR="00AE66FB" w:rsidRPr="0021237F" w:rsidRDefault="00AE66FB">
          <w:pPr>
            <w:pStyle w:val="Turinys1"/>
            <w:rPr>
              <w:rFonts w:ascii="Arial" w:eastAsiaTheme="minorEastAsia" w:hAnsi="Arial" w:cs="Arial"/>
              <w:iCs w:val="0"/>
              <w:caps w:val="0"/>
              <w:sz w:val="22"/>
              <w:szCs w:val="22"/>
            </w:rPr>
          </w:pPr>
          <w:hyperlink w:anchor="_Toc32300348" w:history="1">
            <w:r w:rsidRPr="0021237F">
              <w:rPr>
                <w:rStyle w:val="Hipersaitas"/>
                <w:rFonts w:ascii="Arial" w:hAnsi="Arial" w:cs="Arial"/>
                <w:sz w:val="22"/>
                <w:szCs w:val="22"/>
              </w:rPr>
              <w:t>11.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NAGRINĖJIMAS, VERTINIMAS IR PALYGINIMAS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_Toc32300348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10</w:t>
            </w:r>
            <w:r w:rsidRPr="0021237F">
              <w:rPr>
                <w:rFonts w:ascii="Arial" w:hAnsi="Arial" w:cs="Arial"/>
                <w:webHidden/>
                <w:sz w:val="22"/>
                <w:szCs w:val="22"/>
              </w:rPr>
              <w:fldChar w:fldCharType="end"/>
            </w:r>
          </w:hyperlink>
        </w:p>
        <w:p w14:paraId="427D87BA" w14:textId="77777777" w:rsidR="00AE66FB" w:rsidRPr="0021237F" w:rsidRDefault="00AE66FB">
          <w:pPr>
            <w:pStyle w:val="Turinys1"/>
            <w:rPr>
              <w:rFonts w:ascii="Arial" w:eastAsiaTheme="minorEastAsia" w:hAnsi="Arial" w:cs="Arial"/>
              <w:iCs w:val="0"/>
              <w:caps w:val="0"/>
              <w:sz w:val="22"/>
              <w:szCs w:val="22"/>
            </w:rPr>
          </w:pPr>
          <w:hyperlink w:anchor="_Toc32300349" w:history="1">
            <w:r w:rsidRPr="0021237F">
              <w:rPr>
                <w:rStyle w:val="Hipersaitas"/>
                <w:rFonts w:ascii="Arial" w:hAnsi="Arial" w:cs="Arial"/>
                <w:sz w:val="22"/>
                <w:szCs w:val="22"/>
              </w:rPr>
              <w:t>12.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ATMETIMO PRIEŽASTYS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_Toc32300349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11</w:t>
            </w:r>
            <w:r w:rsidRPr="0021237F">
              <w:rPr>
                <w:rFonts w:ascii="Arial" w:hAnsi="Arial" w:cs="Arial"/>
                <w:webHidden/>
                <w:sz w:val="22"/>
                <w:szCs w:val="22"/>
              </w:rPr>
              <w:fldChar w:fldCharType="end"/>
            </w:r>
          </w:hyperlink>
        </w:p>
        <w:p w14:paraId="64CCB98B" w14:textId="77777777" w:rsidR="00AE66FB" w:rsidRPr="0021237F" w:rsidRDefault="00AE66FB">
          <w:pPr>
            <w:pStyle w:val="Turinys1"/>
            <w:rPr>
              <w:rFonts w:ascii="Arial" w:eastAsiaTheme="minorEastAsia" w:hAnsi="Arial" w:cs="Arial"/>
              <w:iCs w:val="0"/>
              <w:caps w:val="0"/>
              <w:sz w:val="22"/>
              <w:szCs w:val="22"/>
            </w:rPr>
          </w:pPr>
          <w:hyperlink w:anchor="_Toc32300350" w:history="1">
            <w:r w:rsidRPr="0021237F">
              <w:rPr>
                <w:rStyle w:val="Hipersaitas"/>
                <w:rFonts w:ascii="Arial" w:hAnsi="Arial" w:cs="Arial"/>
                <w:sz w:val="22"/>
                <w:szCs w:val="22"/>
              </w:rPr>
              <w:t>13.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INFORMAVIMAS APIE PIRKIMO PROCEDŪRŲ REZULTATUS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_Toc32300350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12</w:t>
            </w:r>
            <w:r w:rsidRPr="0021237F">
              <w:rPr>
                <w:rFonts w:ascii="Arial" w:hAnsi="Arial" w:cs="Arial"/>
                <w:webHidden/>
                <w:sz w:val="22"/>
                <w:szCs w:val="22"/>
              </w:rPr>
              <w:fldChar w:fldCharType="end"/>
            </w:r>
          </w:hyperlink>
        </w:p>
        <w:p w14:paraId="1CF70009" w14:textId="77777777" w:rsidR="00AE66FB" w:rsidRPr="0021237F" w:rsidRDefault="00AE66FB">
          <w:pPr>
            <w:pStyle w:val="Turinys1"/>
            <w:rPr>
              <w:rFonts w:ascii="Arial" w:eastAsiaTheme="minorEastAsia" w:hAnsi="Arial" w:cs="Arial"/>
              <w:iCs w:val="0"/>
              <w:caps w:val="0"/>
              <w:sz w:val="22"/>
              <w:szCs w:val="22"/>
            </w:rPr>
          </w:pPr>
          <w:hyperlink w:anchor="_Toc32300351" w:history="1">
            <w:r w:rsidRPr="0021237F">
              <w:rPr>
                <w:rStyle w:val="Hipersaitas"/>
                <w:rFonts w:ascii="Arial" w:hAnsi="Arial" w:cs="Arial"/>
                <w:sz w:val="22"/>
                <w:szCs w:val="22"/>
              </w:rPr>
              <w:t>14.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SUTARTIES SUDARYMAS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_Toc32300351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12</w:t>
            </w:r>
            <w:r w:rsidRPr="0021237F">
              <w:rPr>
                <w:rFonts w:ascii="Arial" w:hAnsi="Arial" w:cs="Arial"/>
                <w:webHidden/>
                <w:sz w:val="22"/>
                <w:szCs w:val="22"/>
              </w:rPr>
              <w:fldChar w:fldCharType="end"/>
            </w:r>
          </w:hyperlink>
        </w:p>
        <w:p w14:paraId="4AC91A62" w14:textId="77777777" w:rsidR="00AE66FB" w:rsidRPr="0021237F" w:rsidRDefault="00AE66FB">
          <w:pPr>
            <w:pStyle w:val="Turinys1"/>
            <w:rPr>
              <w:rFonts w:ascii="Arial" w:eastAsiaTheme="minorEastAsia" w:hAnsi="Arial" w:cs="Arial"/>
              <w:iCs w:val="0"/>
              <w:caps w:val="0"/>
              <w:sz w:val="22"/>
              <w:szCs w:val="22"/>
            </w:rPr>
          </w:pPr>
          <w:hyperlink w:anchor="_Toc32300352" w:history="1">
            <w:r w:rsidRPr="0021237F">
              <w:rPr>
                <w:rStyle w:val="Hipersaitas"/>
                <w:rFonts w:ascii="Arial" w:hAnsi="Arial" w:cs="Arial"/>
                <w:sz w:val="22"/>
                <w:szCs w:val="22"/>
              </w:rPr>
              <w:t>15.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PRETENZIJŲ, IEŠKINIŲ TEIKIMAS IR NAGRINĖJIMAS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_Toc32300352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13</w:t>
            </w:r>
            <w:r w:rsidRPr="0021237F">
              <w:rPr>
                <w:rFonts w:ascii="Arial" w:hAnsi="Arial" w:cs="Arial"/>
                <w:webHidden/>
                <w:sz w:val="22"/>
                <w:szCs w:val="22"/>
              </w:rPr>
              <w:fldChar w:fldCharType="end"/>
            </w:r>
          </w:hyperlink>
        </w:p>
        <w:p w14:paraId="2005F586"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1FA8D9F1"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BBDB83C"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851ACC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605E96C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7CC1303"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B021A14"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7AAF4FBF"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32935477"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591C194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260337B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647CA59E"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CEA853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6C04D775" w14:textId="77777777" w:rsidR="005B55B1" w:rsidRPr="0021237F" w:rsidRDefault="005B55B1" w:rsidP="005B55B1">
      <w:pPr>
        <w:pStyle w:val="Paantrat"/>
        <w:spacing w:before="60" w:after="60"/>
        <w:rPr>
          <w:rFonts w:ascii="Arial" w:hAnsi="Arial" w:cs="Arial"/>
          <w:b/>
          <w:bCs/>
          <w:sz w:val="22"/>
          <w:szCs w:val="22"/>
          <w:u w:val="none"/>
          <w:lang w:val="lt-LT"/>
        </w:rPr>
      </w:pPr>
    </w:p>
    <w:p w14:paraId="10CA8CDB" w14:textId="77777777" w:rsidR="005B55B1" w:rsidRPr="0021237F" w:rsidRDefault="005B55B1" w:rsidP="005B55B1">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lastRenderedPageBreak/>
        <w:t>BENDROSIOS NUOSTATOS</w:t>
      </w:r>
      <w:bookmarkEnd w:id="0"/>
      <w:r w:rsidRPr="0021237F">
        <w:rPr>
          <w:rFonts w:ascii="Arial" w:hAnsi="Arial" w:cs="Arial"/>
          <w:b/>
          <w:bCs/>
          <w:sz w:val="22"/>
          <w:szCs w:val="22"/>
        </w:rPr>
        <w:t xml:space="preserve"> </w:t>
      </w:r>
      <w:bookmarkEnd w:id="1"/>
    </w:p>
    <w:p w14:paraId="458A7005" w14:textId="77777777" w:rsidR="005B55B1" w:rsidRPr="0021237F" w:rsidRDefault="005B55B1" w:rsidP="005B55B1">
      <w:pPr>
        <w:pStyle w:val="Sraopastraipa"/>
        <w:tabs>
          <w:tab w:val="left" w:pos="709"/>
        </w:tabs>
        <w:ind w:left="0"/>
        <w:jc w:val="both"/>
        <w:rPr>
          <w:rFonts w:ascii="Arial" w:hAnsi="Arial" w:cs="Arial"/>
          <w:color w:val="000000" w:themeColor="text1"/>
          <w:sz w:val="22"/>
          <w:szCs w:val="22"/>
        </w:rPr>
      </w:pPr>
    </w:p>
    <w:p w14:paraId="6AF84E13"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registracijos adresas: Pramonės per. 11a, Kaunas LT-51327, buveinės adresas: Savanorių pr. 176, Vilnius LT-03154, įmonės kodas 132340880, PVM kodas LT323408811 atsisk. sąsk. LT524010042500000525, bankas: AB Luminor Bank, banko 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2D81C12" w14:textId="77777777" w:rsidR="005B55B1" w:rsidRPr="0002499A" w:rsidRDefault="00380C53"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w:t>
      </w:r>
      <w:r w:rsidR="005B55B1" w:rsidRPr="0002499A">
        <w:rPr>
          <w:rFonts w:ascii="Arial" w:hAnsi="Arial" w:cs="Arial"/>
          <w:color w:val="000000" w:themeColor="text1"/>
          <w:sz w:val="22"/>
          <w:szCs w:val="22"/>
        </w:rPr>
        <w:t xml:space="preserve">mokesčio </w:t>
      </w:r>
      <w:r w:rsidR="005B55B1" w:rsidRPr="0002499A">
        <w:rPr>
          <w:rFonts w:ascii="Arial" w:eastAsia="Calibri" w:hAnsi="Arial" w:cs="Arial"/>
          <w:sz w:val="22"/>
          <w:szCs w:val="22"/>
        </w:rPr>
        <w:t xml:space="preserve">(toliau – </w:t>
      </w:r>
      <w:r w:rsidR="005B55B1" w:rsidRPr="0002499A">
        <w:rPr>
          <w:rFonts w:ascii="Arial" w:hAnsi="Arial" w:cs="Arial"/>
          <w:b/>
          <w:color w:val="000000" w:themeColor="text1"/>
          <w:sz w:val="22"/>
          <w:szCs w:val="22"/>
        </w:rPr>
        <w:t>PVM</w:t>
      </w:r>
      <w:r w:rsidR="005B55B1" w:rsidRPr="0002499A">
        <w:rPr>
          <w:rFonts w:ascii="Arial" w:hAnsi="Arial" w:cs="Arial"/>
          <w:color w:val="000000" w:themeColor="text1"/>
          <w:sz w:val="22"/>
          <w:szCs w:val="22"/>
        </w:rPr>
        <w:t>) mokėtojas.</w:t>
      </w:r>
    </w:p>
    <w:p w14:paraId="47B9D167" w14:textId="483178A8"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w:t>
      </w:r>
      <w:r w:rsidR="0002499A" w:rsidRPr="0002499A">
        <w:rPr>
          <w:rFonts w:ascii="Arial" w:eastAsia="Calibri" w:hAnsi="Arial" w:cs="Arial"/>
          <w:sz w:val="22"/>
          <w:szCs w:val="22"/>
        </w:rPr>
        <w:t xml:space="preserve">Valstybinės įmonės </w:t>
      </w:r>
      <w:r w:rsidR="001E3E29" w:rsidRPr="0002499A">
        <w:rPr>
          <w:rFonts w:ascii="Arial" w:eastAsia="Calibri" w:hAnsi="Arial" w:cs="Arial"/>
          <w:sz w:val="22"/>
          <w:szCs w:val="22"/>
        </w:rPr>
        <w:t>Valstybinių miškų urėdijos viešųjų</w:t>
      </w:r>
      <w:r w:rsidRPr="0002499A">
        <w:rPr>
          <w:rFonts w:ascii="Arial" w:eastAsia="Calibri" w:hAnsi="Arial" w:cs="Arial"/>
          <w:sz w:val="22"/>
          <w:szCs w:val="22"/>
        </w:rPr>
        <w:t xml:space="preserve"> pirkimų organizavimo tvarkos aprašu, patvirtintu </w:t>
      </w:r>
      <w:r w:rsidR="00ED5250" w:rsidRPr="0002499A">
        <w:rPr>
          <w:rFonts w:ascii="Arial" w:eastAsia="Calibri" w:hAnsi="Arial" w:cs="Arial"/>
          <w:sz w:val="22"/>
          <w:szCs w:val="22"/>
        </w:rPr>
        <w:t>2021-10-07</w:t>
      </w:r>
      <w:r w:rsidRPr="0002499A">
        <w:rPr>
          <w:rFonts w:ascii="Arial" w:eastAsia="Calibri" w:hAnsi="Arial" w:cs="Arial"/>
          <w:sz w:val="22"/>
          <w:szCs w:val="22"/>
        </w:rPr>
        <w:t xml:space="preserve"> </w:t>
      </w:r>
      <w:r w:rsidR="001E3E29" w:rsidRPr="0002499A">
        <w:rPr>
          <w:rFonts w:ascii="Arial" w:eastAsia="Calibri" w:hAnsi="Arial" w:cs="Arial"/>
          <w:sz w:val="22"/>
          <w:szCs w:val="22"/>
        </w:rPr>
        <w:t>VMU</w:t>
      </w:r>
      <w:r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generalinio </w:t>
      </w:r>
      <w:r w:rsidRPr="0002499A">
        <w:rPr>
          <w:rFonts w:ascii="Arial" w:eastAsia="Calibri" w:hAnsi="Arial" w:cs="Arial"/>
          <w:sz w:val="22"/>
          <w:szCs w:val="22"/>
        </w:rPr>
        <w:t>direktoriaus įsakymu</w:t>
      </w:r>
      <w:r w:rsidR="00ED5250" w:rsidRPr="0002499A">
        <w:rPr>
          <w:rFonts w:ascii="Arial" w:eastAsia="Calibri" w:hAnsi="Arial" w:cs="Arial"/>
          <w:sz w:val="22"/>
          <w:szCs w:val="22"/>
        </w:rPr>
        <w:t xml:space="preserve"> Nr. ĮS(E)-21-183</w:t>
      </w:r>
      <w:r w:rsidRPr="0002499A">
        <w:rPr>
          <w:rFonts w:ascii="Arial" w:eastAsia="Calibri" w:hAnsi="Arial" w:cs="Arial"/>
          <w:sz w:val="22"/>
          <w:szCs w:val="22"/>
        </w:rPr>
        <w:t xml:space="preserve"> „</w:t>
      </w:r>
      <w:r w:rsidR="001E3E29" w:rsidRPr="0002499A">
        <w:rPr>
          <w:rFonts w:ascii="Arial" w:eastAsia="Calibri" w:hAnsi="Arial" w:cs="Arial"/>
          <w:sz w:val="22"/>
          <w:szCs w:val="22"/>
        </w:rPr>
        <w:t>Dėl Valstybin</w:t>
      </w:r>
      <w:r w:rsidR="00ED5250" w:rsidRPr="0002499A">
        <w:rPr>
          <w:rFonts w:ascii="Arial" w:eastAsia="Calibri" w:hAnsi="Arial" w:cs="Arial"/>
          <w:sz w:val="22"/>
          <w:szCs w:val="22"/>
        </w:rPr>
        <w:t>ės</w:t>
      </w:r>
      <w:r w:rsidR="001E3E29"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įmonės Valstybinių </w:t>
      </w:r>
      <w:r w:rsidR="001E3E29" w:rsidRPr="0002499A">
        <w:rPr>
          <w:rFonts w:ascii="Arial" w:eastAsia="Calibri" w:hAnsi="Arial" w:cs="Arial"/>
          <w:sz w:val="22"/>
          <w:szCs w:val="22"/>
        </w:rPr>
        <w:t xml:space="preserve">miškų </w:t>
      </w:r>
      <w:r w:rsidR="003E03E2" w:rsidRPr="0002499A">
        <w:rPr>
          <w:rFonts w:ascii="Arial" w:eastAsia="Calibri" w:hAnsi="Arial" w:cs="Arial"/>
          <w:sz w:val="22"/>
          <w:szCs w:val="22"/>
        </w:rPr>
        <w:t>urėdijos viešųjų pirkimų organizavimo tvarkos aprašo</w:t>
      </w:r>
      <w:r w:rsidR="00ED5250" w:rsidRPr="0002499A">
        <w:rPr>
          <w:rFonts w:ascii="Arial" w:eastAsia="Calibri" w:hAnsi="Arial" w:cs="Arial"/>
          <w:sz w:val="22"/>
          <w:szCs w:val="22"/>
        </w:rPr>
        <w:t xml:space="preserve"> </w:t>
      </w:r>
      <w:r w:rsidR="003E03E2" w:rsidRPr="0002499A">
        <w:rPr>
          <w:rFonts w:ascii="Arial" w:eastAsia="Calibri" w:hAnsi="Arial" w:cs="Arial"/>
          <w:sz w:val="22"/>
          <w:szCs w:val="22"/>
        </w:rPr>
        <w:t>patvirtinimo</w:t>
      </w:r>
      <w:r w:rsidRPr="0002499A">
        <w:rPr>
          <w:rFonts w:ascii="Arial" w:eastAsia="Calibri" w:hAnsi="Arial" w:cs="Arial"/>
          <w:sz w:val="22"/>
          <w:szCs w:val="22"/>
        </w:rPr>
        <w:t xml:space="preserve">“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EA347B7" w14:textId="77777777" w:rsidR="005B55B1" w:rsidRPr="0021237F" w:rsidRDefault="005B55B1" w:rsidP="000C7086">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19031585"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265D4138"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629BDA22"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100C2D8F"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3E3C8D4F" w14:textId="77777777" w:rsidR="005B55B1" w:rsidRPr="0021237F" w:rsidRDefault="005B55B1" w:rsidP="000C7086">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w:t>
      </w:r>
      <w:r w:rsidR="003E03E2" w:rsidRPr="0021237F">
        <w:rPr>
          <w:rFonts w:ascii="Arial" w:eastAsia="Calibri" w:hAnsi="Arial" w:cs="Arial"/>
          <w:sz w:val="22"/>
          <w:szCs w:val="22"/>
        </w:rPr>
        <w:t>Perkančiosios organizacijos</w:t>
      </w:r>
      <w:r w:rsidRPr="0021237F">
        <w:rPr>
          <w:rFonts w:ascii="Arial" w:eastAsia="Calibri" w:hAnsi="Arial" w:cs="Arial"/>
          <w:sz w:val="22"/>
          <w:szCs w:val="22"/>
        </w:rPr>
        <w:t xml:space="preserve">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405D8AE" w14:textId="77777777" w:rsidR="005B55B1" w:rsidRPr="0021237F" w:rsidRDefault="005B55B1" w:rsidP="000C7086">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5F5661E7" w14:textId="77777777" w:rsidR="00187CDC"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0FF6BAD4" w14:textId="77777777" w:rsidR="005B55B1"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Pr="0021237F">
        <w:rPr>
          <w:rFonts w:ascii="Arial" w:hAnsi="Arial" w:cs="Arial"/>
          <w:color w:val="000000" w:themeColor="text1"/>
          <w:sz w:val="22"/>
          <w:szCs w:val="22"/>
        </w:rPr>
        <w:t xml:space="preserve">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076A1DAD"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D013457" w14:textId="77777777" w:rsidR="005B55B1" w:rsidRPr="0021237F" w:rsidRDefault="005B55B1" w:rsidP="0021237F">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2D9C13F9" w14:textId="5A5D5269" w:rsidR="005B55B1" w:rsidRPr="0021237F" w:rsidRDefault="003E03E2" w:rsidP="003B084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8"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w:t>
      </w:r>
    </w:p>
    <w:p w14:paraId="57B6F007" w14:textId="77777777" w:rsidR="005B55B1" w:rsidRPr="0021237F" w:rsidRDefault="002E4476" w:rsidP="0021237F">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202332B5" w14:textId="77777777" w:rsidR="005B55B1" w:rsidRPr="0021237F" w:rsidRDefault="005B55B1" w:rsidP="0021237F">
      <w:pPr>
        <w:jc w:val="both"/>
        <w:rPr>
          <w:rFonts w:ascii="Arial" w:hAnsi="Arial" w:cs="Arial"/>
          <w:sz w:val="22"/>
          <w:szCs w:val="22"/>
        </w:rPr>
      </w:pPr>
    </w:p>
    <w:p w14:paraId="015D0E6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3"/>
    </w:p>
    <w:p w14:paraId="69FDD47D" w14:textId="77777777" w:rsidR="005B55B1" w:rsidRPr="0021237F" w:rsidRDefault="005B55B1" w:rsidP="0021237F">
      <w:pPr>
        <w:rPr>
          <w:rFonts w:ascii="Arial" w:hAnsi="Arial" w:cs="Arial"/>
          <w:i/>
          <w:iCs/>
          <w:color w:val="FF0000"/>
          <w:sz w:val="22"/>
          <w:szCs w:val="22"/>
        </w:rPr>
      </w:pPr>
    </w:p>
    <w:p w14:paraId="49CDA829"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71B90FA6"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639A3C94"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2F12DB8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017D6547"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002E4476"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2A2F8F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0136AB20" w14:textId="77777777" w:rsidR="005B55B1" w:rsidRPr="0021237F" w:rsidRDefault="005B55B1"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9"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94FA5D2"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6F992FCC"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62CB8787" w14:textId="77777777" w:rsidR="005B55B1" w:rsidRPr="0021237F" w:rsidRDefault="005B55B1" w:rsidP="005B55B1">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351B232E" w14:textId="77777777" w:rsidR="005B55B1" w:rsidRPr="0021237F" w:rsidRDefault="005B55B1" w:rsidP="005B55B1">
      <w:pPr>
        <w:rPr>
          <w:rFonts w:ascii="Arial" w:hAnsi="Arial" w:cs="Arial"/>
          <w:i/>
          <w:iCs/>
          <w:color w:val="FF0000"/>
          <w:sz w:val="22"/>
          <w:szCs w:val="22"/>
        </w:rPr>
      </w:pPr>
    </w:p>
    <w:p w14:paraId="6D216D15"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3662A282"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Pr="0021237F">
        <w:rPr>
          <w:rFonts w:ascii="Arial" w:hAnsi="Arial" w:cs="Arial"/>
          <w:sz w:val="22"/>
          <w:szCs w:val="22"/>
        </w:rPr>
        <w:t>. Kai tiekėjai kreipiasi dėl pirkimo dokumentų paaiškinimo ar patikslinimo:</w:t>
      </w:r>
    </w:p>
    <w:p w14:paraId="01013404"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26352850"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60585B0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002E4476"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38A827D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0C550B"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422751DA"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797BDD47"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FE4D8C4"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295CA74E"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28B157A"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0CC3E7BA"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529D8E7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016EE7B7" w14:textId="77777777" w:rsidR="005B55B1" w:rsidRPr="0021237F" w:rsidRDefault="005B55B1" w:rsidP="0021237F">
      <w:pPr>
        <w:rPr>
          <w:rFonts w:ascii="Arial" w:hAnsi="Arial" w:cs="Arial"/>
          <w:sz w:val="22"/>
          <w:szCs w:val="22"/>
        </w:rPr>
      </w:pPr>
    </w:p>
    <w:p w14:paraId="16BBF65B"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3E6AE3E"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03B753CF"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 Specialiųjų sąlygų 5.2 punkte nurodyta, kad pirkimo objektas skaidomas į dalis, Specialiųjų sąlygų 4 priedo 1 lentelėje nurodyti reikalavimai dėl pašalinimo pagrindų nebuvimo (jeigu tokius reikalavimus </w:t>
      </w:r>
      <w:r w:rsidR="002E4476" w:rsidRPr="0021237F">
        <w:rPr>
          <w:rFonts w:ascii="Arial" w:hAnsi="Arial" w:cs="Arial"/>
          <w:sz w:val="22"/>
          <w:szCs w:val="22"/>
        </w:rPr>
        <w:t xml:space="preserve">Perkančioji organizacija </w:t>
      </w:r>
      <w:r w:rsidRPr="0021237F">
        <w:rPr>
          <w:rFonts w:ascii="Arial" w:hAnsi="Arial" w:cs="Arial"/>
          <w:sz w:val="22"/>
          <w:szCs w:val="22"/>
        </w:rPr>
        <w:t>kelia) taikomi visoms pirkimo objekto dalims.</w:t>
      </w:r>
    </w:p>
    <w:p w14:paraId="2B16EEBD" w14:textId="77777777" w:rsidR="005B55B1" w:rsidRPr="0021237F" w:rsidRDefault="002E4476"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 (jeigu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bookmarkStart w:id="39" w:name="part_5ae68ef151c24a74906b41e777259638"/>
      <w:bookmarkEnd w:id="39"/>
    </w:p>
    <w:p w14:paraId="29D18787"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Jeigu tiekėjas neatitinka reikalavimų, nustatytų pagal Specialiųjų sąlygų 4 priedo 1 lentelės  1 ir 3-11 punktus, </w:t>
      </w:r>
      <w:r w:rsidR="002E76A1" w:rsidRPr="0021237F">
        <w:rPr>
          <w:rFonts w:ascii="Arial" w:hAnsi="Arial" w:cs="Arial"/>
          <w:sz w:val="22"/>
          <w:szCs w:val="22"/>
        </w:rPr>
        <w:t xml:space="preserve">Perkančioji organizacija </w:t>
      </w:r>
      <w:r w:rsidRPr="0021237F">
        <w:rPr>
          <w:rFonts w:ascii="Arial" w:hAnsi="Arial" w:cs="Arial"/>
          <w:sz w:val="22"/>
          <w:szCs w:val="22"/>
        </w:rPr>
        <w:t>jo nepašalina iš pirkimo procedūros, kai yra abi šios sąlygos kartu:</w:t>
      </w:r>
      <w:bookmarkStart w:id="40" w:name="part_489d708a94334d9995f4fc89eaed432a"/>
      <w:bookmarkEnd w:id="40"/>
    </w:p>
    <w:p w14:paraId="664908BA" w14:textId="77777777" w:rsidR="005B55B1" w:rsidRPr="0021237F" w:rsidRDefault="005B55B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tiekėjas pateikė </w:t>
      </w:r>
      <w:r w:rsidR="002E76A1" w:rsidRPr="0021237F">
        <w:rPr>
          <w:rFonts w:ascii="Arial" w:hAnsi="Arial" w:cs="Arial"/>
          <w:sz w:val="22"/>
          <w:szCs w:val="22"/>
        </w:rPr>
        <w:t xml:space="preserve">Perkančiajai organizacijai </w:t>
      </w:r>
      <w:r w:rsidRPr="0021237F">
        <w:rPr>
          <w:rFonts w:ascii="Arial" w:hAnsi="Arial" w:cs="Arial"/>
          <w:sz w:val="22"/>
          <w:szCs w:val="22"/>
        </w:rPr>
        <w:t>informaciją apie tai, kad ėmėsi šių priemonių:</w:t>
      </w:r>
      <w:bookmarkStart w:id="41" w:name="part_8ad558ab9da04740ad63d2699e66e1af"/>
      <w:bookmarkEnd w:id="41"/>
    </w:p>
    <w:p w14:paraId="1AE0BABD"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3A689F1B"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5AAC9C5C"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2AF74F30" w14:textId="77777777" w:rsidR="005B55B1" w:rsidRPr="0021237F" w:rsidRDefault="002E76A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00553370" w:rsidRPr="0021237F">
        <w:rPr>
          <w:rFonts w:ascii="Arial" w:eastAsia="Calibri" w:hAnsi="Arial" w:cs="Arial"/>
          <w:bCs/>
          <w:sz w:val="22"/>
          <w:szCs w:val="22"/>
        </w:rPr>
        <w:t xml:space="preserve">Perkančioji organizacija </w:t>
      </w:r>
      <w:r w:rsidR="005B55B1"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CA5AF23" w14:textId="77777777" w:rsidR="005B55B1" w:rsidRPr="0021237F" w:rsidRDefault="005B55B1" w:rsidP="0021237F">
      <w:pPr>
        <w:tabs>
          <w:tab w:val="left" w:pos="851"/>
        </w:tabs>
        <w:jc w:val="both"/>
        <w:rPr>
          <w:rFonts w:ascii="Arial" w:hAnsi="Arial" w:cs="Arial"/>
          <w:sz w:val="22"/>
          <w:szCs w:val="22"/>
        </w:rPr>
      </w:pPr>
    </w:p>
    <w:p w14:paraId="2B3CD597"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57DACFB4"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005F2208"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CA9472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1A75A2"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31FBC5D"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38A26E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6046EEC" w14:textId="77777777" w:rsidR="005B55B1" w:rsidRPr="0021237F" w:rsidRDefault="005B55B1" w:rsidP="0021237F">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0320343F"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5810691"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41E5AC90"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2319F083"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352CA4D6" w14:textId="77777777" w:rsidR="005B55B1" w:rsidRPr="0021237F" w:rsidRDefault="005B55B1" w:rsidP="0021237F">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C7804"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3554F5DD"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1768F2E8"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303B7D08"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75387212" w14:textId="77777777" w:rsidR="005B55B1" w:rsidRPr="0021237F" w:rsidRDefault="002E76A1" w:rsidP="0021237F">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117D1866" w14:textId="77777777" w:rsidR="005B55B1" w:rsidRPr="0021237F" w:rsidRDefault="005B55B1" w:rsidP="0021237F">
      <w:pPr>
        <w:pStyle w:val="Antrat1"/>
        <w:tabs>
          <w:tab w:val="left" w:pos="426"/>
        </w:tabs>
        <w:rPr>
          <w:rFonts w:ascii="Arial" w:hAnsi="Arial" w:cs="Arial"/>
          <w:sz w:val="22"/>
          <w:szCs w:val="22"/>
        </w:rPr>
      </w:pPr>
    </w:p>
    <w:p w14:paraId="071DBE46" w14:textId="77777777" w:rsidR="005B55B1" w:rsidRPr="0021237F"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1B194645" w14:textId="77777777" w:rsidR="005B55B1" w:rsidRPr="0021237F" w:rsidRDefault="005B55B1" w:rsidP="0021237F">
      <w:pPr>
        <w:rPr>
          <w:rFonts w:ascii="Arial" w:hAnsi="Arial" w:cs="Arial"/>
          <w:sz w:val="22"/>
          <w:szCs w:val="22"/>
        </w:rPr>
      </w:pPr>
    </w:p>
    <w:p w14:paraId="33A97971" w14:textId="77777777" w:rsidR="005B55B1" w:rsidRPr="0021237F" w:rsidRDefault="005B55B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07A4BC9F"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w:t>
      </w:r>
      <w:r w:rsidR="000C7086" w:rsidRPr="0021237F">
        <w:rPr>
          <w:rFonts w:ascii="Arial" w:hAnsi="Arial" w:cs="Arial"/>
          <w:sz w:val="22"/>
          <w:szCs w:val="22"/>
        </w:rPr>
        <w:t>ąja organizacija</w:t>
      </w:r>
      <w:r w:rsidRPr="0021237F">
        <w:rPr>
          <w:rFonts w:ascii="Arial" w:hAnsi="Arial" w:cs="Arial"/>
          <w:sz w:val="22"/>
          <w:szCs w:val="22"/>
        </w:rPr>
        <w:t xml:space="preserve"> sudaryti Pirkimo sutartį, šių įsipareigojimų vertės dalis, išreikšta procentiniu dydžiu, įeinanti į bendrą sutarties vertę.</w:t>
      </w:r>
    </w:p>
    <w:p w14:paraId="55E4C7B3"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44CDF0C0"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B99BD9C"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440BC491"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21237F">
        <w:rPr>
          <w:rFonts w:ascii="Arial" w:hAnsi="Arial" w:cs="Arial"/>
          <w:sz w:val="22"/>
          <w:szCs w:val="22"/>
        </w:rPr>
        <w:t xml:space="preserve">Perkančiosios organizacijos </w:t>
      </w:r>
      <w:r w:rsidRPr="0021237F">
        <w:rPr>
          <w:rFonts w:ascii="Arial" w:hAnsi="Arial" w:cs="Arial"/>
          <w:sz w:val="22"/>
          <w:szCs w:val="22"/>
        </w:rPr>
        <w:t>sutikimą.</w:t>
      </w:r>
    </w:p>
    <w:p w14:paraId="1280BFAD" w14:textId="77777777" w:rsidR="005B55B1" w:rsidRPr="0021237F" w:rsidRDefault="002E76A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704610E2" w14:textId="77777777" w:rsidR="005B55B1" w:rsidRPr="0021237F" w:rsidRDefault="005B55B1" w:rsidP="0021237F">
      <w:pPr>
        <w:rPr>
          <w:rFonts w:ascii="Arial" w:hAnsi="Arial" w:cs="Arial"/>
          <w:sz w:val="22"/>
          <w:szCs w:val="22"/>
        </w:rPr>
      </w:pPr>
    </w:p>
    <w:p w14:paraId="4B02A16A"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3EF74E54" w14:textId="77777777" w:rsidR="005B55B1" w:rsidRPr="0021237F" w:rsidRDefault="005B55B1" w:rsidP="0021237F">
      <w:pPr>
        <w:rPr>
          <w:rFonts w:ascii="Arial" w:hAnsi="Arial" w:cs="Arial"/>
          <w:sz w:val="22"/>
          <w:szCs w:val="22"/>
        </w:rPr>
      </w:pPr>
    </w:p>
    <w:p w14:paraId="3084B8CB" w14:textId="77777777" w:rsidR="005B55B1" w:rsidRPr="0021237F" w:rsidRDefault="005B55B1" w:rsidP="0021237F">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6EB21A23"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1A19B1D"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6FC87EAD" w14:textId="77777777" w:rsidR="005B55B1" w:rsidRPr="0021237F" w:rsidRDefault="005B55B1" w:rsidP="0021237F">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79B09633"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067F1D5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55953AFE" w14:textId="77777777" w:rsidR="005B55B1" w:rsidRPr="0021237F" w:rsidRDefault="005B55B1" w:rsidP="0021237F">
      <w:pPr>
        <w:pStyle w:val="Sraopastraipa"/>
        <w:tabs>
          <w:tab w:val="left" w:pos="426"/>
        </w:tabs>
        <w:ind w:left="0"/>
        <w:rPr>
          <w:rFonts w:ascii="Arial" w:hAnsi="Arial" w:cs="Arial"/>
          <w:sz w:val="22"/>
          <w:szCs w:val="22"/>
        </w:rPr>
      </w:pPr>
    </w:p>
    <w:p w14:paraId="5904F871"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EBBDC8C"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08A3F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88763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42C945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D44B962"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088B94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386FA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81FF624"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D329DD0"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9DD337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60D3739"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040C665E"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w:t>
      </w:r>
    </w:p>
    <w:p w14:paraId="6ABFE3C3"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(jeigu pagal pirkimo dokumentų sąlygas šie dokumentai turi būti pasirašomi)).</w:t>
      </w:r>
    </w:p>
    <w:p w14:paraId="5E9191D8"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1194FBCA" w14:textId="77777777" w:rsidR="005B55B1" w:rsidRPr="0021237F" w:rsidRDefault="005B55B1" w:rsidP="0021237F">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B8C329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C7D0219"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2C66AFA"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02AFE4"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F22AB1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09CB4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C902D2"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47DEE74"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1E31D2E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873BA28"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B9881F"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A7BCD8"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60046B0E"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248BE7F5"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64E5CC0"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748F4D0" w14:textId="6F245D2C"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sidR="004E39D6">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34E498D8" w14:textId="77777777" w:rsidR="005B55B1" w:rsidRPr="0021237F" w:rsidRDefault="005B55B1"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0C862AC" w14:textId="77777777" w:rsidR="005B55B1" w:rsidRPr="0021237F" w:rsidRDefault="005B55B1" w:rsidP="0021237F">
      <w:pPr>
        <w:pStyle w:val="Sraopastraipa"/>
        <w:tabs>
          <w:tab w:val="left" w:pos="426"/>
        </w:tabs>
        <w:ind w:left="0"/>
        <w:rPr>
          <w:rFonts w:ascii="Arial" w:hAnsi="Arial" w:cs="Arial"/>
          <w:sz w:val="22"/>
          <w:szCs w:val="22"/>
        </w:rPr>
      </w:pPr>
    </w:p>
    <w:p w14:paraId="627E2FE8"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E00C5CE" w14:textId="77777777" w:rsidR="005B55B1" w:rsidRPr="0021237F" w:rsidRDefault="005B55B1" w:rsidP="0021237F">
      <w:pPr>
        <w:pStyle w:val="Sraopastraipa"/>
        <w:tabs>
          <w:tab w:val="left" w:pos="426"/>
        </w:tabs>
        <w:ind w:left="0"/>
        <w:rPr>
          <w:rFonts w:ascii="Arial" w:hAnsi="Arial" w:cs="Arial"/>
          <w:sz w:val="22"/>
          <w:szCs w:val="22"/>
        </w:rPr>
      </w:pPr>
    </w:p>
    <w:p w14:paraId="1EB1203E" w14:textId="77777777" w:rsidR="005B55B1" w:rsidRPr="0021237F" w:rsidRDefault="005B55B1" w:rsidP="0021237F">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2EAB0A"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7564612B"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26F093DA" w14:textId="77777777" w:rsidR="005B55B1" w:rsidRPr="0021237F" w:rsidRDefault="005B55B1" w:rsidP="0021237F">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(Apostille)</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1237F">
        <w:rPr>
          <w:rFonts w:ascii="Arial" w:eastAsia="Calibri" w:hAnsi="Arial" w:cs="Arial"/>
          <w:i/>
          <w:sz w:val="22"/>
          <w:szCs w:val="22"/>
        </w:rPr>
        <w:t>Apostille</w:t>
      </w:r>
      <w:r w:rsidRPr="0021237F">
        <w:rPr>
          <w:rFonts w:ascii="Arial" w:eastAsia="Calibri" w:hAnsi="Arial" w:cs="Arial"/>
          <w:sz w:val="22"/>
          <w:szCs w:val="22"/>
        </w:rPr>
        <w:t>).</w:t>
      </w:r>
    </w:p>
    <w:p w14:paraId="7664D4F4" w14:textId="77777777" w:rsidR="005B55B1" w:rsidRPr="0021237F" w:rsidRDefault="005B55B1" w:rsidP="0021237F">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4A8EC7" w14:textId="77777777" w:rsidR="005B55B1" w:rsidRPr="0021237F" w:rsidRDefault="005B55B1" w:rsidP="0021237F">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Pr="0021237F">
        <w:rPr>
          <w:rFonts w:ascii="Arial" w:hAnsi="Arial" w:cs="Arial"/>
          <w:color w:val="000000" w:themeColor="text1"/>
          <w:sz w:val="22"/>
          <w:szCs w:val="22"/>
        </w:rPr>
        <w:t>priimtinus dokumentus.</w:t>
      </w:r>
    </w:p>
    <w:p w14:paraId="68541EC4"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7E2D211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245A572E"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38CF36A2"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006FC42A"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5AC53488"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5A7D24D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0DFC2754"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1D7D6A5B"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6F65D84F" w14:textId="77777777" w:rsidR="005B55B1" w:rsidRPr="0021237F" w:rsidRDefault="005B55B1" w:rsidP="0021237F">
      <w:pPr>
        <w:rPr>
          <w:rFonts w:ascii="Arial" w:hAnsi="Arial" w:cs="Arial"/>
          <w:sz w:val="22"/>
          <w:szCs w:val="22"/>
        </w:rPr>
      </w:pPr>
    </w:p>
    <w:p w14:paraId="312831D5"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E0C77D7"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F5E6D89" w14:textId="77777777" w:rsidR="005B55B1" w:rsidRPr="0021237F" w:rsidRDefault="005B55B1" w:rsidP="0021237F">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Pr="0021237F">
        <w:rPr>
          <w:rFonts w:ascii="Arial" w:hAnsi="Arial" w:cs="Arial"/>
          <w:sz w:val="22"/>
          <w:szCs w:val="22"/>
        </w:rPr>
        <w:t>.</w:t>
      </w:r>
    </w:p>
    <w:p w14:paraId="149D197B"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E74F22"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D3C82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7CB37E13"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CF8984A"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37F70C40"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1B9DC406"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E75ECA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5D058229" w14:textId="77777777" w:rsidR="005B55B1" w:rsidRPr="0021237F" w:rsidRDefault="005B55B1" w:rsidP="0021237F">
      <w:pPr>
        <w:pStyle w:val="Sraopastraipa"/>
        <w:numPr>
          <w:ilvl w:val="1"/>
          <w:numId w:val="12"/>
        </w:numPr>
        <w:tabs>
          <w:tab w:val="left" w:pos="0"/>
          <w:tab w:val="left" w:pos="567"/>
        </w:tabs>
        <w:contextualSpacing w:val="0"/>
        <w:jc w:val="both"/>
        <w:rPr>
          <w:rFonts w:ascii="Arial" w:hAnsi="Arial" w:cs="Arial"/>
          <w:vanish/>
          <w:sz w:val="22"/>
          <w:szCs w:val="22"/>
        </w:rPr>
      </w:pPr>
    </w:p>
    <w:p w14:paraId="375F4C84" w14:textId="77777777" w:rsidR="005B55B1" w:rsidRPr="0021237F" w:rsidRDefault="005B55B1" w:rsidP="0021237F">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Užtikrinimą (toliau – </w:t>
      </w:r>
      <w:r w:rsidRPr="0021237F">
        <w:rPr>
          <w:rFonts w:ascii="Arial" w:hAnsi="Arial" w:cs="Arial"/>
          <w:b/>
          <w:sz w:val="22"/>
          <w:szCs w:val="22"/>
        </w:rPr>
        <w:t>Užtikrinimas</w:t>
      </w:r>
      <w:r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Pr="0021237F">
        <w:rPr>
          <w:rFonts w:ascii="Arial" w:hAnsi="Arial" w:cs="Arial"/>
          <w:sz w:val="22"/>
          <w:szCs w:val="22"/>
        </w:rPr>
        <w:t>. Užtikrinimas turi atitikti žemiau šiame skyriuje nurodytus reikalavimus.</w:t>
      </w:r>
    </w:p>
    <w:p w14:paraId="5E0733D3"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555C179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4902ECCD"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0435D9A"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36A8A5B" w14:textId="77777777" w:rsidR="005B55B1" w:rsidRPr="0021237F" w:rsidRDefault="005B55B1" w:rsidP="0021237F">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w:t>
      </w:r>
      <w:r w:rsidR="003028A9" w:rsidRPr="0021237F">
        <w:rPr>
          <w:rFonts w:ascii="Arial" w:hAnsi="Arial" w:cs="Arial"/>
          <w:sz w:val="22"/>
          <w:szCs w:val="22"/>
        </w:rPr>
        <w:t>Perkančiosios organizacijos</w:t>
      </w:r>
      <w:r w:rsidRPr="0021237F">
        <w:rPr>
          <w:rFonts w:ascii="Arial" w:hAnsi="Arial" w:cs="Arial"/>
          <w:sz w:val="22"/>
          <w:szCs w:val="22"/>
        </w:rPr>
        <w:t xml:space="preserve"> sąskaitą, pervestu piniginiu užstatu: </w:t>
      </w:r>
      <w:r w:rsidR="007C35A5" w:rsidRPr="0021237F">
        <w:rPr>
          <w:rFonts w:ascii="Arial" w:hAnsi="Arial" w:cs="Arial"/>
          <w:b/>
          <w:sz w:val="22"/>
          <w:szCs w:val="22"/>
        </w:rPr>
        <w:t>Sąskaitos Nr. LT 84 7044 0600 0812 3597, bankas: SEB bankas AB, banko kodas 70400, Gedimino pr. 12, LT-01103 Vilnius, Lietuva.</w:t>
      </w:r>
      <w:r w:rsidR="00621A5D" w:rsidRPr="0021237F">
        <w:rPr>
          <w:rFonts w:ascii="Arial" w:hAnsi="Arial" w:cs="Arial"/>
          <w:b/>
          <w:sz w:val="22"/>
          <w:szCs w:val="22"/>
        </w:rPr>
        <w:t xml:space="preserve"> </w:t>
      </w:r>
      <w:r w:rsidRPr="0021237F">
        <w:rPr>
          <w:rFonts w:ascii="Arial" w:hAnsi="Arial" w:cs="Arial"/>
          <w:sz w:val="22"/>
          <w:szCs w:val="22"/>
        </w:rPr>
        <w:t>Pateikiama mokėjimą liudijančio dokumento – mokėjimo kvito originalo skaitmeninė kopija arba mokėjimo nurodymo skaitmeninė kopija.</w:t>
      </w:r>
    </w:p>
    <w:p w14:paraId="294A7B6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296C2C87"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5F50D49"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150B85FC" w14:textId="77777777" w:rsidR="005B55B1" w:rsidRPr="0021237F" w:rsidRDefault="005B55B1" w:rsidP="0021237F">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 xml:space="preserve">vengia arba atsisako pasirašyti sutartį per </w:t>
      </w:r>
      <w:r w:rsidR="003028A9" w:rsidRPr="0021237F">
        <w:rPr>
          <w:rFonts w:ascii="Arial" w:hAnsi="Arial" w:cs="Arial"/>
          <w:sz w:val="22"/>
          <w:szCs w:val="22"/>
        </w:rPr>
        <w:t xml:space="preserve">Perkančiosios organizacijos </w:t>
      </w:r>
      <w:r w:rsidRPr="0021237F">
        <w:rPr>
          <w:rFonts w:ascii="Arial" w:hAnsi="Arial" w:cs="Arial"/>
          <w:sz w:val="22"/>
          <w:szCs w:val="22"/>
        </w:rPr>
        <w:t>nurodytą terminą;</w:t>
      </w:r>
    </w:p>
    <w:p w14:paraId="761FCD90" w14:textId="77777777" w:rsidR="005B55B1" w:rsidRPr="0021237F" w:rsidRDefault="005B55B1" w:rsidP="0021237F">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3D1E1648"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4649A37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21202BA"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Pr="0021237F">
        <w:rPr>
          <w:rFonts w:ascii="Arial" w:hAnsi="Arial" w:cs="Arial"/>
          <w:sz w:val="22"/>
          <w:szCs w:val="22"/>
        </w:rPr>
        <w:t xml:space="preserve"> patvirtinti, kad jis sutinka priimti jo siūlomą pasiūlymo galiojimo užtikrinimą. Tokiu atveju </w:t>
      </w:r>
      <w:r w:rsidR="003028A9" w:rsidRPr="0021237F">
        <w:rPr>
          <w:rFonts w:ascii="Arial" w:hAnsi="Arial" w:cs="Arial"/>
          <w:sz w:val="22"/>
          <w:szCs w:val="22"/>
        </w:rPr>
        <w:t xml:space="preserve">Perkančioji organizacija </w:t>
      </w:r>
      <w:r w:rsidRPr="0021237F">
        <w:rPr>
          <w:rFonts w:ascii="Arial" w:hAnsi="Arial" w:cs="Arial"/>
          <w:sz w:val="22"/>
          <w:szCs w:val="22"/>
        </w:rPr>
        <w:t xml:space="preserve">CVP IS susirašinėjimo priemonėmis privalo atsakyti tiekėjui ne vėliau kaip per 3 (tris) darbo dienas nuo prašymo gavimo dienos. Šis patvirtinimas neatima teisės iš </w:t>
      </w:r>
      <w:r w:rsidR="003028A9" w:rsidRPr="0021237F">
        <w:rPr>
          <w:rFonts w:ascii="Arial" w:hAnsi="Arial" w:cs="Arial"/>
          <w:sz w:val="22"/>
          <w:szCs w:val="22"/>
        </w:rPr>
        <w:t xml:space="preserve">Perkančiosios organizacijos </w:t>
      </w:r>
      <w:r w:rsidRPr="0021237F">
        <w:rPr>
          <w:rFonts w:ascii="Arial" w:hAnsi="Arial" w:cs="Arial"/>
          <w:sz w:val="22"/>
          <w:szCs w:val="22"/>
        </w:rPr>
        <w:t xml:space="preserve">atmesti Užtikrinimą, gavus informaciją, kad pasiūlymo galiojimą užtikrinantis ūkio subjektas tapo nemokus ar neįvykdė įsipareigojimų </w:t>
      </w:r>
      <w:r w:rsidR="003028A9" w:rsidRPr="0021237F">
        <w:rPr>
          <w:rFonts w:ascii="Arial" w:hAnsi="Arial" w:cs="Arial"/>
          <w:sz w:val="22"/>
          <w:szCs w:val="22"/>
        </w:rPr>
        <w:t xml:space="preserve">Perkančiajai organizacijai </w:t>
      </w:r>
      <w:r w:rsidRPr="0021237F">
        <w:rPr>
          <w:rFonts w:ascii="Arial" w:hAnsi="Arial" w:cs="Arial"/>
          <w:sz w:val="22"/>
          <w:szCs w:val="22"/>
        </w:rPr>
        <w:t>arba kitiems ūkio subjektams, ar netinkamai juos vykdė.</w:t>
      </w:r>
    </w:p>
    <w:p w14:paraId="57FF46E7"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Pr="0021237F">
        <w:rPr>
          <w:rFonts w:ascii="Arial" w:hAnsi="Arial" w:cs="Arial"/>
          <w:bCs/>
          <w:sz w:val="22"/>
          <w:szCs w:val="22"/>
        </w:rPr>
        <w:t xml:space="preserve">terminą </w:t>
      </w:r>
      <w:r w:rsidR="00CC5684" w:rsidRPr="0021237F">
        <w:rPr>
          <w:rFonts w:ascii="Arial" w:hAnsi="Arial" w:cs="Arial"/>
          <w:bCs/>
          <w:sz w:val="22"/>
          <w:szCs w:val="22"/>
        </w:rPr>
        <w:t>nei</w:t>
      </w:r>
      <w:r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Pr="0021237F">
        <w:rPr>
          <w:rFonts w:ascii="Arial" w:hAnsi="Arial" w:cs="Arial"/>
          <w:bCs/>
          <w:sz w:val="22"/>
          <w:szCs w:val="22"/>
        </w:rPr>
        <w:t>.</w:t>
      </w:r>
    </w:p>
    <w:p w14:paraId="774FE1A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4E8FFC43"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04CD6C49"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57BFED1B"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78F814AC"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603E11F4"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4843A711"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w:t>
      </w:r>
      <w:r w:rsidR="003028A9" w:rsidRPr="0021237F">
        <w:rPr>
          <w:rFonts w:ascii="Arial" w:hAnsi="Arial" w:cs="Arial"/>
          <w:sz w:val="22"/>
          <w:szCs w:val="22"/>
        </w:rPr>
        <w:t>Viešųjų</w:t>
      </w:r>
      <w:r w:rsidRPr="0021237F">
        <w:rPr>
          <w:rFonts w:ascii="Arial" w:hAnsi="Arial" w:cs="Arial"/>
          <w:sz w:val="22"/>
          <w:szCs w:val="22"/>
        </w:rPr>
        <w:t xml:space="preserve"> </w:t>
      </w:r>
      <w:r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w:t>
      </w:r>
      <w:r w:rsidRPr="0021237F">
        <w:rPr>
          <w:rFonts w:ascii="Arial" w:hAnsi="Arial" w:cs="Arial"/>
          <w:sz w:val="22"/>
          <w:szCs w:val="22"/>
        </w:rPr>
        <w:t xml:space="preserve">  </w:t>
      </w:r>
    </w:p>
    <w:p w14:paraId="666D0074" w14:textId="77777777" w:rsidR="005B55B1" w:rsidRPr="0021237F" w:rsidRDefault="005B55B1" w:rsidP="0021237F">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EB754B4"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3028A9"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003028A9" w:rsidRPr="0021237F">
        <w:rPr>
          <w:rFonts w:ascii="Arial" w:hAnsi="Arial" w:cs="Arial"/>
          <w:sz w:val="22"/>
          <w:szCs w:val="22"/>
        </w:rPr>
        <w:t>Perkanči</w:t>
      </w:r>
      <w:r w:rsidR="00FE455C" w:rsidRPr="0021237F">
        <w:rPr>
          <w:rFonts w:ascii="Arial" w:hAnsi="Arial" w:cs="Arial"/>
          <w:sz w:val="22"/>
          <w:szCs w:val="22"/>
        </w:rPr>
        <w:t>ajai</w:t>
      </w:r>
      <w:r w:rsidR="003028A9" w:rsidRPr="0021237F">
        <w:rPr>
          <w:rFonts w:ascii="Arial" w:hAnsi="Arial" w:cs="Arial"/>
          <w:sz w:val="22"/>
          <w:szCs w:val="22"/>
        </w:rPr>
        <w:t xml:space="preserve"> organizacija</w:t>
      </w:r>
      <w:r w:rsidR="00FE455C" w:rsidRPr="0021237F">
        <w:rPr>
          <w:rFonts w:ascii="Arial" w:hAnsi="Arial" w:cs="Arial"/>
          <w:sz w:val="22"/>
          <w:szCs w:val="22"/>
        </w:rPr>
        <w:t>i</w:t>
      </w:r>
      <w:r w:rsidRPr="0021237F">
        <w:rPr>
          <w:rFonts w:ascii="Arial" w:eastAsia="Calibri" w:hAnsi="Arial" w:cs="Arial"/>
          <w:sz w:val="22"/>
          <w:szCs w:val="22"/>
        </w:rPr>
        <w:t>;</w:t>
      </w:r>
    </w:p>
    <w:p w14:paraId="5A39732D"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690473DD"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ADDE26A"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D43E362"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10770F94"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429D6699" w14:textId="77777777" w:rsidR="005B55B1" w:rsidRPr="0021237F" w:rsidRDefault="005B55B1" w:rsidP="0021237F">
      <w:pPr>
        <w:rPr>
          <w:rFonts w:ascii="Arial" w:hAnsi="Arial" w:cs="Arial"/>
          <w:sz w:val="22"/>
          <w:szCs w:val="22"/>
        </w:rPr>
      </w:pPr>
    </w:p>
    <w:p w14:paraId="2B75E083" w14:textId="77777777" w:rsidR="00693785" w:rsidRPr="0021237F" w:rsidRDefault="00693785" w:rsidP="0021237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6432CEC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78B48824" w14:textId="77777777" w:rsidTr="00693785">
        <w:tc>
          <w:tcPr>
            <w:tcW w:w="1129" w:type="dxa"/>
          </w:tcPr>
          <w:p w14:paraId="0C33127E"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1E5924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5CE2827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22A91D3F" w14:textId="77777777" w:rsidTr="00693785">
        <w:tc>
          <w:tcPr>
            <w:tcW w:w="1129" w:type="dxa"/>
          </w:tcPr>
          <w:p w14:paraId="40D7B6A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2E86FBF6"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0"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0B7CD74D"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tiekėjui užšifruoti dokumentą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F5C4AA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148CDEEE" w14:textId="77777777" w:rsidTr="00693785">
        <w:tc>
          <w:tcPr>
            <w:tcW w:w="1129" w:type="dxa"/>
          </w:tcPr>
          <w:p w14:paraId="4CD3CA4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9.1.2</w:t>
            </w:r>
          </w:p>
        </w:tc>
        <w:tc>
          <w:tcPr>
            <w:tcW w:w="4395" w:type="dxa"/>
          </w:tcPr>
          <w:p w14:paraId="740428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5E93FDB0"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6E7834C2"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0478A525" w14:textId="77777777" w:rsidTr="00693785">
        <w:tc>
          <w:tcPr>
            <w:tcW w:w="1129" w:type="dxa"/>
          </w:tcPr>
          <w:p w14:paraId="7B510C0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6F4751E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1E1D80A8"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CDD650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23641E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2F43A0C"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7E63B4C0"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521A1426"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4D83CCF2" w14:textId="77777777" w:rsidR="005B55B1" w:rsidRPr="0021237F" w:rsidRDefault="005B55B1" w:rsidP="0021237F">
      <w:pPr>
        <w:rPr>
          <w:rFonts w:ascii="Arial" w:hAnsi="Arial" w:cs="Arial"/>
          <w:sz w:val="22"/>
          <w:szCs w:val="22"/>
        </w:rPr>
      </w:pPr>
    </w:p>
    <w:p w14:paraId="545A434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D3825D"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E3CEA8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DEE1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5A4F420"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43659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41FCFB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3704279"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4B2EF21"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8C904A"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8855C7" w14:textId="77777777" w:rsidR="005B55B1" w:rsidRPr="0021237F" w:rsidRDefault="005B55B1" w:rsidP="0021237F">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5F4F8689" w14:textId="77777777" w:rsidR="005B55B1" w:rsidRPr="0021237F" w:rsidRDefault="005B55B1" w:rsidP="0021237F">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8E92E68"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74A61030"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w:t>
      </w:r>
      <w:r w:rsidR="00E126BD" w:rsidRPr="0021237F">
        <w:rPr>
          <w:rFonts w:ascii="Arial" w:eastAsia="Calibri" w:hAnsi="Arial" w:cs="Arial"/>
          <w:sz w:val="22"/>
          <w:szCs w:val="22"/>
          <w:lang w:eastAsia="lt-LT"/>
        </w:rPr>
        <w:t>Viešųjų</w:t>
      </w:r>
      <w:r w:rsidRPr="0021237F">
        <w:rPr>
          <w:rFonts w:ascii="Arial" w:eastAsia="Calibri" w:hAnsi="Arial" w:cs="Arial"/>
          <w:sz w:val="22"/>
          <w:szCs w:val="22"/>
          <w:lang w:eastAsia="lt-LT"/>
        </w:rPr>
        <w:t xml:space="preserve"> </w:t>
      </w:r>
      <w:r w:rsidRPr="0021237F">
        <w:rPr>
          <w:rFonts w:ascii="Arial" w:eastAsia="Calibri" w:hAnsi="Arial" w:cs="Arial"/>
          <w:color w:val="000000" w:themeColor="text1"/>
          <w:sz w:val="22"/>
          <w:szCs w:val="22"/>
          <w:lang w:eastAsia="lt-LT"/>
        </w:rPr>
        <w:t xml:space="preserve">pirkimų įstatymo </w:t>
      </w:r>
      <w:r w:rsidR="00E126BD" w:rsidRPr="0021237F">
        <w:rPr>
          <w:rFonts w:ascii="Arial" w:eastAsia="Calibri" w:hAnsi="Arial" w:cs="Arial"/>
          <w:sz w:val="22"/>
          <w:szCs w:val="22"/>
          <w:lang w:eastAsia="lt-LT"/>
        </w:rPr>
        <w:t>33</w:t>
      </w:r>
      <w:r w:rsidRPr="0021237F">
        <w:rPr>
          <w:rFonts w:ascii="Arial" w:eastAsia="Calibri" w:hAnsi="Arial" w:cs="Arial"/>
          <w:sz w:val="22"/>
          <w:szCs w:val="22"/>
          <w:lang w:eastAsia="lt-LT"/>
        </w:rPr>
        <w:t xml:space="preserve"> ir </w:t>
      </w:r>
      <w:r w:rsidR="00E126BD" w:rsidRPr="0021237F">
        <w:rPr>
          <w:rFonts w:ascii="Arial" w:eastAsia="Calibri" w:hAnsi="Arial" w:cs="Arial"/>
          <w:sz w:val="22"/>
          <w:szCs w:val="22"/>
          <w:lang w:eastAsia="lt-LT"/>
        </w:rPr>
        <w:t xml:space="preserve">58 </w:t>
      </w:r>
      <w:r w:rsidRPr="0021237F">
        <w:rPr>
          <w:rFonts w:ascii="Arial" w:eastAsia="Calibri" w:hAnsi="Arial" w:cs="Arial"/>
          <w:sz w:val="22"/>
          <w:szCs w:val="22"/>
          <w:lang w:eastAsia="lt-LT"/>
        </w:rPr>
        <w:t xml:space="preserve">straipsniuose ir </w:t>
      </w:r>
      <w:r w:rsidR="00E126BD" w:rsidRPr="0021237F">
        <w:rPr>
          <w:rFonts w:ascii="Arial" w:eastAsia="Calibri" w:hAnsi="Arial" w:cs="Arial"/>
          <w:sz w:val="22"/>
          <w:szCs w:val="22"/>
          <w:lang w:eastAsia="lt-LT"/>
        </w:rPr>
        <w:t>86</w:t>
      </w:r>
      <w:r w:rsidRPr="0021237F">
        <w:rPr>
          <w:rFonts w:ascii="Arial" w:eastAsia="Calibri" w:hAnsi="Arial" w:cs="Arial"/>
          <w:sz w:val="22"/>
          <w:szCs w:val="22"/>
          <w:lang w:eastAsia="lt-LT"/>
        </w:rPr>
        <w:t xml:space="preserve"> straipsnio 9 dalyje nustatytus reikalavimus dėl paskelbimo apie sudarytą sutartį, tiekėjų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1C7FB6C"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10052CFD"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319B95B7"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38CB62F9"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Pr="0021237F">
        <w:rPr>
          <w:rFonts w:ascii="Arial" w:eastAsia="Calibri" w:hAnsi="Arial" w:cs="Arial"/>
          <w:sz w:val="22"/>
          <w:szCs w:val="22"/>
          <w:lang w:eastAsia="lt-LT"/>
        </w:rPr>
        <w:t xml:space="preserve"> turi teisę ją viešinti nesikreipiant į tiekėją papildomų įrodymų.</w:t>
      </w:r>
    </w:p>
    <w:p w14:paraId="6DA0CDF6"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4D0A3899"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1C2A2485"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17C7BB1D" w14:textId="77777777" w:rsidR="005B55B1" w:rsidRPr="0021237F" w:rsidRDefault="005B55B1" w:rsidP="0021237F">
      <w:pPr>
        <w:rPr>
          <w:rFonts w:ascii="Arial" w:hAnsi="Arial" w:cs="Arial"/>
          <w:sz w:val="22"/>
          <w:szCs w:val="22"/>
        </w:rPr>
      </w:pPr>
    </w:p>
    <w:p w14:paraId="6462153C"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1D5868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7959EF7"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20021A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A16E44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41040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844B19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5E1CB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2B81568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 xml:space="preserve">tiekėjas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(kitu atveju jo pasiūlymas atmetamas);</w:t>
      </w:r>
    </w:p>
    <w:p w14:paraId="1BE23B9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5115A816"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46DE3AB8"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11.3.5.</w:t>
      </w:r>
      <w:r w:rsidRPr="0021237F">
        <w:rPr>
          <w:rFonts w:ascii="Arial" w:eastAsia="Calibri" w:hAnsi="Arial" w:cs="Arial"/>
          <w:sz w:val="22"/>
          <w:szCs w:val="22"/>
        </w:rPr>
        <w:tab/>
        <w:t>pasiūlymų vertinimo metu radus pasiūlyme nurodytos kainos ar sąnaudų apskaičiavimo klaidų, per Perkančio</w:t>
      </w:r>
      <w:r w:rsidR="000C7086" w:rsidRPr="0021237F">
        <w:rPr>
          <w:rFonts w:ascii="Arial" w:eastAsia="Calibri" w:hAnsi="Arial" w:cs="Arial"/>
          <w:sz w:val="22"/>
          <w:szCs w:val="22"/>
        </w:rPr>
        <w:t>sios</w:t>
      </w:r>
      <w:r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67F7FC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gali nevertinti viso tiekėjo pasiūlymo, jeigu patikrinęs jo dalį nustato, kad pasiūlymas, vadovaujantis pirkimo dokumentų reikalavimais, turi būti atmetamas.</w:t>
      </w:r>
    </w:p>
    <w:p w14:paraId="7456EF4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keliamus reikalavimus.</w:t>
      </w:r>
    </w:p>
    <w:p w14:paraId="46276BA3"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nepagrindusio ar netinkamai pagrindusio siūlomą kainą ar sąnaudas pasiūlymas atmetamas). </w:t>
      </w:r>
    </w:p>
    <w:p w14:paraId="7159200F"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32FC31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iš tokio tiekėjo prašo per jo nustatytą protingą terminą pateikti dokumentus, kurie patvirtina, kad galimas laimėtojas atitinka reikalavimus tiekėjų kvalifikacijai . Tuo atveju, jei galimas laimėtojas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5A5CACC3" w14:textId="77777777" w:rsidR="005B55B1"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305C9966"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6B759F64"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1A70A828" w14:textId="77777777" w:rsidR="0021237F" w:rsidRPr="0021237F" w:rsidRDefault="0021237F" w:rsidP="0021237F">
      <w:pPr>
        <w:tabs>
          <w:tab w:val="left" w:pos="8505"/>
        </w:tabs>
      </w:pPr>
    </w:p>
    <w:p w14:paraId="6EEFBE80"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7E6C28A3"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000F1D8F" w:rsidRPr="0021237F">
        <w:rPr>
          <w:rFonts w:ascii="Arial" w:eastAsia="Calibri" w:hAnsi="Arial" w:cs="Arial"/>
          <w:sz w:val="22"/>
          <w:szCs w:val="22"/>
        </w:rPr>
        <w:t xml:space="preserve">Tačiau </w:t>
      </w:r>
      <w:r w:rsidR="00A7498D" w:rsidRPr="0021237F">
        <w:rPr>
          <w:rFonts w:ascii="Arial" w:eastAsia="Calibri" w:hAnsi="Arial" w:cs="Arial"/>
          <w:sz w:val="22"/>
          <w:szCs w:val="22"/>
        </w:rPr>
        <w:t xml:space="preserve"> [</w:t>
      </w:r>
      <w:r w:rsidR="000F1D8F" w:rsidRPr="0021237F">
        <w:rPr>
          <w:rFonts w:ascii="Arial" w:eastAsia="Calibri" w:hAnsi="Arial" w:cs="Arial"/>
          <w:sz w:val="22"/>
          <w:szCs w:val="22"/>
        </w:rPr>
        <w:t>t</w:t>
      </w:r>
      <w:r w:rsidR="00A7498D" w:rsidRPr="0021237F">
        <w:rPr>
          <w:rFonts w:ascii="Arial" w:hAnsi="Arial" w:cs="Arial"/>
          <w:color w:val="000000"/>
          <w:sz w:val="22"/>
          <w:szCs w:val="22"/>
        </w:rPr>
        <w:t>ai atvejais, kai taikoma fiksuotos kainos kainodara]</w:t>
      </w:r>
      <w:r w:rsidR="000F1D8F" w:rsidRPr="0021237F">
        <w:rPr>
          <w:rFonts w:ascii="Arial" w:hAnsi="Arial" w:cs="Arial"/>
          <w:color w:val="000000"/>
          <w:sz w:val="22"/>
          <w:szCs w:val="22"/>
        </w:rPr>
        <w:t>j</w:t>
      </w:r>
      <w:r w:rsidR="00A7498D" w:rsidRPr="0021237F">
        <w:rPr>
          <w:rFonts w:ascii="Arial" w:hAnsi="Arial" w:cs="Arial"/>
          <w:color w:val="000000"/>
          <w:sz w:val="22"/>
          <w:szCs w:val="22"/>
        </w:rPr>
        <w:t xml:space="preserve">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51"/>
      <w:r w:rsidR="005B55B1"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65FE409" w14:textId="77777777" w:rsidR="005B55B1" w:rsidRPr="0021237F" w:rsidRDefault="005B55B1"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Pr="0021237F">
        <w:rPr>
          <w:rFonts w:ascii="Arial" w:eastAsia="Calibri" w:hAnsi="Arial" w:cs="Arial"/>
          <w:sz w:val="22"/>
          <w:szCs w:val="22"/>
        </w:rPr>
        <w:t>.1 punkto nuostatas, pasiūlymas atmetamas.</w:t>
      </w:r>
    </w:p>
    <w:p w14:paraId="77BBF99E" w14:textId="7C9FC44B" w:rsidR="005B55B1" w:rsidRDefault="005B55B1" w:rsidP="0021237F">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w:t>
      </w:r>
      <w:r w:rsidR="00D1043D" w:rsidRPr="0021237F">
        <w:rPr>
          <w:rFonts w:ascii="Arial" w:eastAsia="Calibri" w:hAnsi="Arial" w:cs="Arial"/>
          <w:sz w:val="22"/>
          <w:szCs w:val="22"/>
        </w:rPr>
        <w:t>2</w:t>
      </w:r>
      <w:r w:rsidRPr="0021237F">
        <w:rPr>
          <w:rFonts w:ascii="Arial" w:eastAsia="Calibri" w:hAnsi="Arial" w:cs="Arial"/>
          <w:sz w:val="22"/>
          <w:szCs w:val="22"/>
        </w:rPr>
        <w:t>.4.Tiekėjo, su kuriuo negali būti sudaroma sutartis pagal Bendrųjų sąlygų 16.6 punkto nuostatas, t. y. nustatoma, kad sutartis kelia grėsmę nacionalinio saugumo interesams, pasiūlymas atmetamas.</w:t>
      </w:r>
    </w:p>
    <w:p w14:paraId="07262BA5" w14:textId="77777777" w:rsidR="00EB4EEC" w:rsidRDefault="00EB4EEC" w:rsidP="00EB4EE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183A635D" w14:textId="77777777" w:rsidR="00EB4EEC" w:rsidRPr="0021237F" w:rsidRDefault="00EB4EEC" w:rsidP="0021237F">
      <w:pPr>
        <w:tabs>
          <w:tab w:val="left" w:pos="360"/>
          <w:tab w:val="left" w:pos="567"/>
          <w:tab w:val="left" w:pos="851"/>
        </w:tabs>
        <w:jc w:val="both"/>
        <w:rPr>
          <w:rFonts w:ascii="Arial" w:eastAsia="Calibri" w:hAnsi="Arial" w:cs="Arial"/>
          <w:sz w:val="22"/>
          <w:szCs w:val="22"/>
        </w:rPr>
      </w:pPr>
    </w:p>
    <w:p w14:paraId="01642620"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A1759A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6CD89A64" w14:textId="77777777" w:rsidR="005B55B1" w:rsidRPr="0021237F" w:rsidRDefault="005B55B1" w:rsidP="0021237F">
      <w:pPr>
        <w:rPr>
          <w:rFonts w:ascii="Arial" w:eastAsia="Calibri" w:hAnsi="Arial" w:cs="Arial"/>
          <w:sz w:val="22"/>
          <w:szCs w:val="22"/>
        </w:rPr>
      </w:pPr>
    </w:p>
    <w:p w14:paraId="4CA7D175"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5D1B5B54"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D8B9FF2"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083FF7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2ECA8D7" w14:textId="77777777" w:rsidR="005B55B1" w:rsidRPr="0021237F" w:rsidRDefault="00816D5E" w:rsidP="0021237F">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1C15F887"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w:t>
      </w:r>
      <w:r w:rsidR="00D1043D" w:rsidRPr="0021237F">
        <w:rPr>
          <w:rFonts w:ascii="Arial" w:eastAsia="Calibri" w:hAnsi="Arial" w:cs="Arial"/>
          <w:sz w:val="22"/>
          <w:szCs w:val="22"/>
          <w:lang w:eastAsia="lt-LT"/>
        </w:rPr>
        <w:t>3</w:t>
      </w:r>
      <w:r w:rsidRPr="0021237F">
        <w:rPr>
          <w:rFonts w:ascii="Arial" w:eastAsia="Calibri" w:hAnsi="Arial" w:cs="Arial"/>
          <w:sz w:val="22"/>
          <w:szCs w:val="22"/>
          <w:lang w:eastAsia="lt-LT"/>
        </w:rPr>
        <w:t>.2 punkte nurodytos atitinkamos informacijos, kuri dar nebuvo pateikta pirkimo procedūros metu, santrauką;</w:t>
      </w:r>
    </w:p>
    <w:p w14:paraId="11EC244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2B381AA6"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226312E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4DD8A4B2"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0B3321C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3A36BF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F72B88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F1EEBCA"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4873E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92743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81A7B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80C0D31"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62F86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E14F7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AB1F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71961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98A67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37B59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3F4EA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BA52B5"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503E05D" w14:textId="77777777" w:rsidR="005B55B1" w:rsidRPr="0021237F" w:rsidRDefault="00816D5E" w:rsidP="0021237F">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gav</w:t>
      </w:r>
      <w:r w:rsidRPr="0021237F">
        <w:rPr>
          <w:rFonts w:ascii="Arial" w:eastAsia="Calibri" w:hAnsi="Arial" w:cs="Arial"/>
          <w:sz w:val="22"/>
          <w:szCs w:val="22"/>
        </w:rPr>
        <w:t>usi</w:t>
      </w:r>
      <w:r w:rsidR="005B55B1" w:rsidRPr="0021237F">
        <w:rPr>
          <w:rFonts w:ascii="Arial" w:eastAsia="Calibri" w:hAnsi="Arial" w:cs="Arial"/>
          <w:sz w:val="22"/>
          <w:szCs w:val="22"/>
        </w:rPr>
        <w:t xml:space="preserve"> dalyvio raštu pateiktą prašymą, ne vėliau kaip per 15 (penkiolika) dienų nuo jo gavimo dienos išsamiai pateikia šią informaciją:</w:t>
      </w:r>
    </w:p>
    <w:p w14:paraId="60C33E4D" w14:textId="77777777" w:rsidR="0097298E"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D3A0D1A" w14:textId="77777777" w:rsidR="005B55B1"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w:t>
      </w:r>
      <w:r w:rsidR="00D1043D" w:rsidRPr="0021237F">
        <w:rPr>
          <w:rFonts w:ascii="Arial" w:hAnsi="Arial" w:cs="Arial"/>
          <w:sz w:val="22"/>
          <w:szCs w:val="22"/>
        </w:rPr>
        <w:t>1</w:t>
      </w:r>
      <w:r w:rsidRPr="0021237F">
        <w:rPr>
          <w:rFonts w:ascii="Arial" w:hAnsi="Arial" w:cs="Arial"/>
          <w:sz w:val="22"/>
          <w:szCs w:val="22"/>
        </w:rPr>
        <w:t>.3.6 punktu</w:t>
      </w:r>
      <w:r w:rsidRPr="0021237F">
        <w:rPr>
          <w:rFonts w:ascii="Arial" w:eastAsia="Calibri" w:hAnsi="Arial" w:cs="Arial"/>
          <w:sz w:val="22"/>
          <w:szCs w:val="22"/>
        </w:rPr>
        <w:t xml:space="preserve">, </w:t>
      </w:r>
      <w:r w:rsidRPr="0021237F">
        <w:rPr>
          <w:rFonts w:ascii="Arial" w:hAnsi="Arial" w:cs="Arial"/>
          <w:sz w:val="22"/>
          <w:szCs w:val="22"/>
        </w:rPr>
        <w:t xml:space="preserve">o </w:t>
      </w:r>
      <w:r w:rsidR="00553370" w:rsidRPr="0021237F">
        <w:rPr>
          <w:rFonts w:ascii="Arial" w:hAnsi="Arial" w:cs="Arial"/>
          <w:sz w:val="22"/>
          <w:szCs w:val="22"/>
        </w:rPr>
        <w:t>Viešųjų</w:t>
      </w:r>
      <w:r w:rsidRPr="0021237F">
        <w:rPr>
          <w:rFonts w:ascii="Arial" w:hAnsi="Arial" w:cs="Arial"/>
          <w:sz w:val="22"/>
          <w:szCs w:val="22"/>
        </w:rPr>
        <w:t xml:space="preserve"> pirkimų įstatymo </w:t>
      </w:r>
      <w:r w:rsidR="00553370" w:rsidRPr="0021237F">
        <w:rPr>
          <w:rFonts w:ascii="Arial" w:hAnsi="Arial" w:cs="Arial"/>
          <w:sz w:val="22"/>
          <w:szCs w:val="22"/>
        </w:rPr>
        <w:t>37</w:t>
      </w:r>
      <w:r w:rsidRPr="0021237F">
        <w:rPr>
          <w:rFonts w:ascii="Arial" w:hAnsi="Arial" w:cs="Arial"/>
          <w:sz w:val="22"/>
          <w:szCs w:val="22"/>
        </w:rPr>
        <w:t>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7158552" w14:textId="77777777" w:rsidR="005B55B1" w:rsidRPr="0021237F" w:rsidRDefault="005B55B1" w:rsidP="0021237F">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Šio skyriaus 1</w:t>
      </w:r>
      <w:r w:rsidR="00D1043D" w:rsidRPr="0021237F">
        <w:rPr>
          <w:rFonts w:ascii="Arial" w:hAnsi="Arial" w:cs="Arial"/>
          <w:sz w:val="22"/>
          <w:szCs w:val="22"/>
        </w:rPr>
        <w:t>3</w:t>
      </w:r>
      <w:r w:rsidRPr="0021237F">
        <w:rPr>
          <w:rFonts w:ascii="Arial" w:hAnsi="Arial" w:cs="Arial"/>
          <w:sz w:val="22"/>
          <w:szCs w:val="22"/>
        </w:rPr>
        <w:t>.1 ir 1</w:t>
      </w:r>
      <w:r w:rsidR="00D1043D" w:rsidRPr="0021237F">
        <w:rPr>
          <w:rFonts w:ascii="Arial" w:hAnsi="Arial" w:cs="Arial"/>
          <w:sz w:val="22"/>
          <w:szCs w:val="22"/>
        </w:rPr>
        <w:t>3</w:t>
      </w:r>
      <w:r w:rsidRPr="0021237F">
        <w:rPr>
          <w:rFonts w:ascii="Arial" w:hAnsi="Arial" w:cs="Arial"/>
          <w:sz w:val="22"/>
          <w:szCs w:val="22"/>
        </w:rPr>
        <w:t xml:space="preserve">.2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0FA883B1"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4ED0DC2A" w14:textId="77777777" w:rsidR="005B55B1" w:rsidRPr="0021237F" w:rsidRDefault="005B55B1" w:rsidP="0021237F">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3D9B204F" w14:textId="77777777" w:rsidR="005B55B1" w:rsidRPr="0021237F" w:rsidRDefault="005B55B1" w:rsidP="0021237F">
      <w:pPr>
        <w:rPr>
          <w:rFonts w:ascii="Arial" w:eastAsia="Calibri" w:hAnsi="Arial" w:cs="Arial"/>
          <w:sz w:val="22"/>
          <w:szCs w:val="22"/>
        </w:rPr>
      </w:pPr>
    </w:p>
    <w:p w14:paraId="03334381" w14:textId="77777777" w:rsidR="005B55B1" w:rsidRPr="0021237F" w:rsidRDefault="005B55B1" w:rsidP="0021237F">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0B1664E"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0AEB241" w14:textId="77777777" w:rsidR="005B55B1" w:rsidRPr="0021237F" w:rsidRDefault="005B55B1" w:rsidP="0021237F">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18F9320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B00AB7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iki </w:t>
      </w:r>
      <w:r w:rsidR="00816D5E"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53BE5F79"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atsisako sudaryti sutartį </w:t>
      </w:r>
      <w:r w:rsidR="00816D5E" w:rsidRPr="0021237F">
        <w:rPr>
          <w:rFonts w:ascii="Arial" w:hAnsi="Arial" w:cs="Arial"/>
          <w:sz w:val="22"/>
          <w:szCs w:val="22"/>
        </w:rPr>
        <w:t>Viešųjų</w:t>
      </w:r>
      <w:r w:rsidRPr="0021237F">
        <w:rPr>
          <w:rFonts w:ascii="Arial" w:hAnsi="Arial" w:cs="Arial"/>
          <w:sz w:val="22"/>
          <w:szCs w:val="22"/>
        </w:rPr>
        <w:t xml:space="preserve"> pirkimų įstatyme ir pirkimo dokumentuose nustatytomis sąlygomis</w:t>
      </w:r>
      <w:r w:rsidRPr="0021237F">
        <w:rPr>
          <w:rFonts w:ascii="Arial" w:eastAsia="Calibri" w:hAnsi="Arial" w:cs="Arial"/>
          <w:sz w:val="22"/>
          <w:szCs w:val="22"/>
        </w:rPr>
        <w:t>.</w:t>
      </w:r>
    </w:p>
    <w:p w14:paraId="49619918"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403B1C63"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Pr="0021237F">
        <w:rPr>
          <w:rFonts w:ascii="Arial" w:eastAsia="Calibri" w:hAnsi="Arial" w:cs="Arial"/>
          <w:sz w:val="22"/>
          <w:szCs w:val="22"/>
        </w:rPr>
        <w:t>.</w:t>
      </w:r>
      <w:r w:rsidR="000C7086" w:rsidRPr="0021237F">
        <w:rPr>
          <w:rFonts w:ascii="Arial" w:eastAsia="Calibri" w:hAnsi="Arial" w:cs="Arial"/>
          <w:sz w:val="22"/>
          <w:szCs w:val="22"/>
        </w:rPr>
        <w:t>1</w:t>
      </w:r>
      <w:r w:rsidRPr="0021237F">
        <w:rPr>
          <w:rFonts w:ascii="Arial" w:eastAsia="Calibri" w:hAnsi="Arial" w:cs="Arial"/>
          <w:sz w:val="22"/>
          <w:szCs w:val="22"/>
        </w:rPr>
        <w:t xml:space="preserve">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36BCE6AB" w14:textId="77777777" w:rsidR="005B55B1" w:rsidRPr="0021237F" w:rsidRDefault="005B55B1" w:rsidP="0021237F">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7EA0CC2"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38F831C3"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499E407"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3ECDA062"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718EA026"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07A2B5C3" w14:textId="77777777" w:rsidR="005B55B1" w:rsidRPr="0021237F" w:rsidRDefault="005B55B1" w:rsidP="0021237F">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0823B94F" w14:textId="77777777" w:rsidR="005B55B1" w:rsidRPr="0021237F" w:rsidRDefault="005B55B1" w:rsidP="0021237F">
      <w:pPr>
        <w:rPr>
          <w:rFonts w:ascii="Arial" w:eastAsia="Calibri" w:hAnsi="Arial" w:cs="Arial"/>
          <w:sz w:val="22"/>
          <w:szCs w:val="22"/>
        </w:rPr>
      </w:pPr>
    </w:p>
    <w:p w14:paraId="5D88B967" w14:textId="77777777" w:rsidR="005B55B1" w:rsidRPr="0021237F" w:rsidRDefault="005B55B1" w:rsidP="0021237F">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613D9CFA" w14:textId="77777777" w:rsidR="005B55B1" w:rsidRPr="0021237F" w:rsidRDefault="005B55B1" w:rsidP="0021237F">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00AB0D11"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13BC06A1"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2F56FFDE" w14:textId="77777777" w:rsidR="005B55B1" w:rsidRPr="0021237F" w:rsidRDefault="00AB0D11" w:rsidP="0021237F">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37A2B606"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005B55B1" w:rsidRPr="0021237F">
        <w:rPr>
          <w:rFonts w:ascii="Arial" w:hAnsi="Arial" w:cs="Arial"/>
          <w:sz w:val="22"/>
          <w:szCs w:val="22"/>
        </w:rPr>
        <w:t>, gav</w:t>
      </w:r>
      <w:r w:rsidRPr="0021237F">
        <w:rPr>
          <w:rFonts w:ascii="Arial" w:hAnsi="Arial" w:cs="Arial"/>
          <w:sz w:val="22"/>
          <w:szCs w:val="22"/>
        </w:rPr>
        <w:t>usi</w:t>
      </w:r>
      <w:r w:rsidR="005B55B1" w:rsidRPr="0021237F">
        <w:rPr>
          <w:rFonts w:ascii="Arial" w:hAnsi="Arial" w:cs="Arial"/>
          <w:sz w:val="22"/>
          <w:szCs w:val="22"/>
        </w:rPr>
        <w:t xml:space="preserve"> pretenziją, nedelsdama sustabdo pirkimo procedūrą, kol išnagrinėja gautą pretenziją ir priima sprendimą;</w:t>
      </w:r>
    </w:p>
    <w:p w14:paraId="782DDDDE"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2A577C0"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pasiūlymų pateikimo termino pabaigos, </w:t>
      </w:r>
      <w:bookmarkEnd w:id="156"/>
      <w:r w:rsidRPr="0021237F">
        <w:rPr>
          <w:rFonts w:ascii="Arial" w:hAnsi="Arial" w:cs="Arial"/>
          <w:sz w:val="22"/>
          <w:szCs w:val="22"/>
        </w:rPr>
        <w:t>neatskleis tiekėjo, iš kurio buvo gauta pretenzija, tapatybės;</w:t>
      </w:r>
    </w:p>
    <w:p w14:paraId="70EFBC04" w14:textId="77777777" w:rsidR="005B55B1" w:rsidRPr="0021237F" w:rsidRDefault="00AF7965"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21237F">
        <w:rPr>
          <w:rFonts w:ascii="Arial" w:eastAsia="Calibri" w:hAnsi="Arial" w:cs="Arial"/>
          <w:bCs/>
          <w:sz w:val="22"/>
          <w:szCs w:val="22"/>
        </w:rPr>
        <w:t xml:space="preserve"> turi esminės įtakos pasiūlymų parengimui;</w:t>
      </w:r>
    </w:p>
    <w:p w14:paraId="380CD94B" w14:textId="77777777" w:rsidR="005B55B1" w:rsidRPr="0021237F" w:rsidRDefault="00AF7965"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lang w:eastAsia="lt-LT"/>
        </w:rPr>
        <w:t>neprivalo nagrinėti tiekėjo pretenzijos, kuri pateikta praleidus šio skyriaus 1</w:t>
      </w:r>
      <w:r w:rsidR="00466427" w:rsidRPr="0021237F">
        <w:rPr>
          <w:rFonts w:ascii="Arial" w:hAnsi="Arial" w:cs="Arial"/>
          <w:sz w:val="22"/>
          <w:szCs w:val="22"/>
          <w:lang w:eastAsia="lt-LT"/>
        </w:rPr>
        <w:t>5</w:t>
      </w:r>
      <w:r w:rsidR="005B55B1" w:rsidRPr="0021237F">
        <w:rPr>
          <w:rFonts w:ascii="Arial" w:hAnsi="Arial" w:cs="Arial"/>
          <w:sz w:val="22"/>
          <w:szCs w:val="22"/>
          <w:lang w:eastAsia="lt-LT"/>
        </w:rPr>
        <w:t xml:space="preserve">.1.1 punkte nustatytus terminus, pateikta pakartotinai dėl to paties </w:t>
      </w:r>
      <w:r w:rsidRPr="0021237F">
        <w:rPr>
          <w:rFonts w:ascii="Arial" w:eastAsia="Calibri" w:hAnsi="Arial" w:cs="Arial"/>
          <w:bCs/>
          <w:sz w:val="22"/>
          <w:szCs w:val="22"/>
        </w:rPr>
        <w:t xml:space="preserve">Perkančiosios organizacijos </w:t>
      </w:r>
      <w:r w:rsidR="005B55B1" w:rsidRPr="0021237F">
        <w:rPr>
          <w:rFonts w:ascii="Arial" w:hAnsi="Arial" w:cs="Arial"/>
          <w:sz w:val="22"/>
          <w:szCs w:val="22"/>
          <w:lang w:eastAsia="lt-LT"/>
        </w:rPr>
        <w:t>priimto sprendimo arba atlikto veiksmo ir (arba) pateikta po sutarties sudarymo dienos.</w:t>
      </w:r>
    </w:p>
    <w:p w14:paraId="5FF8E531" w14:textId="77777777" w:rsidR="005B55B1" w:rsidRPr="0021237F" w:rsidRDefault="005B55B1"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00466427" w:rsidRPr="0021237F">
        <w:rPr>
          <w:rFonts w:ascii="Arial" w:hAnsi="Arial" w:cs="Arial"/>
          <w:sz w:val="22"/>
          <w:szCs w:val="22"/>
          <w:lang w:val="en-US" w:eastAsia="lt-LT"/>
        </w:rPr>
        <w:t>5</w:t>
      </w:r>
      <w:r w:rsidRPr="0021237F">
        <w:rPr>
          <w:rFonts w:ascii="Arial" w:hAnsi="Arial" w:cs="Arial"/>
          <w:sz w:val="22"/>
          <w:szCs w:val="22"/>
          <w:lang w:eastAsia="lt-LT"/>
        </w:rPr>
        <w:t>.2.5 punkte nustatytais atvejais nagrinėja pretenziją, ji laikosi šio skyriaus 1</w:t>
      </w:r>
      <w:r w:rsidR="00466427" w:rsidRPr="0021237F">
        <w:rPr>
          <w:rFonts w:ascii="Arial" w:hAnsi="Arial" w:cs="Arial"/>
          <w:sz w:val="22"/>
          <w:szCs w:val="22"/>
          <w:lang w:eastAsia="lt-LT"/>
        </w:rPr>
        <w:t>5</w:t>
      </w:r>
      <w:r w:rsidRPr="0021237F">
        <w:rPr>
          <w:rFonts w:ascii="Arial" w:hAnsi="Arial" w:cs="Arial"/>
          <w:sz w:val="22"/>
          <w:szCs w:val="22"/>
          <w:lang w:eastAsia="lt-LT"/>
        </w:rPr>
        <w:t>.2.1-1</w:t>
      </w:r>
      <w:r w:rsidR="00466427" w:rsidRPr="0021237F">
        <w:rPr>
          <w:rFonts w:ascii="Arial" w:hAnsi="Arial" w:cs="Arial"/>
          <w:sz w:val="22"/>
          <w:szCs w:val="22"/>
          <w:lang w:eastAsia="lt-LT"/>
        </w:rPr>
        <w:t>5</w:t>
      </w:r>
      <w:r w:rsidRPr="0021237F">
        <w:rPr>
          <w:rFonts w:ascii="Arial" w:hAnsi="Arial" w:cs="Arial"/>
          <w:sz w:val="22"/>
          <w:szCs w:val="22"/>
          <w:lang w:eastAsia="lt-LT"/>
        </w:rPr>
        <w:t>.2.4 punkto reikalavimų.</w:t>
      </w:r>
    </w:p>
    <w:p w14:paraId="6A7D658F"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Pr="0021237F">
        <w:rPr>
          <w:rFonts w:ascii="Arial" w:eastAsia="Calibri" w:hAnsi="Arial" w:cs="Arial"/>
          <w:sz w:val="22"/>
          <w:szCs w:val="22"/>
        </w:rPr>
        <w:t xml:space="preserve"> pirkimų įstatymo VII skyriuje nustatyta tvarka. </w:t>
      </w:r>
      <w:bookmarkStart w:id="157" w:name="part_75b6b7826a164e7780e818be82803261"/>
      <w:bookmarkStart w:id="158" w:name="part_25cf4d3d63064186b564baa549663a7d"/>
      <w:bookmarkEnd w:id="2"/>
      <w:bookmarkEnd w:id="157"/>
      <w:bookmarkEnd w:id="158"/>
    </w:p>
    <w:p w14:paraId="67AE1A34" w14:textId="77777777" w:rsidR="002E1BF8" w:rsidRPr="0021237F" w:rsidRDefault="002E1BF8" w:rsidP="0021237F">
      <w:pPr>
        <w:rPr>
          <w:rFonts w:ascii="Arial" w:hAnsi="Arial" w:cs="Arial"/>
          <w:sz w:val="22"/>
          <w:szCs w:val="22"/>
        </w:rPr>
      </w:pPr>
    </w:p>
    <w:p w14:paraId="1D303561"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21237F">
      <w:headerReference w:type="default"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38DC" w14:textId="77777777" w:rsidR="00AE66FB" w:rsidRDefault="00AE66FB" w:rsidP="005B55B1">
      <w:r>
        <w:separator/>
      </w:r>
    </w:p>
  </w:endnote>
  <w:endnote w:type="continuationSeparator" w:id="0">
    <w:p w14:paraId="5271054B" w14:textId="77777777" w:rsidR="00AE66FB" w:rsidRDefault="00AE66FB"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F841" w14:textId="77777777" w:rsidR="00AE66FB" w:rsidRDefault="00AE66FB">
    <w:pPr>
      <w:pStyle w:val="Porat"/>
      <w:jc w:val="center"/>
    </w:pPr>
  </w:p>
  <w:p w14:paraId="24A0DA3D" w14:textId="77777777" w:rsidR="00AE66FB" w:rsidRPr="004A16D7" w:rsidRDefault="00FB0651"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sidR="00AE66FB">
          <w:rPr>
            <w:rFonts w:ascii="Arial" w:hAnsi="Arial" w:cs="Arial"/>
            <w:noProof/>
            <w:sz w:val="20"/>
            <w:szCs w:val="20"/>
          </w:rPr>
          <w:t>8</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9153" w14:textId="77777777" w:rsidR="00AE66FB" w:rsidRDefault="00AE66FB" w:rsidP="00A64A6E">
    <w:pPr>
      <w:pStyle w:val="Porat"/>
    </w:pPr>
  </w:p>
  <w:p w14:paraId="03CAE4DD"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80B6" w14:textId="77777777" w:rsidR="00AE66FB" w:rsidRDefault="00AE66FB" w:rsidP="005B55B1">
      <w:r>
        <w:separator/>
      </w:r>
    </w:p>
  </w:footnote>
  <w:footnote w:type="continuationSeparator" w:id="0">
    <w:p w14:paraId="3EECE82F" w14:textId="77777777" w:rsidR="00AE66FB" w:rsidRDefault="00AE66FB" w:rsidP="005B55B1">
      <w:r>
        <w:continuationSeparator/>
      </w:r>
    </w:p>
  </w:footnote>
  <w:footnote w:id="1">
    <w:p w14:paraId="5750AD7E"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5E650FF0" w14:textId="77777777" w:rsidR="00EB4EEC" w:rsidRDefault="00EB4EEC" w:rsidP="00EB4EE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D1C8EC5"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246D" w14:textId="77777777" w:rsidR="00AE66FB" w:rsidRDefault="00AE66FB" w:rsidP="00A64A6E">
    <w:pPr>
      <w:pStyle w:val="Antrats"/>
      <w:jc w:val="right"/>
      <w:rPr>
        <w:rFonts w:asciiTheme="minorHAnsi" w:hAnsiTheme="minorHAnsi"/>
      </w:rPr>
    </w:pPr>
  </w:p>
  <w:p w14:paraId="4801520C"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75B5784A"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E243" w14:textId="77777777" w:rsidR="00AE66FB" w:rsidRDefault="00AE66FB" w:rsidP="00A64A6E">
    <w:pPr>
      <w:pStyle w:val="Antrats"/>
      <w:jc w:val="right"/>
      <w:rPr>
        <w:rFonts w:asciiTheme="minorHAnsi" w:hAnsiTheme="minorHAnsi"/>
      </w:rPr>
    </w:pPr>
  </w:p>
  <w:p w14:paraId="5AC3006D" w14:textId="77777777" w:rsidR="00AE66FB" w:rsidRPr="000C1F48" w:rsidRDefault="00AE66FB" w:rsidP="00A64A6E">
    <w:pPr>
      <w:pStyle w:val="Antrats"/>
      <w:jc w:val="right"/>
      <w:rPr>
        <w:rFonts w:ascii="Arial" w:hAnsi="Arial" w:cs="Arial"/>
        <w:sz w:val="22"/>
        <w:szCs w:val="22"/>
        <w:lang w:val="en-US"/>
      </w:rPr>
    </w:pPr>
    <w:r w:rsidRPr="000C1F48">
      <w:rPr>
        <w:rFonts w:ascii="Arial" w:hAnsi="Arial" w:cs="Arial"/>
        <w:sz w:val="22"/>
        <w:szCs w:val="22"/>
      </w:rPr>
      <w:t>Skelbiamos apklausos Bendrosios  sąlygos</w:t>
    </w:r>
    <w:r w:rsidRPr="000C1F48">
      <w:rPr>
        <w:rFonts w:ascii="Arial" w:hAnsi="Arial" w:cs="Arial"/>
        <w:sz w:val="22"/>
        <w:szCs w:val="22"/>
        <w:lang w:val="en-US"/>
      </w:rPr>
      <w:t xml:space="preserve"> </w:t>
    </w:r>
  </w:p>
  <w:p w14:paraId="05F43882" w14:textId="77777777" w:rsidR="00AE66FB" w:rsidRPr="000F2BEC" w:rsidRDefault="00AE66FB" w:rsidP="00A64A6E">
    <w:pPr>
      <w:pStyle w:val="Antrats"/>
      <w:jc w:val="right"/>
      <w:rPr>
        <w:rFonts w:asciiTheme="minorHAnsi" w:hAnsiTheme="minorHAnsi"/>
        <w:lang w:val="en-US"/>
      </w:rPr>
    </w:pPr>
  </w:p>
  <w:p w14:paraId="05287DB7"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9591650">
    <w:abstractNumId w:val="8"/>
  </w:num>
  <w:num w:numId="2" w16cid:durableId="143205693">
    <w:abstractNumId w:val="5"/>
  </w:num>
  <w:num w:numId="3" w16cid:durableId="82340352">
    <w:abstractNumId w:val="6"/>
  </w:num>
  <w:num w:numId="4" w16cid:durableId="151216927">
    <w:abstractNumId w:val="1"/>
  </w:num>
  <w:num w:numId="5" w16cid:durableId="2143040813">
    <w:abstractNumId w:val="15"/>
  </w:num>
  <w:num w:numId="6" w16cid:durableId="1068116148">
    <w:abstractNumId w:val="17"/>
  </w:num>
  <w:num w:numId="7" w16cid:durableId="1546209228">
    <w:abstractNumId w:val="13"/>
  </w:num>
  <w:num w:numId="8" w16cid:durableId="1068310052">
    <w:abstractNumId w:val="3"/>
  </w:num>
  <w:num w:numId="9" w16cid:durableId="1199196047">
    <w:abstractNumId w:val="12"/>
  </w:num>
  <w:num w:numId="10" w16cid:durableId="330105537">
    <w:abstractNumId w:val="11"/>
  </w:num>
  <w:num w:numId="11" w16cid:durableId="1402603257">
    <w:abstractNumId w:val="0"/>
  </w:num>
  <w:num w:numId="12" w16cid:durableId="1495030145">
    <w:abstractNumId w:val="16"/>
  </w:num>
  <w:num w:numId="13" w16cid:durableId="915237760">
    <w:abstractNumId w:val="9"/>
  </w:num>
  <w:num w:numId="14" w16cid:durableId="472871318">
    <w:abstractNumId w:val="18"/>
  </w:num>
  <w:num w:numId="15" w16cid:durableId="1832940622">
    <w:abstractNumId w:val="4"/>
  </w:num>
  <w:num w:numId="16" w16cid:durableId="278876743">
    <w:abstractNumId w:val="10"/>
  </w:num>
  <w:num w:numId="17" w16cid:durableId="68583276">
    <w:abstractNumId w:val="14"/>
  </w:num>
  <w:num w:numId="18" w16cid:durableId="1583182052">
    <w:abstractNumId w:val="2"/>
  </w:num>
  <w:num w:numId="19" w16cid:durableId="20489841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B1"/>
    <w:rsid w:val="0002499A"/>
    <w:rsid w:val="000C1F48"/>
    <w:rsid w:val="000C7086"/>
    <w:rsid w:val="000F1D8F"/>
    <w:rsid w:val="00187CDC"/>
    <w:rsid w:val="00196F38"/>
    <w:rsid w:val="001B4AB7"/>
    <w:rsid w:val="001E3E29"/>
    <w:rsid w:val="0021237F"/>
    <w:rsid w:val="002221F4"/>
    <w:rsid w:val="002E1BF8"/>
    <w:rsid w:val="002E4476"/>
    <w:rsid w:val="002E76A1"/>
    <w:rsid w:val="003028A9"/>
    <w:rsid w:val="00304A9D"/>
    <w:rsid w:val="00380C53"/>
    <w:rsid w:val="003B084C"/>
    <w:rsid w:val="003E03E2"/>
    <w:rsid w:val="00466427"/>
    <w:rsid w:val="004E39D6"/>
    <w:rsid w:val="00504C2C"/>
    <w:rsid w:val="00553370"/>
    <w:rsid w:val="0056571E"/>
    <w:rsid w:val="005B55B1"/>
    <w:rsid w:val="00621A5D"/>
    <w:rsid w:val="00637362"/>
    <w:rsid w:val="00675726"/>
    <w:rsid w:val="00693785"/>
    <w:rsid w:val="00717C85"/>
    <w:rsid w:val="00796DFA"/>
    <w:rsid w:val="007B5A63"/>
    <w:rsid w:val="007C35A5"/>
    <w:rsid w:val="00816D5E"/>
    <w:rsid w:val="008E5F4B"/>
    <w:rsid w:val="0097298E"/>
    <w:rsid w:val="00A04ED9"/>
    <w:rsid w:val="00A64A6E"/>
    <w:rsid w:val="00A64B5B"/>
    <w:rsid w:val="00A7498D"/>
    <w:rsid w:val="00AB0D11"/>
    <w:rsid w:val="00AD263E"/>
    <w:rsid w:val="00AE66FB"/>
    <w:rsid w:val="00AF7965"/>
    <w:rsid w:val="00B24B39"/>
    <w:rsid w:val="00B66F43"/>
    <w:rsid w:val="00B7397C"/>
    <w:rsid w:val="00C95FBD"/>
    <w:rsid w:val="00CC5684"/>
    <w:rsid w:val="00D1043D"/>
    <w:rsid w:val="00D3592A"/>
    <w:rsid w:val="00DF215E"/>
    <w:rsid w:val="00E126BD"/>
    <w:rsid w:val="00E47827"/>
    <w:rsid w:val="00EB4EEC"/>
    <w:rsid w:val="00ED5250"/>
    <w:rsid w:val="00ED743D"/>
    <w:rsid w:val="00EF76F6"/>
    <w:rsid w:val="00F1041C"/>
    <w:rsid w:val="00FB0651"/>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ADB"/>
  <w15:chartTrackingRefBased/>
  <w15:docId w15:val="{AE0A7BFA-F91A-4678-8272-C4E0C47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 w:type="paragraph" w:styleId="Pataisymai">
    <w:name w:val="Revision"/>
    <w:hidden/>
    <w:uiPriority w:val="99"/>
    <w:semiHidden/>
    <w:rsid w:val="00ED52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607352151">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9A52-6316-4160-B5A0-C8015863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34004</Words>
  <Characters>19383</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Lina Zizienė | VMU</cp:lastModifiedBy>
  <cp:revision>3</cp:revision>
  <dcterms:created xsi:type="dcterms:W3CDTF">2022-05-18T06:28:00Z</dcterms:created>
  <dcterms:modified xsi:type="dcterms:W3CDTF">2025-09-03T12:42:00Z</dcterms:modified>
</cp:coreProperties>
</file>