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D017" w14:textId="77777777" w:rsidR="00B22E7F" w:rsidRPr="00B22E7F" w:rsidRDefault="00B22E7F" w:rsidP="00B22E7F">
      <w:pPr>
        <w:widowControl/>
        <w:autoSpaceDE/>
        <w:autoSpaceDN/>
        <w:adjustRightInd/>
        <w:ind w:firstLine="0"/>
        <w:jc w:val="right"/>
        <w:rPr>
          <w:rFonts w:ascii="Times New Roman" w:hAnsi="Times New Roman" w:cs="Times New Roman"/>
          <w:bCs/>
          <w:sz w:val="24"/>
        </w:rPr>
      </w:pPr>
      <w:r w:rsidRPr="00B22E7F">
        <w:rPr>
          <w:rFonts w:ascii="Times New Roman" w:hAnsi="Times New Roman" w:cs="Times New Roman"/>
          <w:bCs/>
          <w:sz w:val="24"/>
        </w:rPr>
        <w:t>Pirkimo sąlygų 3 priedas</w:t>
      </w:r>
    </w:p>
    <w:p w14:paraId="2E63378A" w14:textId="77777777" w:rsidR="00B22E7F" w:rsidRDefault="00B22E7F" w:rsidP="00B22E7F">
      <w:pPr>
        <w:widowControl/>
        <w:autoSpaceDE/>
        <w:autoSpaceDN/>
        <w:adjustRightInd/>
        <w:ind w:firstLine="0"/>
        <w:jc w:val="both"/>
        <w:rPr>
          <w:rFonts w:ascii="Times New Roman" w:hAnsi="Times New Roman" w:cs="Times New Roman"/>
          <w:sz w:val="24"/>
        </w:rPr>
      </w:pPr>
    </w:p>
    <w:p w14:paraId="7EF18E6F" w14:textId="77777777" w:rsidR="005E3C04" w:rsidRDefault="005E3C04" w:rsidP="00B22E7F">
      <w:pPr>
        <w:widowControl/>
        <w:autoSpaceDE/>
        <w:autoSpaceDN/>
        <w:adjustRightInd/>
        <w:ind w:firstLine="0"/>
        <w:jc w:val="both"/>
        <w:rPr>
          <w:rFonts w:ascii="Times New Roman" w:hAnsi="Times New Roman" w:cs="Times New Roman"/>
          <w:sz w:val="24"/>
        </w:rPr>
      </w:pPr>
    </w:p>
    <w:p w14:paraId="49E8EADE" w14:textId="77777777" w:rsidR="00753D1D" w:rsidRPr="00F01DC8" w:rsidRDefault="00753D1D" w:rsidP="00753D1D">
      <w:pPr>
        <w:widowControl/>
        <w:autoSpaceDE/>
        <w:autoSpaceDN/>
        <w:adjustRightInd/>
        <w:jc w:val="center"/>
        <w:rPr>
          <w:rFonts w:ascii="Times New Roman" w:hAnsi="Times New Roman" w:cs="Times New Roman"/>
          <w:b/>
          <w:sz w:val="24"/>
        </w:rPr>
      </w:pPr>
      <w:r>
        <w:rPr>
          <w:rFonts w:ascii="Times New Roman" w:hAnsi="Times New Roman" w:cs="Times New Roman"/>
          <w:b/>
          <w:sz w:val="24"/>
        </w:rPr>
        <w:t>UKMERGĖS RAJONO SAVIVALDYBĖS APLINKOS</w:t>
      </w:r>
      <w:r w:rsidRPr="00F01DC8">
        <w:rPr>
          <w:rFonts w:ascii="Times New Roman" w:hAnsi="Times New Roman" w:cs="Times New Roman"/>
          <w:b/>
          <w:sz w:val="24"/>
        </w:rPr>
        <w:t xml:space="preserve"> MONITORIN</w:t>
      </w:r>
      <w:r>
        <w:rPr>
          <w:rFonts w:ascii="Times New Roman" w:hAnsi="Times New Roman" w:cs="Times New Roman"/>
          <w:b/>
          <w:sz w:val="24"/>
        </w:rPr>
        <w:t>G</w:t>
      </w:r>
      <w:r w:rsidRPr="00F01DC8">
        <w:rPr>
          <w:rFonts w:ascii="Times New Roman" w:hAnsi="Times New Roman" w:cs="Times New Roman"/>
          <w:b/>
          <w:sz w:val="24"/>
        </w:rPr>
        <w:t xml:space="preserve">O PROGRAMOS 2021-2026 </w:t>
      </w:r>
      <w:r>
        <w:rPr>
          <w:rFonts w:ascii="Times New Roman" w:hAnsi="Times New Roman" w:cs="Times New Roman"/>
          <w:b/>
          <w:sz w:val="24"/>
        </w:rPr>
        <w:t>M</w:t>
      </w:r>
      <w:r w:rsidRPr="00F01DC8">
        <w:rPr>
          <w:rFonts w:ascii="Times New Roman" w:hAnsi="Times New Roman" w:cs="Times New Roman"/>
          <w:b/>
          <w:sz w:val="24"/>
        </w:rPr>
        <w:t xml:space="preserve">. ĮGYVENDINIMO </w:t>
      </w:r>
      <w:r>
        <w:rPr>
          <w:rFonts w:ascii="Times New Roman" w:hAnsi="Times New Roman" w:cs="Times New Roman"/>
          <w:b/>
          <w:sz w:val="24"/>
        </w:rPr>
        <w:t>PASLAUGŲ</w:t>
      </w:r>
      <w:r w:rsidRPr="00F01DC8">
        <w:rPr>
          <w:rFonts w:ascii="Times New Roman" w:hAnsi="Times New Roman" w:cs="Times New Roman"/>
          <w:b/>
          <w:sz w:val="24"/>
        </w:rPr>
        <w:t xml:space="preserve"> PIRKIMO</w:t>
      </w:r>
    </w:p>
    <w:p w14:paraId="07873014" w14:textId="77777777" w:rsidR="00753D1D" w:rsidRDefault="00753D1D" w:rsidP="00753D1D">
      <w:pPr>
        <w:widowControl/>
        <w:autoSpaceDE/>
        <w:autoSpaceDN/>
        <w:adjustRightInd/>
        <w:jc w:val="center"/>
        <w:rPr>
          <w:rFonts w:ascii="Times New Roman" w:hAnsi="Times New Roman" w:cs="Times New Roman"/>
          <w:b/>
          <w:sz w:val="24"/>
        </w:rPr>
      </w:pPr>
      <w:r w:rsidRPr="00F01DC8">
        <w:rPr>
          <w:rFonts w:ascii="Times New Roman" w:hAnsi="Times New Roman" w:cs="Times New Roman"/>
          <w:b/>
          <w:sz w:val="24"/>
        </w:rPr>
        <w:t>TECHNINĖ SPECIFIKACIJA</w:t>
      </w:r>
    </w:p>
    <w:p w14:paraId="4DE84ACB" w14:textId="77777777" w:rsidR="005E3C04" w:rsidRPr="00F01DC8" w:rsidRDefault="005E3C04" w:rsidP="00753D1D">
      <w:pPr>
        <w:widowControl/>
        <w:autoSpaceDE/>
        <w:autoSpaceDN/>
        <w:adjustRightInd/>
        <w:jc w:val="center"/>
        <w:rPr>
          <w:rFonts w:ascii="Times New Roman" w:hAnsi="Times New Roman" w:cs="Times New Roman"/>
          <w:b/>
          <w:sz w:val="24"/>
        </w:rPr>
      </w:pPr>
    </w:p>
    <w:p w14:paraId="684C122E" w14:textId="77777777" w:rsidR="00753D1D" w:rsidRPr="00F01DC8" w:rsidRDefault="00753D1D" w:rsidP="00753D1D">
      <w:pPr>
        <w:widowControl/>
        <w:autoSpaceDE/>
        <w:autoSpaceDN/>
        <w:adjustRightInd/>
        <w:rPr>
          <w:rFonts w:ascii="Times New Roman" w:hAnsi="Times New Roman" w:cs="Times New Roman"/>
          <w:b/>
          <w:sz w:val="24"/>
        </w:rPr>
      </w:pPr>
    </w:p>
    <w:p w14:paraId="49626147" w14:textId="77777777" w:rsidR="00753D1D" w:rsidRPr="00F01DC8" w:rsidRDefault="00753D1D" w:rsidP="00753D1D">
      <w:pPr>
        <w:widowControl/>
        <w:autoSpaceDE/>
        <w:autoSpaceDN/>
        <w:adjustRightInd/>
        <w:jc w:val="both"/>
        <w:rPr>
          <w:rFonts w:ascii="Times New Roman" w:hAnsi="Times New Roman" w:cs="Times New Roman"/>
          <w:b/>
          <w:bCs/>
          <w:sz w:val="24"/>
        </w:rPr>
      </w:pPr>
      <w:r w:rsidRPr="00F01DC8">
        <w:rPr>
          <w:rFonts w:ascii="Times New Roman" w:hAnsi="Times New Roman" w:cs="Times New Roman"/>
          <w:b/>
          <w:bCs/>
          <w:sz w:val="24"/>
        </w:rPr>
        <w:t xml:space="preserve">Perkančioji organizacija – </w:t>
      </w:r>
      <w:r>
        <w:rPr>
          <w:rFonts w:ascii="Times New Roman" w:hAnsi="Times New Roman" w:cs="Times New Roman"/>
          <w:bCs/>
          <w:sz w:val="24"/>
        </w:rPr>
        <w:t>Ukmergės</w:t>
      </w:r>
      <w:r w:rsidRPr="00F01DC8">
        <w:rPr>
          <w:rFonts w:ascii="Times New Roman" w:hAnsi="Times New Roman" w:cs="Times New Roman"/>
          <w:bCs/>
          <w:sz w:val="24"/>
        </w:rPr>
        <w:t xml:space="preserve"> rajono savivaldybės administracija, adresas – </w:t>
      </w:r>
      <w:r>
        <w:rPr>
          <w:rFonts w:ascii="Times New Roman" w:hAnsi="Times New Roman" w:cs="Times New Roman"/>
          <w:bCs/>
          <w:sz w:val="24"/>
        </w:rPr>
        <w:t>Kęstučio a. 3</w:t>
      </w:r>
      <w:r w:rsidRPr="00F01DC8">
        <w:rPr>
          <w:rFonts w:ascii="Times New Roman" w:hAnsi="Times New Roman" w:cs="Times New Roman"/>
          <w:bCs/>
          <w:sz w:val="24"/>
        </w:rPr>
        <w:t xml:space="preserve">, </w:t>
      </w:r>
      <w:r>
        <w:rPr>
          <w:rFonts w:ascii="Times New Roman" w:hAnsi="Times New Roman" w:cs="Times New Roman"/>
          <w:bCs/>
          <w:sz w:val="24"/>
        </w:rPr>
        <w:t>Ukmergė</w:t>
      </w:r>
      <w:r w:rsidRPr="00F01DC8">
        <w:rPr>
          <w:rFonts w:ascii="Times New Roman" w:hAnsi="Times New Roman" w:cs="Times New Roman"/>
          <w:bCs/>
          <w:sz w:val="24"/>
        </w:rPr>
        <w:t>.</w:t>
      </w:r>
    </w:p>
    <w:p w14:paraId="5E3AB037" w14:textId="77777777" w:rsidR="00753D1D" w:rsidRPr="00F01DC8" w:rsidRDefault="00753D1D" w:rsidP="00753D1D">
      <w:pPr>
        <w:widowControl/>
        <w:autoSpaceDE/>
        <w:autoSpaceDN/>
        <w:adjustRightInd/>
        <w:jc w:val="both"/>
        <w:rPr>
          <w:rFonts w:ascii="Times New Roman" w:hAnsi="Times New Roman" w:cs="Times New Roman"/>
          <w:b/>
          <w:i/>
          <w:sz w:val="24"/>
        </w:rPr>
      </w:pPr>
      <w:r w:rsidRPr="00F01DC8">
        <w:rPr>
          <w:rFonts w:ascii="Times New Roman" w:hAnsi="Times New Roman" w:cs="Times New Roman"/>
          <w:sz w:val="24"/>
        </w:rPr>
        <w:tab/>
      </w:r>
      <w:r w:rsidRPr="00F01DC8">
        <w:rPr>
          <w:rFonts w:ascii="Times New Roman" w:hAnsi="Times New Roman" w:cs="Times New Roman"/>
          <w:sz w:val="24"/>
        </w:rPr>
        <w:tab/>
      </w:r>
      <w:r w:rsidRPr="00F01DC8">
        <w:rPr>
          <w:rFonts w:ascii="Times New Roman" w:hAnsi="Times New Roman" w:cs="Times New Roman"/>
          <w:sz w:val="24"/>
        </w:rPr>
        <w:tab/>
      </w:r>
    </w:p>
    <w:p w14:paraId="0C871C81" w14:textId="77777777" w:rsidR="00753D1D" w:rsidRPr="00F01DC8" w:rsidRDefault="00753D1D" w:rsidP="00753D1D">
      <w:pPr>
        <w:widowControl/>
        <w:autoSpaceDE/>
        <w:autoSpaceDN/>
        <w:adjustRightInd/>
        <w:jc w:val="both"/>
        <w:rPr>
          <w:rFonts w:ascii="Times New Roman" w:hAnsi="Times New Roman" w:cs="Times New Roman"/>
          <w:b/>
          <w:sz w:val="24"/>
        </w:rPr>
      </w:pPr>
      <w:r w:rsidRPr="00F01DC8">
        <w:rPr>
          <w:rFonts w:ascii="Times New Roman" w:hAnsi="Times New Roman" w:cs="Times New Roman"/>
          <w:b/>
          <w:sz w:val="24"/>
        </w:rPr>
        <w:t xml:space="preserve">I. Pirkimo objektas </w:t>
      </w:r>
    </w:p>
    <w:p w14:paraId="365D3145" w14:textId="77777777" w:rsidR="00753D1D" w:rsidRPr="00F01DC8" w:rsidRDefault="00753D1D" w:rsidP="00753D1D">
      <w:pPr>
        <w:widowControl/>
        <w:autoSpaceDE/>
        <w:autoSpaceDN/>
        <w:adjustRightInd/>
        <w:jc w:val="both"/>
        <w:rPr>
          <w:rFonts w:ascii="Times New Roman" w:hAnsi="Times New Roman" w:cs="Times New Roman"/>
          <w:sz w:val="24"/>
        </w:rPr>
      </w:pPr>
    </w:p>
    <w:p w14:paraId="0CD8EE84" w14:textId="7E4C20E9" w:rsidR="005E3C04" w:rsidRDefault="00E15573" w:rsidP="005E3C04">
      <w:pPr>
        <w:widowControl/>
        <w:autoSpaceDE/>
        <w:autoSpaceDN/>
        <w:adjustRightInd/>
        <w:jc w:val="both"/>
        <w:rPr>
          <w:rFonts w:ascii="Times New Roman" w:hAnsi="Times New Roman" w:cs="Times New Roman"/>
          <w:sz w:val="24"/>
        </w:rPr>
      </w:pPr>
      <w:r w:rsidRPr="00F01DC8">
        <w:rPr>
          <w:rFonts w:ascii="Times New Roman" w:hAnsi="Times New Roman" w:cs="Times New Roman"/>
          <w:sz w:val="24"/>
        </w:rPr>
        <w:t xml:space="preserve">Pirkimo objektas – </w:t>
      </w:r>
      <w:r>
        <w:rPr>
          <w:rFonts w:ascii="Times New Roman" w:hAnsi="Times New Roman" w:cs="Times New Roman"/>
          <w:sz w:val="24"/>
        </w:rPr>
        <w:t xml:space="preserve">Ukmergės </w:t>
      </w:r>
      <w:r w:rsidRPr="00F01DC8">
        <w:rPr>
          <w:rFonts w:ascii="Times New Roman" w:hAnsi="Times New Roman" w:cs="Times New Roman"/>
          <w:sz w:val="24"/>
        </w:rPr>
        <w:t>rajono savivaldybės tarybos 202</w:t>
      </w:r>
      <w:r>
        <w:rPr>
          <w:rFonts w:ascii="Times New Roman" w:hAnsi="Times New Roman" w:cs="Times New Roman"/>
          <w:sz w:val="24"/>
        </w:rPr>
        <w:t>1</w:t>
      </w:r>
      <w:r w:rsidRPr="00F01DC8">
        <w:rPr>
          <w:rFonts w:ascii="Times New Roman" w:hAnsi="Times New Roman" w:cs="Times New Roman"/>
          <w:sz w:val="24"/>
        </w:rPr>
        <w:t xml:space="preserve"> m. spalio 2</w:t>
      </w:r>
      <w:r>
        <w:rPr>
          <w:rFonts w:ascii="Times New Roman" w:hAnsi="Times New Roman" w:cs="Times New Roman"/>
          <w:sz w:val="24"/>
        </w:rPr>
        <w:t>8</w:t>
      </w:r>
      <w:r w:rsidRPr="00F01DC8">
        <w:rPr>
          <w:rFonts w:ascii="Times New Roman" w:hAnsi="Times New Roman" w:cs="Times New Roman"/>
          <w:sz w:val="24"/>
        </w:rPr>
        <w:t xml:space="preserve"> d. sprendimu Nr. </w:t>
      </w:r>
      <w:r w:rsidR="003F0E5C">
        <w:rPr>
          <w:rFonts w:ascii="Times New Roman" w:hAnsi="Times New Roman" w:cs="Times New Roman"/>
          <w:sz w:val="24"/>
        </w:rPr>
        <w:t>7</w:t>
      </w:r>
      <w:r w:rsidRPr="00F01DC8">
        <w:rPr>
          <w:rFonts w:ascii="Times New Roman" w:hAnsi="Times New Roman" w:cs="Times New Roman"/>
          <w:sz w:val="24"/>
        </w:rPr>
        <w:t>-</w:t>
      </w:r>
      <w:r>
        <w:rPr>
          <w:rFonts w:ascii="Times New Roman" w:hAnsi="Times New Roman" w:cs="Times New Roman"/>
          <w:sz w:val="24"/>
        </w:rPr>
        <w:t>240</w:t>
      </w:r>
      <w:r w:rsidRPr="00F01DC8">
        <w:rPr>
          <w:rFonts w:ascii="Times New Roman" w:hAnsi="Times New Roman" w:cs="Times New Roman"/>
          <w:sz w:val="24"/>
        </w:rPr>
        <w:t xml:space="preserve"> patvirtintos aplinkos monitoringo programos 2021–2026 m. įgyvendinimo paslaugos </w:t>
      </w:r>
      <w:r w:rsidR="00F525A2">
        <w:rPr>
          <w:rFonts w:ascii="Times New Roman" w:hAnsi="Times New Roman" w:cs="Times New Roman"/>
          <w:sz w:val="24"/>
        </w:rPr>
        <w:t>vieneriems</w:t>
      </w:r>
      <w:r>
        <w:rPr>
          <w:rFonts w:ascii="Times New Roman" w:hAnsi="Times New Roman" w:cs="Times New Roman"/>
          <w:sz w:val="24"/>
        </w:rPr>
        <w:t xml:space="preserve"> monitoringo metams</w:t>
      </w:r>
      <w:r w:rsidR="00FC1725">
        <w:rPr>
          <w:rFonts w:ascii="Times New Roman" w:hAnsi="Times New Roman" w:cs="Times New Roman"/>
          <w:sz w:val="24"/>
        </w:rPr>
        <w:t xml:space="preserve"> (2026 m.)</w:t>
      </w:r>
      <w:r w:rsidR="00F525A2">
        <w:rPr>
          <w:rFonts w:ascii="Times New Roman" w:hAnsi="Times New Roman" w:cs="Times New Roman"/>
          <w:sz w:val="24"/>
        </w:rPr>
        <w:t xml:space="preserve"> su galutinės</w:t>
      </w:r>
      <w:r w:rsidR="00F525A2" w:rsidRPr="00F525A2">
        <w:rPr>
          <w:rFonts w:ascii="Times New Roman" w:hAnsi="Times New Roman" w:cs="Times New Roman"/>
          <w:sz w:val="24"/>
        </w:rPr>
        <w:t xml:space="preserve"> </w:t>
      </w:r>
      <w:r w:rsidR="00F525A2">
        <w:rPr>
          <w:rFonts w:ascii="Times New Roman" w:hAnsi="Times New Roman" w:cs="Times New Roman"/>
          <w:sz w:val="24"/>
        </w:rPr>
        <w:t>viso vykdymo laikotarpio (2021-2026 m.) ataskaitos parengimu</w:t>
      </w:r>
      <w:r w:rsidR="00FC1725">
        <w:rPr>
          <w:rFonts w:ascii="Times New Roman" w:hAnsi="Times New Roman" w:cs="Times New Roman"/>
          <w:sz w:val="24"/>
        </w:rPr>
        <w:t xml:space="preserve"> įsigijimas.</w:t>
      </w:r>
    </w:p>
    <w:p w14:paraId="6B48EAAA" w14:textId="11FC0859" w:rsidR="00753D1D" w:rsidRPr="00F01DC8" w:rsidRDefault="00753D1D" w:rsidP="005E3C04">
      <w:pPr>
        <w:widowControl/>
        <w:autoSpaceDE/>
        <w:autoSpaceDN/>
        <w:adjustRightInd/>
        <w:ind w:firstLine="709"/>
        <w:jc w:val="both"/>
        <w:rPr>
          <w:rFonts w:ascii="Times New Roman" w:hAnsi="Times New Roman" w:cs="Times New Roman"/>
          <w:sz w:val="24"/>
        </w:rPr>
      </w:pPr>
      <w:r w:rsidRPr="00F01DC8">
        <w:rPr>
          <w:rFonts w:ascii="Times New Roman" w:hAnsi="Times New Roman" w:cs="Times New Roman"/>
          <w:sz w:val="24"/>
        </w:rPr>
        <w:t>Paslaugų teikimo vieta –</w:t>
      </w:r>
      <w:r>
        <w:rPr>
          <w:rFonts w:ascii="Times New Roman" w:hAnsi="Times New Roman" w:cs="Times New Roman"/>
          <w:sz w:val="24"/>
        </w:rPr>
        <w:t>Ukmergės</w:t>
      </w:r>
      <w:r w:rsidRPr="00F01DC8">
        <w:rPr>
          <w:rFonts w:ascii="Times New Roman" w:hAnsi="Times New Roman" w:cs="Times New Roman"/>
          <w:sz w:val="24"/>
        </w:rPr>
        <w:t xml:space="preserve"> rajono savivaldybės teritorija.</w:t>
      </w:r>
    </w:p>
    <w:p w14:paraId="675F60FC" w14:textId="77777777" w:rsidR="00753D1D" w:rsidRPr="00F01DC8" w:rsidRDefault="00753D1D" w:rsidP="00753D1D">
      <w:pPr>
        <w:widowControl/>
        <w:autoSpaceDE/>
        <w:autoSpaceDN/>
        <w:adjustRightInd/>
        <w:jc w:val="both"/>
        <w:rPr>
          <w:rFonts w:ascii="Times New Roman" w:hAnsi="Times New Roman" w:cs="Times New Roman"/>
          <w:sz w:val="24"/>
        </w:rPr>
      </w:pPr>
    </w:p>
    <w:p w14:paraId="51188CAC" w14:textId="77777777" w:rsidR="00753D1D" w:rsidRPr="00F01DC8" w:rsidRDefault="00753D1D" w:rsidP="00753D1D">
      <w:pPr>
        <w:widowControl/>
        <w:autoSpaceDE/>
        <w:autoSpaceDN/>
        <w:adjustRightInd/>
        <w:jc w:val="both"/>
        <w:rPr>
          <w:rFonts w:ascii="Times New Roman" w:hAnsi="Times New Roman" w:cs="Times New Roman"/>
          <w:b/>
          <w:sz w:val="24"/>
        </w:rPr>
      </w:pPr>
      <w:r w:rsidRPr="00F01DC8">
        <w:rPr>
          <w:rFonts w:ascii="Times New Roman" w:hAnsi="Times New Roman" w:cs="Times New Roman"/>
          <w:b/>
          <w:sz w:val="24"/>
        </w:rPr>
        <w:t>II. Pirkimo tikslas</w:t>
      </w:r>
    </w:p>
    <w:p w14:paraId="35D97641" w14:textId="77777777" w:rsidR="00753D1D" w:rsidRPr="00F01DC8" w:rsidRDefault="00753D1D" w:rsidP="00753D1D">
      <w:pPr>
        <w:widowControl/>
        <w:autoSpaceDE/>
        <w:autoSpaceDN/>
        <w:adjustRightInd/>
        <w:jc w:val="both"/>
        <w:rPr>
          <w:rFonts w:ascii="Times New Roman" w:hAnsi="Times New Roman" w:cs="Times New Roman"/>
          <w:b/>
          <w:sz w:val="24"/>
        </w:rPr>
      </w:pPr>
      <w:r w:rsidRPr="00F01DC8">
        <w:rPr>
          <w:rFonts w:ascii="Times New Roman" w:hAnsi="Times New Roman" w:cs="Times New Roman"/>
          <w:b/>
          <w:sz w:val="24"/>
        </w:rPr>
        <w:t xml:space="preserve"> </w:t>
      </w:r>
    </w:p>
    <w:p w14:paraId="729A784C" w14:textId="77777777" w:rsidR="00753D1D" w:rsidRPr="00F01DC8" w:rsidRDefault="00753D1D" w:rsidP="00753D1D">
      <w:pPr>
        <w:widowControl/>
        <w:autoSpaceDE/>
        <w:autoSpaceDN/>
        <w:adjustRightInd/>
        <w:jc w:val="both"/>
        <w:rPr>
          <w:rFonts w:ascii="Times New Roman" w:hAnsi="Times New Roman" w:cs="Times New Roman"/>
          <w:sz w:val="24"/>
        </w:rPr>
      </w:pPr>
      <w:r w:rsidRPr="00F01DC8">
        <w:rPr>
          <w:rFonts w:ascii="Times New Roman" w:hAnsi="Times New Roman" w:cs="Times New Roman"/>
          <w:sz w:val="24"/>
        </w:rPr>
        <w:t xml:space="preserve">Gauti informaciją apie </w:t>
      </w:r>
      <w:r>
        <w:rPr>
          <w:rFonts w:ascii="Times New Roman" w:hAnsi="Times New Roman" w:cs="Times New Roman"/>
          <w:sz w:val="24"/>
        </w:rPr>
        <w:t>Ukmergės</w:t>
      </w:r>
      <w:r w:rsidRPr="00F01DC8">
        <w:rPr>
          <w:rFonts w:ascii="Times New Roman" w:hAnsi="Times New Roman" w:cs="Times New Roman"/>
          <w:sz w:val="24"/>
        </w:rPr>
        <w:t xml:space="preserve"> rajono savivaldybės aplinkos oro kokybės, paviršinio vandens kokybės, triukšmo būklę pagal kiekvieną </w:t>
      </w:r>
      <w:r>
        <w:rPr>
          <w:rFonts w:ascii="Times New Roman" w:hAnsi="Times New Roman" w:cs="Times New Roman"/>
          <w:sz w:val="24"/>
        </w:rPr>
        <w:t>Ukmergės</w:t>
      </w:r>
      <w:r w:rsidRPr="00F01DC8">
        <w:rPr>
          <w:rFonts w:ascii="Times New Roman" w:hAnsi="Times New Roman" w:cs="Times New Roman"/>
          <w:sz w:val="24"/>
        </w:rPr>
        <w:t xml:space="preserve"> rajono savivaldybės aplinkos monitoringo programos 2021–2026 m. komponentą, kuriais remiantis būtų galima vertinti ir prognozuoti aplinkos pokyčius bei galimas pasekmes, rengti atitinkamas rekomendacijas, planuoti ir įgyvendinti aplinkosaugos priemones, teikti patikimą informaciją specialistams bei visuomenei.</w:t>
      </w:r>
    </w:p>
    <w:p w14:paraId="2B05EFE6" w14:textId="77777777" w:rsidR="00753D1D" w:rsidRPr="00F01DC8" w:rsidRDefault="00753D1D" w:rsidP="00753D1D">
      <w:pPr>
        <w:widowControl/>
        <w:autoSpaceDE/>
        <w:autoSpaceDN/>
        <w:adjustRightInd/>
        <w:jc w:val="both"/>
        <w:rPr>
          <w:rFonts w:ascii="Times New Roman" w:hAnsi="Times New Roman" w:cs="Times New Roman"/>
          <w:sz w:val="24"/>
        </w:rPr>
      </w:pPr>
    </w:p>
    <w:p w14:paraId="1DD120CD" w14:textId="77777777" w:rsidR="00753D1D" w:rsidRPr="00F01DC8" w:rsidRDefault="00753D1D" w:rsidP="00753D1D">
      <w:pPr>
        <w:widowControl/>
        <w:autoSpaceDE/>
        <w:autoSpaceDN/>
        <w:adjustRightInd/>
        <w:jc w:val="both"/>
        <w:rPr>
          <w:rFonts w:ascii="Times New Roman" w:hAnsi="Times New Roman" w:cs="Times New Roman"/>
          <w:b/>
          <w:sz w:val="24"/>
        </w:rPr>
      </w:pPr>
      <w:r w:rsidRPr="00F01DC8">
        <w:rPr>
          <w:rFonts w:ascii="Times New Roman" w:hAnsi="Times New Roman" w:cs="Times New Roman"/>
          <w:b/>
          <w:sz w:val="24"/>
        </w:rPr>
        <w:t>III. Bendrieji duomenys</w:t>
      </w:r>
    </w:p>
    <w:p w14:paraId="7AE40E91" w14:textId="77777777" w:rsidR="00753D1D" w:rsidRPr="00F01DC8" w:rsidRDefault="00753D1D" w:rsidP="00753D1D">
      <w:pPr>
        <w:widowControl/>
        <w:autoSpaceDE/>
        <w:autoSpaceDN/>
        <w:adjustRightInd/>
        <w:jc w:val="both"/>
        <w:rPr>
          <w:rFonts w:ascii="Times New Roman" w:hAnsi="Times New Roman" w:cs="Times New Roman"/>
          <w:b/>
          <w:sz w:val="24"/>
        </w:rPr>
      </w:pPr>
    </w:p>
    <w:p w14:paraId="1A0FD66D" w14:textId="544538BB" w:rsidR="00753D1D" w:rsidRPr="00F01DC8" w:rsidRDefault="0047012A" w:rsidP="0047012A">
      <w:pPr>
        <w:widowControl/>
        <w:autoSpaceDE/>
        <w:autoSpaceDN/>
        <w:adjustRightInd/>
        <w:jc w:val="both"/>
        <w:rPr>
          <w:rFonts w:ascii="Times New Roman" w:hAnsi="Times New Roman" w:cs="Times New Roman"/>
          <w:sz w:val="24"/>
        </w:rPr>
      </w:pPr>
      <w:r>
        <w:rPr>
          <w:rFonts w:ascii="Times New Roman" w:hAnsi="Times New Roman" w:cs="Times New Roman"/>
          <w:sz w:val="24"/>
        </w:rPr>
        <w:t>202</w:t>
      </w:r>
      <w:r w:rsidR="003F0E5C">
        <w:rPr>
          <w:rFonts w:ascii="Times New Roman" w:hAnsi="Times New Roman" w:cs="Times New Roman"/>
          <w:sz w:val="24"/>
        </w:rPr>
        <w:t>6</w:t>
      </w:r>
      <w:r>
        <w:rPr>
          <w:rFonts w:ascii="Times New Roman" w:hAnsi="Times New Roman" w:cs="Times New Roman"/>
          <w:sz w:val="24"/>
        </w:rPr>
        <w:t xml:space="preserve"> m. </w:t>
      </w:r>
      <w:r w:rsidR="00753D1D" w:rsidRPr="00F01DC8">
        <w:rPr>
          <w:rFonts w:ascii="Times New Roman" w:hAnsi="Times New Roman" w:cs="Times New Roman"/>
          <w:sz w:val="24"/>
        </w:rPr>
        <w:t xml:space="preserve">sistemingai stebėti, analizuoti, prognozuoti ir gauti informaciją apie </w:t>
      </w:r>
      <w:r w:rsidR="00753D1D">
        <w:rPr>
          <w:rFonts w:ascii="Times New Roman" w:hAnsi="Times New Roman" w:cs="Times New Roman"/>
          <w:sz w:val="24"/>
        </w:rPr>
        <w:t>Ukmergės</w:t>
      </w:r>
      <w:r w:rsidR="00753D1D" w:rsidRPr="00F01DC8">
        <w:rPr>
          <w:rFonts w:ascii="Times New Roman" w:hAnsi="Times New Roman" w:cs="Times New Roman"/>
          <w:sz w:val="24"/>
        </w:rPr>
        <w:t xml:space="preserve"> rajono savivaldybės teritorijos gamtinės aplinkos būklę, nustatyti antropogeninio poveikio sąlygotus pokyčius ir galimas pasekmes pagal šiuos komponentus:</w:t>
      </w:r>
    </w:p>
    <w:p w14:paraId="6CA1CFEA" w14:textId="77777777" w:rsidR="00753D1D" w:rsidRPr="00F01DC8" w:rsidRDefault="00753D1D" w:rsidP="00753D1D">
      <w:pPr>
        <w:widowControl/>
        <w:numPr>
          <w:ilvl w:val="0"/>
          <w:numId w:val="2"/>
        </w:numPr>
        <w:autoSpaceDE/>
        <w:autoSpaceDN/>
        <w:adjustRightInd/>
        <w:jc w:val="both"/>
        <w:rPr>
          <w:rFonts w:ascii="Times New Roman" w:hAnsi="Times New Roman" w:cs="Times New Roman"/>
          <w:sz w:val="24"/>
        </w:rPr>
      </w:pPr>
      <w:r w:rsidRPr="00F01DC8">
        <w:rPr>
          <w:rFonts w:ascii="Times New Roman" w:hAnsi="Times New Roman" w:cs="Times New Roman"/>
          <w:sz w:val="24"/>
        </w:rPr>
        <w:t>oro monitoringas;</w:t>
      </w:r>
    </w:p>
    <w:p w14:paraId="16B22651" w14:textId="77777777" w:rsidR="00753D1D" w:rsidRPr="00F01DC8" w:rsidRDefault="00753D1D" w:rsidP="00753D1D">
      <w:pPr>
        <w:widowControl/>
        <w:numPr>
          <w:ilvl w:val="0"/>
          <w:numId w:val="2"/>
        </w:numPr>
        <w:autoSpaceDE/>
        <w:autoSpaceDN/>
        <w:adjustRightInd/>
        <w:jc w:val="both"/>
        <w:rPr>
          <w:rFonts w:ascii="Times New Roman" w:hAnsi="Times New Roman" w:cs="Times New Roman"/>
          <w:sz w:val="24"/>
        </w:rPr>
      </w:pPr>
      <w:r w:rsidRPr="00F01DC8">
        <w:rPr>
          <w:rFonts w:ascii="Times New Roman" w:hAnsi="Times New Roman" w:cs="Times New Roman"/>
          <w:sz w:val="24"/>
        </w:rPr>
        <w:t>paviršinio vandens monitoringas;</w:t>
      </w:r>
    </w:p>
    <w:p w14:paraId="4B74B0E4" w14:textId="77777777" w:rsidR="00753D1D" w:rsidRPr="00F01DC8" w:rsidRDefault="00753D1D" w:rsidP="00753D1D">
      <w:pPr>
        <w:widowControl/>
        <w:numPr>
          <w:ilvl w:val="0"/>
          <w:numId w:val="2"/>
        </w:numPr>
        <w:autoSpaceDE/>
        <w:autoSpaceDN/>
        <w:adjustRightInd/>
        <w:jc w:val="both"/>
        <w:rPr>
          <w:rFonts w:ascii="Times New Roman" w:hAnsi="Times New Roman" w:cs="Times New Roman"/>
          <w:sz w:val="24"/>
        </w:rPr>
      </w:pPr>
      <w:r w:rsidRPr="00F01DC8">
        <w:rPr>
          <w:rFonts w:ascii="Times New Roman" w:hAnsi="Times New Roman" w:cs="Times New Roman"/>
          <w:sz w:val="24"/>
        </w:rPr>
        <w:t>triukšmo monitoringas</w:t>
      </w:r>
    </w:p>
    <w:p w14:paraId="56B2EEE6" w14:textId="77777777" w:rsidR="00753D1D" w:rsidRPr="00F01DC8" w:rsidRDefault="00753D1D" w:rsidP="00753D1D">
      <w:pPr>
        <w:widowControl/>
        <w:autoSpaceDE/>
        <w:autoSpaceDN/>
        <w:adjustRightInd/>
        <w:jc w:val="both"/>
        <w:rPr>
          <w:rFonts w:ascii="Times New Roman" w:hAnsi="Times New Roman" w:cs="Times New Roman"/>
          <w:sz w:val="24"/>
        </w:rPr>
      </w:pPr>
      <w:r>
        <w:rPr>
          <w:rFonts w:ascii="Times New Roman" w:hAnsi="Times New Roman" w:cs="Times New Roman"/>
          <w:sz w:val="24"/>
        </w:rPr>
        <w:t>Ukmergės</w:t>
      </w:r>
      <w:r w:rsidRPr="00F01DC8">
        <w:rPr>
          <w:rFonts w:ascii="Times New Roman" w:hAnsi="Times New Roman" w:cs="Times New Roman"/>
          <w:sz w:val="24"/>
        </w:rPr>
        <w:t xml:space="preserve"> rajono savivaldybės aplinkos monitoringo programos 2021 – 2026 m. kasmetinį įgyvendinimą vykdyti remiantis pridedama </w:t>
      </w:r>
      <w:r>
        <w:rPr>
          <w:rFonts w:ascii="Times New Roman" w:hAnsi="Times New Roman" w:cs="Times New Roman"/>
          <w:sz w:val="24"/>
        </w:rPr>
        <w:t>Ukmergės</w:t>
      </w:r>
      <w:r w:rsidRPr="00F01DC8">
        <w:rPr>
          <w:rFonts w:ascii="Times New Roman" w:hAnsi="Times New Roman" w:cs="Times New Roman"/>
          <w:sz w:val="24"/>
        </w:rPr>
        <w:t xml:space="preserve"> rajono savivaldybės aplinkos monitoringo programa 2021–2026 metams.</w:t>
      </w:r>
    </w:p>
    <w:p w14:paraId="2983BFC1" w14:textId="5E89B0B8" w:rsidR="00753D1D" w:rsidRPr="00F01DC8" w:rsidRDefault="00753D1D" w:rsidP="00753D1D">
      <w:pPr>
        <w:widowControl/>
        <w:autoSpaceDE/>
        <w:autoSpaceDN/>
        <w:adjustRightInd/>
        <w:jc w:val="both"/>
        <w:rPr>
          <w:rFonts w:ascii="Times New Roman" w:hAnsi="Times New Roman" w:cs="Times New Roman"/>
          <w:sz w:val="24"/>
        </w:rPr>
      </w:pPr>
      <w:r w:rsidRPr="00F01DC8">
        <w:rPr>
          <w:rFonts w:ascii="Times New Roman" w:hAnsi="Times New Roman" w:cs="Times New Roman"/>
          <w:sz w:val="24"/>
        </w:rPr>
        <w:t>Duomenys turi būti pateikiami įvairiais pavidalais: statistinės lentelės, automatiškai generuojamos diagramos ir pan. Duomenų bazėje turi būti suformuoti žemėlapiai, kuriuose atsispindėtų aplinkos monitoringo tyrimams numatyti taškai. Į kainą turi būti įskaičiuojama ir at</w:t>
      </w:r>
      <w:r w:rsidR="00F30441">
        <w:rPr>
          <w:rFonts w:ascii="Times New Roman" w:hAnsi="Times New Roman" w:cs="Times New Roman"/>
          <w:sz w:val="24"/>
        </w:rPr>
        <w:t>a</w:t>
      </w:r>
      <w:r w:rsidRPr="00F01DC8">
        <w:rPr>
          <w:rFonts w:ascii="Times New Roman" w:hAnsi="Times New Roman" w:cs="Times New Roman"/>
          <w:sz w:val="24"/>
        </w:rPr>
        <w:t>skaitų parengimo bei pateikimo kaina bei kiti su programos įgyvendinimu susiję mokesčiai.</w:t>
      </w:r>
    </w:p>
    <w:p w14:paraId="3E600C8E" w14:textId="77777777" w:rsidR="00753D1D" w:rsidRPr="00F01DC8" w:rsidRDefault="00753D1D" w:rsidP="00753D1D">
      <w:pPr>
        <w:widowControl/>
        <w:autoSpaceDE/>
        <w:autoSpaceDN/>
        <w:adjustRightInd/>
        <w:jc w:val="both"/>
        <w:rPr>
          <w:rFonts w:ascii="Times New Roman" w:hAnsi="Times New Roman" w:cs="Times New Roman"/>
          <w:sz w:val="24"/>
        </w:rPr>
      </w:pPr>
      <w:r w:rsidRPr="00F01DC8">
        <w:rPr>
          <w:rFonts w:ascii="Times New Roman" w:hAnsi="Times New Roman" w:cs="Times New Roman"/>
          <w:sz w:val="24"/>
        </w:rPr>
        <w:t xml:space="preserve">Aplinkos monitoringo atliktų tyrimų duomenys ir ataskaita pateikiama rašytine ir elektronine forma. Tarpinės ataskaitos teikiamos iki ateinančio pusmečio pirmojo mėnesio 15 d., metinė ataskaita – iki ateinančių metų sausio 15 d. </w:t>
      </w:r>
    </w:p>
    <w:p w14:paraId="05CE7B55" w14:textId="77777777" w:rsidR="00753D1D" w:rsidRPr="00F01DC8" w:rsidRDefault="00753D1D" w:rsidP="00753D1D">
      <w:pPr>
        <w:widowControl/>
        <w:autoSpaceDE/>
        <w:autoSpaceDN/>
        <w:adjustRightInd/>
        <w:jc w:val="both"/>
        <w:rPr>
          <w:rFonts w:ascii="Times New Roman" w:hAnsi="Times New Roman" w:cs="Times New Roman"/>
          <w:sz w:val="24"/>
        </w:rPr>
      </w:pPr>
      <w:r w:rsidRPr="00F01DC8">
        <w:rPr>
          <w:rFonts w:ascii="Times New Roman" w:hAnsi="Times New Roman" w:cs="Times New Roman"/>
          <w:sz w:val="24"/>
        </w:rPr>
        <w:t xml:space="preserve">Aplinkos monitoringo duomenų ir ataskaitų gavėjai – </w:t>
      </w:r>
      <w:r>
        <w:rPr>
          <w:rFonts w:ascii="Times New Roman" w:hAnsi="Times New Roman" w:cs="Times New Roman"/>
          <w:sz w:val="24"/>
        </w:rPr>
        <w:t>Ukmergės</w:t>
      </w:r>
      <w:r w:rsidRPr="00F01DC8">
        <w:rPr>
          <w:rFonts w:ascii="Times New Roman" w:hAnsi="Times New Roman" w:cs="Times New Roman"/>
          <w:sz w:val="24"/>
        </w:rPr>
        <w:t xml:space="preserve"> rajono savivaldybės administracija. </w:t>
      </w:r>
    </w:p>
    <w:p w14:paraId="5D5E13E4" w14:textId="430E64C6" w:rsidR="00753D1D" w:rsidRPr="00F01DC8" w:rsidRDefault="00753D1D" w:rsidP="00753D1D">
      <w:pPr>
        <w:widowControl/>
        <w:autoSpaceDE/>
        <w:autoSpaceDN/>
        <w:adjustRightInd/>
        <w:jc w:val="both"/>
        <w:rPr>
          <w:rFonts w:ascii="Times New Roman" w:hAnsi="Times New Roman" w:cs="Times New Roman"/>
          <w:sz w:val="24"/>
        </w:rPr>
      </w:pPr>
      <w:r w:rsidRPr="00F01DC8">
        <w:rPr>
          <w:rFonts w:ascii="Times New Roman" w:hAnsi="Times New Roman" w:cs="Times New Roman"/>
          <w:sz w:val="24"/>
        </w:rPr>
        <w:t xml:space="preserve">Metinė ir </w:t>
      </w:r>
      <w:r w:rsidR="003F0E5C">
        <w:rPr>
          <w:rFonts w:ascii="Times New Roman" w:hAnsi="Times New Roman" w:cs="Times New Roman"/>
          <w:sz w:val="24"/>
        </w:rPr>
        <w:t xml:space="preserve">viso vykdymo laikotarpio (2021-2026 m.) </w:t>
      </w:r>
      <w:r w:rsidRPr="00F01DC8">
        <w:rPr>
          <w:rFonts w:ascii="Times New Roman" w:hAnsi="Times New Roman" w:cs="Times New Roman"/>
          <w:sz w:val="24"/>
        </w:rPr>
        <w:t xml:space="preserve">galutinė ataskaitos pateikiamos ir Aplinkos apsaugos agentūrai (AAA). </w:t>
      </w:r>
    </w:p>
    <w:p w14:paraId="7D2DEB84" w14:textId="77777777" w:rsidR="00753D1D" w:rsidRPr="00F01DC8" w:rsidRDefault="00753D1D" w:rsidP="00753D1D">
      <w:pPr>
        <w:widowControl/>
        <w:autoSpaceDE/>
        <w:autoSpaceDN/>
        <w:adjustRightInd/>
        <w:jc w:val="both"/>
        <w:rPr>
          <w:rFonts w:ascii="Times New Roman" w:hAnsi="Times New Roman" w:cs="Times New Roman"/>
          <w:sz w:val="24"/>
        </w:rPr>
      </w:pPr>
      <w:r w:rsidRPr="00F01DC8">
        <w:rPr>
          <w:rFonts w:ascii="Times New Roman" w:hAnsi="Times New Roman" w:cs="Times New Roman"/>
          <w:sz w:val="24"/>
        </w:rPr>
        <w:t xml:space="preserve">Aplinkos apsaugos agentūrai aplinkos oro ir paviršinio vandens savivaldybės aplinkos monitoringo duomenys teikiami naudojant informacinę sistemą „Aplinkos informacijos valdymo integruota kompiuterinė sistema“ (AIVIKS). Jei pateikti nurodytų duomenų naudojant IS „AIVIKS“ </w:t>
      </w:r>
      <w:r w:rsidRPr="00F01DC8">
        <w:rPr>
          <w:rFonts w:ascii="Times New Roman" w:hAnsi="Times New Roman" w:cs="Times New Roman"/>
          <w:sz w:val="24"/>
        </w:rPr>
        <w:lastRenderedPageBreak/>
        <w:t xml:space="preserve">nėra techninių galimybių, duomenys teikiami elektronine forma </w:t>
      </w:r>
      <w:r>
        <w:rPr>
          <w:rFonts w:ascii="Times New Roman" w:hAnsi="Times New Roman" w:cs="Times New Roman"/>
          <w:sz w:val="24"/>
        </w:rPr>
        <w:t>Ukmergės</w:t>
      </w:r>
      <w:r w:rsidRPr="00F01DC8">
        <w:rPr>
          <w:rFonts w:ascii="Times New Roman" w:hAnsi="Times New Roman" w:cs="Times New Roman"/>
          <w:sz w:val="24"/>
        </w:rPr>
        <w:t xml:space="preserve"> rajono savivaldybės administracijai ir Aplinkos apsaugos agentūrai. </w:t>
      </w:r>
    </w:p>
    <w:p w14:paraId="65B1110D" w14:textId="77777777" w:rsidR="00753D1D" w:rsidRPr="00F01DC8" w:rsidRDefault="00753D1D" w:rsidP="00753D1D">
      <w:pPr>
        <w:widowControl/>
        <w:autoSpaceDE/>
        <w:autoSpaceDN/>
        <w:adjustRightInd/>
        <w:jc w:val="both"/>
        <w:rPr>
          <w:rFonts w:ascii="Times New Roman" w:hAnsi="Times New Roman" w:cs="Times New Roman"/>
          <w:sz w:val="24"/>
        </w:rPr>
      </w:pPr>
      <w:r w:rsidRPr="00F01DC8">
        <w:rPr>
          <w:rFonts w:ascii="Times New Roman" w:hAnsi="Times New Roman" w:cs="Times New Roman"/>
          <w:sz w:val="24"/>
        </w:rPr>
        <w:t xml:space="preserve">Aplinkos monitoringo vykdymo metu nustačius tiriamų parametrų ribinių verčių viršijimą ar kitus aplinkosaugos reikalavimų pažeidimus, apie tai nedelsiant turi būti informuojama </w:t>
      </w:r>
      <w:r>
        <w:rPr>
          <w:rFonts w:ascii="Times New Roman" w:hAnsi="Times New Roman" w:cs="Times New Roman"/>
          <w:sz w:val="24"/>
        </w:rPr>
        <w:t>Ukmergės</w:t>
      </w:r>
      <w:r w:rsidRPr="00F01DC8">
        <w:rPr>
          <w:rFonts w:ascii="Times New Roman" w:hAnsi="Times New Roman" w:cs="Times New Roman"/>
          <w:sz w:val="24"/>
        </w:rPr>
        <w:t xml:space="preserve"> rajono savivaldybės administracija.</w:t>
      </w:r>
    </w:p>
    <w:p w14:paraId="54E8015A" w14:textId="77777777" w:rsidR="00753D1D" w:rsidRPr="00F01DC8" w:rsidRDefault="00753D1D" w:rsidP="00753D1D">
      <w:pPr>
        <w:widowControl/>
        <w:autoSpaceDE/>
        <w:autoSpaceDN/>
        <w:adjustRightInd/>
        <w:jc w:val="both"/>
        <w:rPr>
          <w:rFonts w:ascii="Times New Roman" w:hAnsi="Times New Roman" w:cs="Times New Roman"/>
          <w:b/>
          <w:sz w:val="24"/>
        </w:rPr>
      </w:pPr>
      <w:r w:rsidRPr="00F01DC8">
        <w:rPr>
          <w:rFonts w:ascii="Times New Roman" w:hAnsi="Times New Roman" w:cs="Times New Roman"/>
          <w:b/>
          <w:sz w:val="24"/>
        </w:rPr>
        <w:t>Perkančioji organizacija palieka teisę įsigijus paslaugas, keisti sudedamuosius aplinkos monitoringo programos dalies komponentus bei jų apimtis.</w:t>
      </w:r>
    </w:p>
    <w:p w14:paraId="6388CD88" w14:textId="77777777" w:rsidR="00753D1D" w:rsidRPr="00F01DC8" w:rsidRDefault="00753D1D" w:rsidP="00753D1D">
      <w:pPr>
        <w:widowControl/>
        <w:autoSpaceDE/>
        <w:autoSpaceDN/>
        <w:adjustRightInd/>
        <w:jc w:val="both"/>
        <w:rPr>
          <w:rFonts w:ascii="Times New Roman" w:hAnsi="Times New Roman" w:cs="Times New Roman"/>
          <w:b/>
          <w:sz w:val="24"/>
        </w:rPr>
      </w:pPr>
    </w:p>
    <w:p w14:paraId="1241D392" w14:textId="77777777" w:rsidR="00753D1D" w:rsidRDefault="00753D1D" w:rsidP="00753D1D">
      <w:pPr>
        <w:widowControl/>
        <w:autoSpaceDE/>
        <w:autoSpaceDN/>
        <w:adjustRightInd/>
        <w:jc w:val="both"/>
        <w:rPr>
          <w:rFonts w:ascii="Times New Roman" w:hAnsi="Times New Roman" w:cs="Times New Roman"/>
          <w:b/>
          <w:bCs/>
          <w:sz w:val="24"/>
        </w:rPr>
      </w:pPr>
      <w:r>
        <w:rPr>
          <w:rFonts w:ascii="Times New Roman" w:hAnsi="Times New Roman" w:cs="Times New Roman"/>
          <w:b/>
          <w:bCs/>
          <w:sz w:val="24"/>
        </w:rPr>
        <w:t>IV. P</w:t>
      </w:r>
      <w:r w:rsidRPr="00F01DC8">
        <w:rPr>
          <w:rFonts w:ascii="Times New Roman" w:hAnsi="Times New Roman" w:cs="Times New Roman"/>
          <w:b/>
          <w:bCs/>
          <w:sz w:val="24"/>
        </w:rPr>
        <w:t>aslaugų apimtys</w:t>
      </w:r>
    </w:p>
    <w:p w14:paraId="025E3081" w14:textId="77777777" w:rsidR="00753D1D" w:rsidRDefault="00753D1D" w:rsidP="00753D1D">
      <w:pPr>
        <w:widowControl/>
        <w:autoSpaceDE/>
        <w:autoSpaceDN/>
        <w:adjustRightInd/>
        <w:jc w:val="both"/>
        <w:rPr>
          <w:rFonts w:ascii="Times New Roman" w:hAnsi="Times New Roman" w:cs="Times New Roman"/>
          <w:b/>
          <w:bCs/>
          <w:sz w:val="24"/>
        </w:rPr>
      </w:pPr>
    </w:p>
    <w:p w14:paraId="72777BA2" w14:textId="49978A79" w:rsidR="00753D1D" w:rsidRPr="00F01DC8" w:rsidRDefault="00753D1D" w:rsidP="005E3C04">
      <w:pPr>
        <w:widowControl/>
        <w:ind w:firstLine="709"/>
        <w:jc w:val="both"/>
        <w:rPr>
          <w:rFonts w:ascii="Times New Roman" w:hAnsi="Times New Roman" w:cs="Times New Roman"/>
          <w:b/>
          <w:bCs/>
          <w:sz w:val="24"/>
        </w:rPr>
      </w:pPr>
      <w:r w:rsidRPr="00BE60BD">
        <w:rPr>
          <w:rFonts w:ascii="Times New Roman" w:eastAsia="TimesNewRomanPSMT" w:hAnsi="Times New Roman" w:cs="Times New Roman"/>
          <w:sz w:val="24"/>
          <w:lang w:eastAsia="zh-TW"/>
        </w:rPr>
        <w:t>Aplinkos oro kokybė tiriama kartą per sezoną (pavasario, vasaros, rudens, žiemos).</w:t>
      </w:r>
      <w:r>
        <w:rPr>
          <w:rFonts w:ascii="Times New Roman" w:eastAsia="TimesNewRomanPSMT" w:hAnsi="Times New Roman" w:cs="Times New Roman"/>
          <w:sz w:val="24"/>
          <w:lang w:eastAsia="zh-TW"/>
        </w:rPr>
        <w:t xml:space="preserve"> </w:t>
      </w:r>
      <w:r w:rsidRPr="00BE60BD">
        <w:rPr>
          <w:rFonts w:ascii="Times New Roman" w:eastAsia="TimesNewRomanPSMT" w:hAnsi="Times New Roman" w:cs="Times New Roman"/>
          <w:sz w:val="24"/>
          <w:lang w:eastAsia="zh-TW"/>
        </w:rPr>
        <w:t>Paviršinio vandens (upių) mėginiai imami ir analizuojami kartą per sezoną (pavasario, vasaros,</w:t>
      </w:r>
      <w:r>
        <w:rPr>
          <w:rFonts w:ascii="Times New Roman" w:eastAsia="TimesNewRomanPSMT" w:hAnsi="Times New Roman" w:cs="Times New Roman"/>
          <w:sz w:val="24"/>
          <w:lang w:eastAsia="zh-TW"/>
        </w:rPr>
        <w:t xml:space="preserve"> </w:t>
      </w:r>
      <w:r w:rsidRPr="00BE60BD">
        <w:rPr>
          <w:rFonts w:ascii="Times New Roman" w:eastAsia="TimesNewRomanPSMT" w:hAnsi="Times New Roman" w:cs="Times New Roman"/>
          <w:sz w:val="24"/>
          <w:lang w:eastAsia="zh-TW"/>
        </w:rPr>
        <w:t>rudens, žiemos).</w:t>
      </w:r>
      <w:r>
        <w:rPr>
          <w:rFonts w:ascii="Times New Roman" w:eastAsia="TimesNewRomanPSMT" w:hAnsi="Times New Roman" w:cs="Times New Roman"/>
          <w:sz w:val="24"/>
          <w:lang w:eastAsia="zh-TW"/>
        </w:rPr>
        <w:t xml:space="preserve"> </w:t>
      </w:r>
      <w:r w:rsidRPr="00BE60BD">
        <w:rPr>
          <w:rFonts w:ascii="Times New Roman" w:eastAsia="TimesNewRomanPSMT" w:hAnsi="Times New Roman" w:cs="Times New Roman"/>
          <w:sz w:val="24"/>
          <w:lang w:eastAsia="zh-TW"/>
        </w:rPr>
        <w:t>Triukšmo matavimai atliekami pavasario, vasaros ir rudens sezonų metu trimis laiko paros periodais:</w:t>
      </w:r>
      <w:r>
        <w:rPr>
          <w:rFonts w:ascii="Times New Roman" w:eastAsia="TimesNewRomanPSMT" w:hAnsi="Times New Roman" w:cs="Times New Roman"/>
          <w:sz w:val="24"/>
          <w:lang w:eastAsia="zh-TW"/>
        </w:rPr>
        <w:t xml:space="preserve"> </w:t>
      </w:r>
      <w:r w:rsidRPr="00BE60BD">
        <w:rPr>
          <w:rFonts w:ascii="Times New Roman" w:eastAsia="TimesNewRomanPSMT" w:hAnsi="Times New Roman" w:cs="Times New Roman"/>
          <w:sz w:val="24"/>
          <w:lang w:eastAsia="zh-TW"/>
        </w:rPr>
        <w:t>7–19 val., 19–22 val., 22–7 val.</w:t>
      </w:r>
    </w:p>
    <w:p w14:paraId="6CCEED96" w14:textId="77777777" w:rsidR="00753D1D" w:rsidRDefault="00753D1D" w:rsidP="005E3C04">
      <w:pPr>
        <w:widowControl/>
        <w:autoSpaceDE/>
        <w:autoSpaceDN/>
        <w:adjustRightInd/>
        <w:jc w:val="both"/>
        <w:rPr>
          <w:rFonts w:ascii="Times New Roman" w:hAnsi="Times New Roman" w:cs="Times New Roman"/>
          <w:sz w:val="24"/>
        </w:rPr>
      </w:pPr>
      <w:r w:rsidRPr="00F01DC8">
        <w:rPr>
          <w:rFonts w:ascii="Times New Roman" w:hAnsi="Times New Roman" w:cs="Times New Roman"/>
          <w:sz w:val="24"/>
        </w:rPr>
        <w:t xml:space="preserve">Aplinkos monitoringo programos </w:t>
      </w:r>
      <w:r>
        <w:rPr>
          <w:rFonts w:ascii="Times New Roman" w:hAnsi="Times New Roman" w:cs="Times New Roman"/>
          <w:sz w:val="24"/>
        </w:rPr>
        <w:t xml:space="preserve">Ukmergės </w:t>
      </w:r>
      <w:r w:rsidRPr="00F01DC8">
        <w:rPr>
          <w:rFonts w:ascii="Times New Roman" w:hAnsi="Times New Roman" w:cs="Times New Roman"/>
          <w:sz w:val="24"/>
        </w:rPr>
        <w:t>rajono savivaldybės teritorijoje įgyvendinimo grafikas pateikiamas  lentelėje.</w:t>
      </w:r>
    </w:p>
    <w:p w14:paraId="597D8E73" w14:textId="77777777" w:rsidR="00753D1D" w:rsidRPr="00F01DC8" w:rsidRDefault="00753D1D" w:rsidP="00753D1D">
      <w:pPr>
        <w:widowControl/>
        <w:autoSpaceDE/>
        <w:autoSpaceDN/>
        <w:adjustRightInd/>
        <w:jc w:val="both"/>
        <w:rPr>
          <w:rFonts w:ascii="Times New Roman" w:hAnsi="Times New Roman" w:cs="Times New Roman"/>
          <w:sz w:val="24"/>
        </w:rPr>
      </w:pPr>
    </w:p>
    <w:p w14:paraId="40CEAE77" w14:textId="77777777" w:rsidR="00753D1D" w:rsidRPr="004D1F09" w:rsidRDefault="00753D1D" w:rsidP="00753D1D">
      <w:pPr>
        <w:ind w:firstLine="0"/>
        <w:jc w:val="both"/>
        <w:rPr>
          <w:sz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461"/>
        <w:gridCol w:w="2464"/>
        <w:gridCol w:w="2354"/>
      </w:tblGrid>
      <w:tr w:rsidR="00753D1D" w:rsidRPr="004D1F09" w14:paraId="7A8A1F1B" w14:textId="77777777" w:rsidTr="005E3C04">
        <w:trPr>
          <w:tblHeader/>
        </w:trPr>
        <w:tc>
          <w:tcPr>
            <w:tcW w:w="1166" w:type="pct"/>
            <w:tcBorders>
              <w:bottom w:val="single" w:sz="4" w:space="0" w:color="auto"/>
            </w:tcBorders>
          </w:tcPr>
          <w:p w14:paraId="5407D928" w14:textId="77777777" w:rsidR="00753D1D" w:rsidRPr="00B9659E" w:rsidRDefault="00753D1D" w:rsidP="00FF2962">
            <w:pPr>
              <w:ind w:firstLine="0"/>
              <w:jc w:val="both"/>
              <w:rPr>
                <w:b/>
              </w:rPr>
            </w:pPr>
            <w:r w:rsidRPr="00B9659E">
              <w:rPr>
                <w:b/>
              </w:rPr>
              <w:t>Monitoringo vietų</w:t>
            </w:r>
          </w:p>
          <w:p w14:paraId="4C22A9C6" w14:textId="77777777" w:rsidR="00753D1D" w:rsidRPr="00B9659E" w:rsidRDefault="00753D1D" w:rsidP="00FF2962">
            <w:pPr>
              <w:ind w:firstLine="0"/>
              <w:jc w:val="both"/>
              <w:rPr>
                <w:b/>
              </w:rPr>
            </w:pPr>
            <w:r w:rsidRPr="00B9659E">
              <w:rPr>
                <w:b/>
              </w:rPr>
              <w:t>skaičius</w:t>
            </w:r>
          </w:p>
        </w:tc>
        <w:tc>
          <w:tcPr>
            <w:tcW w:w="1296" w:type="pct"/>
            <w:tcBorders>
              <w:bottom w:val="single" w:sz="4" w:space="0" w:color="auto"/>
            </w:tcBorders>
          </w:tcPr>
          <w:p w14:paraId="68D7ED64" w14:textId="77777777" w:rsidR="00753D1D" w:rsidRPr="00B9659E" w:rsidRDefault="00753D1D" w:rsidP="00FF2962">
            <w:pPr>
              <w:ind w:firstLine="0"/>
              <w:jc w:val="both"/>
              <w:rPr>
                <w:b/>
              </w:rPr>
            </w:pPr>
            <w:r w:rsidRPr="00B9659E">
              <w:rPr>
                <w:b/>
              </w:rPr>
              <w:t>Stebimi parametrai</w:t>
            </w:r>
          </w:p>
        </w:tc>
        <w:tc>
          <w:tcPr>
            <w:tcW w:w="1298" w:type="pct"/>
            <w:tcBorders>
              <w:bottom w:val="single" w:sz="4" w:space="0" w:color="auto"/>
            </w:tcBorders>
          </w:tcPr>
          <w:p w14:paraId="3EBAF4B6" w14:textId="77777777" w:rsidR="00753D1D" w:rsidRPr="00B9659E" w:rsidRDefault="00753D1D" w:rsidP="00FF2962">
            <w:pPr>
              <w:ind w:firstLine="0"/>
              <w:jc w:val="both"/>
              <w:rPr>
                <w:b/>
              </w:rPr>
            </w:pPr>
            <w:r w:rsidRPr="00B9659E">
              <w:rPr>
                <w:b/>
              </w:rPr>
              <w:t>Stebėjimų</w:t>
            </w:r>
          </w:p>
          <w:p w14:paraId="254ACCBA" w14:textId="77777777" w:rsidR="00753D1D" w:rsidRPr="00B9659E" w:rsidRDefault="00753D1D" w:rsidP="00FF2962">
            <w:pPr>
              <w:ind w:firstLine="0"/>
              <w:jc w:val="both"/>
              <w:rPr>
                <w:b/>
              </w:rPr>
            </w:pPr>
            <w:r w:rsidRPr="00B9659E">
              <w:rPr>
                <w:b/>
              </w:rPr>
              <w:t>periodiškumas</w:t>
            </w:r>
          </w:p>
        </w:tc>
        <w:tc>
          <w:tcPr>
            <w:tcW w:w="1239" w:type="pct"/>
            <w:tcBorders>
              <w:bottom w:val="single" w:sz="4" w:space="0" w:color="auto"/>
            </w:tcBorders>
          </w:tcPr>
          <w:p w14:paraId="419CB08B" w14:textId="77777777" w:rsidR="00753D1D" w:rsidRPr="00B9659E" w:rsidRDefault="00753D1D" w:rsidP="00FF2962">
            <w:pPr>
              <w:ind w:firstLine="0"/>
              <w:jc w:val="both"/>
              <w:rPr>
                <w:b/>
              </w:rPr>
            </w:pPr>
            <w:r w:rsidRPr="00B9659E">
              <w:rPr>
                <w:b/>
              </w:rPr>
              <w:t>Matavimo metodai ir</w:t>
            </w:r>
          </w:p>
          <w:p w14:paraId="332DAE72" w14:textId="77777777" w:rsidR="00753D1D" w:rsidRPr="00B9659E" w:rsidRDefault="00753D1D" w:rsidP="00FF2962">
            <w:pPr>
              <w:ind w:firstLine="0"/>
              <w:jc w:val="both"/>
              <w:rPr>
                <w:b/>
              </w:rPr>
            </w:pPr>
            <w:r w:rsidRPr="00B9659E">
              <w:rPr>
                <w:b/>
              </w:rPr>
              <w:t>procedūros</w:t>
            </w:r>
          </w:p>
        </w:tc>
      </w:tr>
      <w:tr w:rsidR="00753D1D" w:rsidRPr="004D1F09" w14:paraId="47BDDEE0" w14:textId="77777777" w:rsidTr="005E3C04">
        <w:tc>
          <w:tcPr>
            <w:tcW w:w="5000" w:type="pct"/>
            <w:gridSpan w:val="4"/>
            <w:shd w:val="clear" w:color="auto" w:fill="C5E0B3"/>
          </w:tcPr>
          <w:p w14:paraId="1FD84AE4" w14:textId="77777777" w:rsidR="00753D1D" w:rsidRPr="00B9659E" w:rsidRDefault="00753D1D" w:rsidP="00FF2962">
            <w:pPr>
              <w:ind w:firstLine="0"/>
              <w:jc w:val="both"/>
              <w:rPr>
                <w:b/>
              </w:rPr>
            </w:pPr>
            <w:r w:rsidRPr="00B9659E">
              <w:rPr>
                <w:b/>
              </w:rPr>
              <w:t>Aplinkos oro monitoringas</w:t>
            </w:r>
          </w:p>
        </w:tc>
      </w:tr>
      <w:tr w:rsidR="00753D1D" w:rsidRPr="004D1F09" w14:paraId="71EAF9B3" w14:textId="77777777" w:rsidTr="005E3C04">
        <w:tc>
          <w:tcPr>
            <w:tcW w:w="1166" w:type="pct"/>
            <w:tcBorders>
              <w:bottom w:val="single" w:sz="4" w:space="0" w:color="auto"/>
            </w:tcBorders>
          </w:tcPr>
          <w:p w14:paraId="5A1C0D3E" w14:textId="77777777" w:rsidR="00753D1D" w:rsidRPr="00B9659E" w:rsidRDefault="00753D1D" w:rsidP="00FF2962">
            <w:pPr>
              <w:ind w:firstLine="0"/>
              <w:jc w:val="both"/>
            </w:pPr>
            <w:r w:rsidRPr="00B9659E">
              <w:t>3 taškai</w:t>
            </w:r>
          </w:p>
          <w:p w14:paraId="0134E383" w14:textId="77777777" w:rsidR="00753D1D" w:rsidRPr="00B9659E" w:rsidRDefault="00753D1D" w:rsidP="00FF2962">
            <w:pPr>
              <w:ind w:firstLine="0"/>
              <w:jc w:val="both"/>
            </w:pPr>
          </w:p>
          <w:p w14:paraId="6508BFDA" w14:textId="77777777" w:rsidR="00753D1D" w:rsidRPr="00B9659E" w:rsidRDefault="00753D1D" w:rsidP="00FF2962">
            <w:pPr>
              <w:ind w:firstLine="0"/>
              <w:jc w:val="both"/>
            </w:pPr>
            <w:r w:rsidRPr="00B9659E">
              <w:t>1 taškas</w:t>
            </w:r>
          </w:p>
          <w:p w14:paraId="1BB4EEEE" w14:textId="77777777" w:rsidR="00753D1D" w:rsidRPr="00B9659E" w:rsidRDefault="00753D1D" w:rsidP="00FF2962">
            <w:pPr>
              <w:ind w:firstLine="0"/>
              <w:jc w:val="both"/>
            </w:pPr>
          </w:p>
        </w:tc>
        <w:tc>
          <w:tcPr>
            <w:tcW w:w="1296" w:type="pct"/>
            <w:tcBorders>
              <w:bottom w:val="single" w:sz="4" w:space="0" w:color="auto"/>
            </w:tcBorders>
          </w:tcPr>
          <w:p w14:paraId="073EF283" w14:textId="77777777" w:rsidR="00753D1D" w:rsidRPr="00B9659E" w:rsidRDefault="00753D1D" w:rsidP="00FF2962">
            <w:pPr>
              <w:ind w:firstLine="0"/>
              <w:jc w:val="both"/>
              <w:rPr>
                <w:vertAlign w:val="subscript"/>
              </w:rPr>
            </w:pPr>
            <w:r w:rsidRPr="00B9659E">
              <w:t>NO</w:t>
            </w:r>
            <w:r w:rsidRPr="00B9659E">
              <w:rPr>
                <w:vertAlign w:val="subscript"/>
              </w:rPr>
              <w:t>2</w:t>
            </w:r>
            <w:r w:rsidRPr="00B9659E">
              <w:t>, SO</w:t>
            </w:r>
            <w:r w:rsidRPr="00B9659E">
              <w:rPr>
                <w:vertAlign w:val="subscript"/>
              </w:rPr>
              <w:t>2</w:t>
            </w:r>
            <w:r w:rsidRPr="00B9659E">
              <w:t>, KD</w:t>
            </w:r>
            <w:r w:rsidRPr="00B9659E">
              <w:rPr>
                <w:vertAlign w:val="subscript"/>
              </w:rPr>
              <w:t>10</w:t>
            </w:r>
            <w:r w:rsidRPr="00B9659E">
              <w:t>, CO, O</w:t>
            </w:r>
            <w:r w:rsidRPr="00B9659E">
              <w:rPr>
                <w:vertAlign w:val="subscript"/>
              </w:rPr>
              <w:t>3</w:t>
            </w:r>
          </w:p>
          <w:p w14:paraId="14EA3B19" w14:textId="77777777" w:rsidR="00753D1D" w:rsidRPr="00B9659E" w:rsidRDefault="00753D1D" w:rsidP="00FF2962">
            <w:pPr>
              <w:ind w:firstLine="0"/>
              <w:jc w:val="both"/>
              <w:rPr>
                <w:vertAlign w:val="subscript"/>
              </w:rPr>
            </w:pPr>
          </w:p>
          <w:p w14:paraId="78E9E7B3" w14:textId="77777777" w:rsidR="00753D1D" w:rsidRPr="00B9659E" w:rsidRDefault="00753D1D" w:rsidP="00FF2962">
            <w:pPr>
              <w:ind w:firstLine="0"/>
              <w:jc w:val="both"/>
              <w:rPr>
                <w:vertAlign w:val="subscript"/>
              </w:rPr>
            </w:pPr>
            <w:r w:rsidRPr="00B9659E">
              <w:t>NO</w:t>
            </w:r>
            <w:r w:rsidRPr="00B9659E">
              <w:rPr>
                <w:vertAlign w:val="subscript"/>
              </w:rPr>
              <w:t>2</w:t>
            </w:r>
            <w:r w:rsidRPr="00B9659E">
              <w:t>, SO</w:t>
            </w:r>
            <w:r w:rsidRPr="00B9659E">
              <w:rPr>
                <w:vertAlign w:val="subscript"/>
              </w:rPr>
              <w:t>2</w:t>
            </w:r>
            <w:r w:rsidRPr="00B9659E">
              <w:t>, KD</w:t>
            </w:r>
            <w:r w:rsidRPr="00B9659E">
              <w:rPr>
                <w:vertAlign w:val="subscript"/>
              </w:rPr>
              <w:t>10</w:t>
            </w:r>
            <w:r w:rsidRPr="00B9659E">
              <w:t>, KD</w:t>
            </w:r>
            <w:r w:rsidRPr="00B9659E">
              <w:rPr>
                <w:vertAlign w:val="subscript"/>
              </w:rPr>
              <w:t>2,5</w:t>
            </w:r>
            <w:r w:rsidRPr="00B9659E">
              <w:t>, CO, O</w:t>
            </w:r>
            <w:r w:rsidRPr="00B9659E">
              <w:rPr>
                <w:vertAlign w:val="subscript"/>
              </w:rPr>
              <w:t>3</w:t>
            </w:r>
          </w:p>
        </w:tc>
        <w:tc>
          <w:tcPr>
            <w:tcW w:w="1298" w:type="pct"/>
            <w:tcBorders>
              <w:bottom w:val="single" w:sz="4" w:space="0" w:color="auto"/>
            </w:tcBorders>
          </w:tcPr>
          <w:p w14:paraId="406AB204" w14:textId="77777777" w:rsidR="00753D1D" w:rsidRPr="004D1F09" w:rsidRDefault="00753D1D" w:rsidP="00FF2962">
            <w:pPr>
              <w:ind w:firstLine="0"/>
              <w:jc w:val="both"/>
            </w:pPr>
            <w:r w:rsidRPr="004D1F09">
              <w:t>4 kartus per metus, skirtingais metų sezonais</w:t>
            </w:r>
          </w:p>
        </w:tc>
        <w:tc>
          <w:tcPr>
            <w:tcW w:w="1239" w:type="pct"/>
            <w:tcBorders>
              <w:bottom w:val="single" w:sz="4" w:space="0" w:color="auto"/>
            </w:tcBorders>
          </w:tcPr>
          <w:p w14:paraId="583C242F" w14:textId="77777777" w:rsidR="00753D1D" w:rsidRPr="004D1F09" w:rsidRDefault="00753D1D" w:rsidP="00FF2962">
            <w:pPr>
              <w:ind w:firstLine="0"/>
              <w:jc w:val="both"/>
            </w:pPr>
            <w:r w:rsidRPr="004D1F09">
              <w:t>Programoje numatyti</w:t>
            </w:r>
          </w:p>
          <w:p w14:paraId="16450C06" w14:textId="77777777" w:rsidR="00753D1D" w:rsidRPr="004D1F09" w:rsidRDefault="00753D1D" w:rsidP="00FF2962">
            <w:pPr>
              <w:ind w:firstLine="0"/>
              <w:jc w:val="both"/>
            </w:pPr>
            <w:r w:rsidRPr="004D1F09">
              <w:t>Metodai ir procedūros</w:t>
            </w:r>
          </w:p>
        </w:tc>
      </w:tr>
      <w:tr w:rsidR="00753D1D" w:rsidRPr="004D1F09" w14:paraId="11DECBE1" w14:textId="77777777" w:rsidTr="005E3C04">
        <w:tc>
          <w:tcPr>
            <w:tcW w:w="5000" w:type="pct"/>
            <w:gridSpan w:val="4"/>
            <w:shd w:val="clear" w:color="auto" w:fill="B4C6E7"/>
          </w:tcPr>
          <w:p w14:paraId="5E7A38B8" w14:textId="77777777" w:rsidR="00753D1D" w:rsidRPr="0076500E" w:rsidRDefault="00753D1D" w:rsidP="00FF2962">
            <w:pPr>
              <w:ind w:firstLine="0"/>
              <w:jc w:val="both"/>
              <w:rPr>
                <w:b/>
              </w:rPr>
            </w:pPr>
            <w:r w:rsidRPr="0076500E">
              <w:rPr>
                <w:b/>
              </w:rPr>
              <w:t>Paviršinio vandens monitoringas</w:t>
            </w:r>
          </w:p>
        </w:tc>
      </w:tr>
      <w:tr w:rsidR="00753D1D" w:rsidRPr="004D1F09" w14:paraId="55C54B13" w14:textId="77777777" w:rsidTr="005E3C04">
        <w:tc>
          <w:tcPr>
            <w:tcW w:w="1166" w:type="pct"/>
            <w:tcBorders>
              <w:bottom w:val="single" w:sz="4" w:space="0" w:color="auto"/>
            </w:tcBorders>
          </w:tcPr>
          <w:p w14:paraId="2B4032D5" w14:textId="77777777" w:rsidR="00753D1D" w:rsidRPr="0092115A" w:rsidRDefault="00753D1D" w:rsidP="00FF2962">
            <w:pPr>
              <w:ind w:firstLine="0"/>
              <w:jc w:val="both"/>
            </w:pPr>
            <w:r w:rsidRPr="0092115A">
              <w:t>4 taškai:</w:t>
            </w:r>
          </w:p>
          <w:p w14:paraId="58EAE2C7" w14:textId="77777777" w:rsidR="00753D1D" w:rsidRPr="0092115A" w:rsidRDefault="00753D1D" w:rsidP="00753D1D">
            <w:pPr>
              <w:pStyle w:val="Sraopastraipa"/>
              <w:numPr>
                <w:ilvl w:val="0"/>
                <w:numId w:val="3"/>
              </w:numPr>
              <w:ind w:left="313" w:hanging="284"/>
              <w:jc w:val="both"/>
            </w:pPr>
            <w:r w:rsidRPr="0092115A">
              <w:t>4 taškai upėse</w:t>
            </w:r>
          </w:p>
          <w:p w14:paraId="460ADE7C" w14:textId="77777777" w:rsidR="00753D1D" w:rsidRPr="0092115A" w:rsidRDefault="00753D1D" w:rsidP="00FF2962">
            <w:pPr>
              <w:pStyle w:val="Sraopastraipa"/>
              <w:ind w:left="313"/>
              <w:jc w:val="both"/>
            </w:pPr>
          </w:p>
        </w:tc>
        <w:tc>
          <w:tcPr>
            <w:tcW w:w="1296" w:type="pct"/>
            <w:tcBorders>
              <w:bottom w:val="single" w:sz="4" w:space="0" w:color="auto"/>
            </w:tcBorders>
          </w:tcPr>
          <w:p w14:paraId="2A060DFF" w14:textId="77777777" w:rsidR="00753D1D" w:rsidRPr="004D1F09" w:rsidRDefault="00753D1D" w:rsidP="00FF2962">
            <w:pPr>
              <w:tabs>
                <w:tab w:val="left" w:pos="228"/>
              </w:tabs>
              <w:ind w:firstLine="0"/>
              <w:jc w:val="both"/>
            </w:pPr>
            <w:r w:rsidRPr="004D1F09">
              <w:rPr>
                <w:sz w:val="22"/>
              </w:rPr>
              <w:t>o</w:t>
            </w:r>
            <w:r w:rsidRPr="004D1F09">
              <w:rPr>
                <w:sz w:val="22"/>
              </w:rPr>
              <w:tab/>
            </w:r>
            <w:r w:rsidRPr="004D1F09">
              <w:rPr>
                <w:sz w:val="22"/>
                <w:u w:val="single"/>
              </w:rPr>
              <w:t>upėse</w:t>
            </w:r>
            <w:r w:rsidRPr="004D1F09">
              <w:rPr>
                <w:sz w:val="22"/>
              </w:rPr>
              <w:t>: temperatūra, ištirpusio deguonies kiekis, suspenduotos medžiagos, BDS</w:t>
            </w:r>
            <w:r w:rsidRPr="004D1F09">
              <w:rPr>
                <w:sz w:val="22"/>
                <w:vertAlign w:val="subscript"/>
              </w:rPr>
              <w:t>7</w:t>
            </w:r>
            <w:r w:rsidRPr="004D1F09">
              <w:rPr>
                <w:sz w:val="22"/>
              </w:rPr>
              <w:t>; fosfatų fosforas; nitritų azotas; nitratų azotas, amonio azotas; P</w:t>
            </w:r>
            <w:r w:rsidRPr="004D1F09">
              <w:rPr>
                <w:sz w:val="22"/>
                <w:vertAlign w:val="subscript"/>
              </w:rPr>
              <w:t>bendras</w:t>
            </w:r>
            <w:r>
              <w:rPr>
                <w:sz w:val="22"/>
              </w:rPr>
              <w:t>,</w:t>
            </w:r>
            <w:r w:rsidRPr="004D1F09">
              <w:rPr>
                <w:sz w:val="22"/>
              </w:rPr>
              <w:t xml:space="preserve"> N</w:t>
            </w:r>
            <w:r w:rsidRPr="004D1F09">
              <w:rPr>
                <w:sz w:val="22"/>
                <w:vertAlign w:val="subscript"/>
              </w:rPr>
              <w:t>bendras</w:t>
            </w:r>
            <w:r w:rsidRPr="004D1F09">
              <w:rPr>
                <w:sz w:val="22"/>
              </w:rPr>
              <w:t xml:space="preserve"> ir</w:t>
            </w:r>
            <w:r>
              <w:rPr>
                <w:sz w:val="22"/>
              </w:rPr>
              <w:t xml:space="preserve"> savitasis elektrinis laidis</w:t>
            </w:r>
          </w:p>
        </w:tc>
        <w:tc>
          <w:tcPr>
            <w:tcW w:w="1298" w:type="pct"/>
            <w:tcBorders>
              <w:bottom w:val="single" w:sz="4" w:space="0" w:color="auto"/>
            </w:tcBorders>
          </w:tcPr>
          <w:p w14:paraId="4553A609" w14:textId="77777777" w:rsidR="00753D1D" w:rsidRPr="004D1F09" w:rsidRDefault="00753D1D" w:rsidP="00FF2962">
            <w:pPr>
              <w:ind w:firstLine="0"/>
              <w:jc w:val="both"/>
            </w:pPr>
            <w:r w:rsidRPr="004D1F09">
              <w:t>4 kartus per metus, skirtingais metų sezonais</w:t>
            </w:r>
          </w:p>
        </w:tc>
        <w:tc>
          <w:tcPr>
            <w:tcW w:w="1239" w:type="pct"/>
            <w:tcBorders>
              <w:bottom w:val="single" w:sz="4" w:space="0" w:color="auto"/>
            </w:tcBorders>
          </w:tcPr>
          <w:p w14:paraId="35157C2A" w14:textId="77777777" w:rsidR="00753D1D" w:rsidRPr="004D1F09" w:rsidRDefault="00753D1D" w:rsidP="00FF2962">
            <w:pPr>
              <w:ind w:firstLine="0"/>
              <w:jc w:val="both"/>
            </w:pPr>
            <w:r w:rsidRPr="004D1F09">
              <w:t>Programoje numatyti</w:t>
            </w:r>
          </w:p>
          <w:p w14:paraId="14492962" w14:textId="77777777" w:rsidR="00753D1D" w:rsidRPr="004D1F09" w:rsidRDefault="00753D1D" w:rsidP="00FF2962">
            <w:pPr>
              <w:ind w:firstLine="0"/>
              <w:jc w:val="both"/>
            </w:pPr>
            <w:r w:rsidRPr="004D1F09">
              <w:t>Metodai ir procedūros</w:t>
            </w:r>
          </w:p>
        </w:tc>
      </w:tr>
      <w:tr w:rsidR="00753D1D" w:rsidRPr="004D1F09" w14:paraId="39DD7434" w14:textId="77777777" w:rsidTr="005E3C04">
        <w:tc>
          <w:tcPr>
            <w:tcW w:w="5000" w:type="pct"/>
            <w:gridSpan w:val="4"/>
            <w:shd w:val="clear" w:color="auto" w:fill="FFF2CC"/>
          </w:tcPr>
          <w:p w14:paraId="0CDDF3C5" w14:textId="77777777" w:rsidR="00753D1D" w:rsidRPr="004D1F09" w:rsidRDefault="00753D1D" w:rsidP="00FF2962">
            <w:pPr>
              <w:ind w:firstLine="0"/>
              <w:jc w:val="both"/>
              <w:rPr>
                <w:b/>
              </w:rPr>
            </w:pPr>
            <w:r w:rsidRPr="004D1F09">
              <w:rPr>
                <w:b/>
              </w:rPr>
              <w:t>Triukšmo monitoringas</w:t>
            </w:r>
          </w:p>
        </w:tc>
      </w:tr>
      <w:tr w:rsidR="00753D1D" w:rsidRPr="004D1F09" w14:paraId="1770D27A" w14:textId="77777777" w:rsidTr="005E3C04">
        <w:tc>
          <w:tcPr>
            <w:tcW w:w="1166" w:type="pct"/>
          </w:tcPr>
          <w:p w14:paraId="7FBFCC19" w14:textId="77777777" w:rsidR="00753D1D" w:rsidRPr="00B41C79" w:rsidRDefault="00753D1D" w:rsidP="00FF2962">
            <w:pPr>
              <w:ind w:firstLine="0"/>
              <w:jc w:val="both"/>
            </w:pPr>
            <w:r w:rsidRPr="00B41C79">
              <w:t>1</w:t>
            </w:r>
            <w:r>
              <w:t>3</w:t>
            </w:r>
            <w:r w:rsidRPr="00B41C79">
              <w:t xml:space="preserve"> taškų</w:t>
            </w:r>
          </w:p>
        </w:tc>
        <w:tc>
          <w:tcPr>
            <w:tcW w:w="1296" w:type="pct"/>
          </w:tcPr>
          <w:p w14:paraId="7C05D9C8" w14:textId="77777777" w:rsidR="00753D1D" w:rsidRPr="004D1F09" w:rsidRDefault="00753D1D" w:rsidP="00FF2962">
            <w:pPr>
              <w:ind w:firstLine="0"/>
              <w:jc w:val="both"/>
            </w:pPr>
            <w:r w:rsidRPr="004D1F09">
              <w:t>Ekvivalentinis ir maksimalus garso lygis</w:t>
            </w:r>
          </w:p>
        </w:tc>
        <w:tc>
          <w:tcPr>
            <w:tcW w:w="1298" w:type="pct"/>
          </w:tcPr>
          <w:p w14:paraId="0780D3DB" w14:textId="77777777" w:rsidR="00753D1D" w:rsidRPr="004D1F09" w:rsidRDefault="00753D1D" w:rsidP="00FF2962">
            <w:pPr>
              <w:ind w:firstLine="0"/>
              <w:jc w:val="both"/>
              <w:rPr>
                <w:sz w:val="22"/>
              </w:rPr>
            </w:pPr>
            <w:r w:rsidRPr="004D1F09">
              <w:rPr>
                <w:sz w:val="22"/>
              </w:rPr>
              <w:t xml:space="preserve">Pavasario, vasaros ir rudens metu trimis laiko paros periodais: </w:t>
            </w:r>
          </w:p>
          <w:p w14:paraId="744C3852" w14:textId="77777777" w:rsidR="00753D1D" w:rsidRPr="004D1F09" w:rsidRDefault="00753D1D" w:rsidP="00FF2962">
            <w:pPr>
              <w:ind w:firstLine="0"/>
              <w:jc w:val="both"/>
              <w:rPr>
                <w:sz w:val="22"/>
              </w:rPr>
            </w:pPr>
            <w:r w:rsidRPr="004D1F09">
              <w:rPr>
                <w:bCs/>
                <w:sz w:val="22"/>
              </w:rPr>
              <w:t>7–</w:t>
            </w:r>
            <w:r w:rsidRPr="004D1F09">
              <w:rPr>
                <w:sz w:val="22"/>
              </w:rPr>
              <w:t xml:space="preserve">19 val., </w:t>
            </w:r>
          </w:p>
          <w:p w14:paraId="2B1991BC" w14:textId="77777777" w:rsidR="00753D1D" w:rsidRPr="004D1F09" w:rsidRDefault="00753D1D" w:rsidP="00FF2962">
            <w:pPr>
              <w:ind w:firstLine="0"/>
              <w:jc w:val="both"/>
              <w:rPr>
                <w:sz w:val="22"/>
              </w:rPr>
            </w:pPr>
            <w:r w:rsidRPr="004D1F09">
              <w:rPr>
                <w:sz w:val="22"/>
              </w:rPr>
              <w:t>19</w:t>
            </w:r>
            <w:r w:rsidRPr="004D1F09">
              <w:rPr>
                <w:bCs/>
                <w:sz w:val="22"/>
              </w:rPr>
              <w:t>–</w:t>
            </w:r>
            <w:r w:rsidRPr="004D1F09">
              <w:rPr>
                <w:sz w:val="22"/>
              </w:rPr>
              <w:t xml:space="preserve">22 val., </w:t>
            </w:r>
          </w:p>
          <w:p w14:paraId="0EF89B2A" w14:textId="77777777" w:rsidR="00753D1D" w:rsidRPr="004D1F09" w:rsidRDefault="00753D1D" w:rsidP="00FF2962">
            <w:pPr>
              <w:ind w:firstLine="0"/>
              <w:jc w:val="both"/>
              <w:rPr>
                <w:sz w:val="22"/>
              </w:rPr>
            </w:pPr>
            <w:r w:rsidRPr="004D1F09">
              <w:rPr>
                <w:sz w:val="22"/>
              </w:rPr>
              <w:t>22</w:t>
            </w:r>
            <w:r w:rsidRPr="004D1F09">
              <w:rPr>
                <w:bCs/>
                <w:sz w:val="22"/>
              </w:rPr>
              <w:t>–7</w:t>
            </w:r>
            <w:r w:rsidRPr="004D1F09">
              <w:rPr>
                <w:sz w:val="22"/>
              </w:rPr>
              <w:t xml:space="preserve"> val.</w:t>
            </w:r>
          </w:p>
        </w:tc>
        <w:tc>
          <w:tcPr>
            <w:tcW w:w="1239" w:type="pct"/>
          </w:tcPr>
          <w:p w14:paraId="726540C5" w14:textId="77777777" w:rsidR="00753D1D" w:rsidRPr="004D1F09" w:rsidRDefault="00753D1D" w:rsidP="00FF2962">
            <w:pPr>
              <w:ind w:firstLine="0"/>
              <w:jc w:val="both"/>
            </w:pPr>
            <w:r w:rsidRPr="004D1F09">
              <w:t>Programoje numatyti</w:t>
            </w:r>
          </w:p>
          <w:p w14:paraId="3172AD58" w14:textId="77777777" w:rsidR="00753D1D" w:rsidRPr="004D1F09" w:rsidRDefault="00753D1D" w:rsidP="00FF2962">
            <w:pPr>
              <w:ind w:firstLine="0"/>
              <w:jc w:val="both"/>
            </w:pPr>
            <w:r w:rsidRPr="004D1F09">
              <w:t>Metodai ir procedūros</w:t>
            </w:r>
          </w:p>
        </w:tc>
      </w:tr>
    </w:tbl>
    <w:p w14:paraId="5E474D10" w14:textId="77777777" w:rsidR="00753D1D" w:rsidRDefault="00753D1D" w:rsidP="00753D1D">
      <w:pPr>
        <w:widowControl/>
        <w:autoSpaceDE/>
        <w:autoSpaceDN/>
        <w:adjustRightInd/>
        <w:ind w:left="7938" w:firstLine="0"/>
        <w:jc w:val="both"/>
        <w:rPr>
          <w:rFonts w:ascii="Times New Roman" w:hAnsi="Times New Roman" w:cs="Times New Roman"/>
          <w:sz w:val="24"/>
        </w:rPr>
      </w:pPr>
    </w:p>
    <w:p w14:paraId="048D9093" w14:textId="1B3DD1AC" w:rsidR="00753D1D" w:rsidRPr="00753D1D" w:rsidRDefault="00753D1D" w:rsidP="005E3C04">
      <w:pPr>
        <w:spacing w:line="276" w:lineRule="auto"/>
        <w:ind w:right="187" w:firstLine="0"/>
        <w:jc w:val="both"/>
        <w:rPr>
          <w:rFonts w:ascii="Times New Roman" w:hAnsi="Times New Roman" w:cs="Times New Roman"/>
          <w:color w:val="000000"/>
          <w:sz w:val="24"/>
        </w:rPr>
      </w:pPr>
      <w:r w:rsidRPr="00753D1D">
        <w:rPr>
          <w:rFonts w:ascii="Times New Roman" w:hAnsi="Times New Roman" w:cs="Times New Roman"/>
          <w:sz w:val="24"/>
        </w:rPr>
        <w:t xml:space="preserve">PRIDEDAMA. Nuoroda į </w:t>
      </w:r>
      <w:r w:rsidRPr="00753D1D">
        <w:rPr>
          <w:rFonts w:ascii="Times New Roman" w:hAnsi="Times New Roman" w:cs="Times New Roman"/>
          <w:color w:val="000000"/>
          <w:sz w:val="24"/>
        </w:rPr>
        <w:t>Ukmergės rajono savivaldybės tarybos 2021 m. spalio 28 d. sprendimu Nr.</w:t>
      </w:r>
      <w:r w:rsidRPr="00753D1D">
        <w:rPr>
          <w:rFonts w:ascii="Times New Roman" w:hAnsi="Times New Roman" w:cs="Times New Roman"/>
          <w:sz w:val="24"/>
        </w:rPr>
        <w:t>7-240 patvirtintą Ukmergės</w:t>
      </w:r>
      <w:r w:rsidRPr="00753D1D">
        <w:rPr>
          <w:rFonts w:ascii="Times New Roman" w:hAnsi="Times New Roman" w:cs="Times New Roman"/>
          <w:color w:val="000000"/>
          <w:sz w:val="24"/>
        </w:rPr>
        <w:t xml:space="preserve"> rajono savivaldybės aplinkos monitoringo 2021 – 2026 metų programą:</w:t>
      </w:r>
      <w:r w:rsidR="005E3C04">
        <w:rPr>
          <w:rFonts w:ascii="Times New Roman" w:hAnsi="Times New Roman" w:cs="Times New Roman"/>
          <w:color w:val="000000"/>
          <w:sz w:val="24"/>
        </w:rPr>
        <w:t xml:space="preserve"> </w:t>
      </w:r>
      <w:hyperlink r:id="rId8" w:history="1">
        <w:r w:rsidR="005E3C04" w:rsidRPr="007D2C18">
          <w:rPr>
            <w:rStyle w:val="Hipersaitas"/>
            <w:rFonts w:ascii="Times New Roman" w:hAnsi="Times New Roman" w:cs="Times New Roman"/>
            <w:sz w:val="24"/>
          </w:rPr>
          <w:t>https://www.ukmerge.lt/uploads/Atmosfera/7-240%20D%C4%97l%20Ukmerg%C4%97s%20r.%20sav.%20%20aplinkos%20monitoringo%202021%E2%80%932026%20m.%20programos.pdf</w:t>
        </w:r>
      </w:hyperlink>
      <w:r w:rsidR="005E3C04">
        <w:rPr>
          <w:rFonts w:ascii="Times New Roman" w:hAnsi="Times New Roman" w:cs="Times New Roman"/>
          <w:color w:val="000000"/>
          <w:sz w:val="24"/>
        </w:rPr>
        <w:t xml:space="preserve"> </w:t>
      </w:r>
    </w:p>
    <w:sectPr w:rsidR="00753D1D" w:rsidRPr="00753D1D" w:rsidSect="008D5A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0594" w14:textId="77777777" w:rsidR="008D5AD8" w:rsidRDefault="008D5AD8" w:rsidP="008D5AD8">
      <w:r>
        <w:separator/>
      </w:r>
    </w:p>
  </w:endnote>
  <w:endnote w:type="continuationSeparator" w:id="0">
    <w:p w14:paraId="7890FA38" w14:textId="77777777" w:rsidR="008D5AD8" w:rsidRDefault="008D5AD8" w:rsidP="008D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E31C" w14:textId="77777777" w:rsidR="008D5AD8" w:rsidRDefault="008D5AD8" w:rsidP="008D5AD8">
      <w:r>
        <w:separator/>
      </w:r>
    </w:p>
  </w:footnote>
  <w:footnote w:type="continuationSeparator" w:id="0">
    <w:p w14:paraId="72650637" w14:textId="77777777" w:rsidR="008D5AD8" w:rsidRDefault="008D5AD8" w:rsidP="008D5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935874547"/>
      <w:docPartObj>
        <w:docPartGallery w:val="Page Numbers (Top of Page)"/>
        <w:docPartUnique/>
      </w:docPartObj>
    </w:sdtPr>
    <w:sdtEndPr/>
    <w:sdtContent>
      <w:p w14:paraId="10AE57FA" w14:textId="1E97C460" w:rsidR="008D5AD8" w:rsidRPr="008D5AD8" w:rsidRDefault="008D5AD8" w:rsidP="008D5AD8">
        <w:pPr>
          <w:pStyle w:val="Antrats"/>
          <w:ind w:firstLine="0"/>
          <w:jc w:val="center"/>
          <w:rPr>
            <w:rFonts w:ascii="Times New Roman" w:hAnsi="Times New Roman" w:cs="Times New Roman"/>
            <w:sz w:val="24"/>
          </w:rPr>
        </w:pPr>
        <w:r w:rsidRPr="008D5AD8">
          <w:rPr>
            <w:rFonts w:ascii="Times New Roman" w:hAnsi="Times New Roman" w:cs="Times New Roman"/>
            <w:sz w:val="24"/>
          </w:rPr>
          <w:fldChar w:fldCharType="begin"/>
        </w:r>
        <w:r w:rsidRPr="008D5AD8">
          <w:rPr>
            <w:rFonts w:ascii="Times New Roman" w:hAnsi="Times New Roman" w:cs="Times New Roman"/>
            <w:sz w:val="24"/>
          </w:rPr>
          <w:instrText>PAGE   \* MERGEFORMAT</w:instrText>
        </w:r>
        <w:r w:rsidRPr="008D5AD8">
          <w:rPr>
            <w:rFonts w:ascii="Times New Roman" w:hAnsi="Times New Roman" w:cs="Times New Roman"/>
            <w:sz w:val="24"/>
          </w:rPr>
          <w:fldChar w:fldCharType="separate"/>
        </w:r>
        <w:r w:rsidRPr="008D5AD8">
          <w:rPr>
            <w:rFonts w:ascii="Times New Roman" w:hAnsi="Times New Roman" w:cs="Times New Roman"/>
            <w:sz w:val="24"/>
          </w:rPr>
          <w:t>2</w:t>
        </w:r>
        <w:r w:rsidRPr="008D5AD8">
          <w:rPr>
            <w:rFonts w:ascii="Times New Roman" w:hAnsi="Times New Roman" w:cs="Times New Roman"/>
            <w:sz w:val="24"/>
          </w:rPr>
          <w:fldChar w:fldCharType="end"/>
        </w:r>
      </w:p>
    </w:sdtContent>
  </w:sdt>
  <w:p w14:paraId="1D992859" w14:textId="77777777" w:rsidR="008D5AD8" w:rsidRDefault="008D5A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pStyle w:val="Turinioantrat"/>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79DA7C5E"/>
    <w:multiLevelType w:val="hybridMultilevel"/>
    <w:tmpl w:val="05AE39EC"/>
    <w:lvl w:ilvl="0" w:tplc="04090001">
      <w:start w:val="1"/>
      <w:numFmt w:val="bullet"/>
      <w:lvlText w:val=""/>
      <w:lvlJc w:val="left"/>
      <w:pPr>
        <w:ind w:left="255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7486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891344">
    <w:abstractNumId w:val="0"/>
  </w:num>
  <w:num w:numId="3" w16cid:durableId="1443108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1D"/>
    <w:rsid w:val="00015036"/>
    <w:rsid w:val="003F0E5C"/>
    <w:rsid w:val="0047012A"/>
    <w:rsid w:val="00501F38"/>
    <w:rsid w:val="005E3C04"/>
    <w:rsid w:val="00611644"/>
    <w:rsid w:val="00665F81"/>
    <w:rsid w:val="00753D1D"/>
    <w:rsid w:val="008D5AD8"/>
    <w:rsid w:val="009C0A42"/>
    <w:rsid w:val="009C5F4F"/>
    <w:rsid w:val="00AD782A"/>
    <w:rsid w:val="00B22E7F"/>
    <w:rsid w:val="00B74E68"/>
    <w:rsid w:val="00BA465B"/>
    <w:rsid w:val="00BC20C4"/>
    <w:rsid w:val="00C809CF"/>
    <w:rsid w:val="00E15573"/>
    <w:rsid w:val="00E244F5"/>
    <w:rsid w:val="00E443EC"/>
    <w:rsid w:val="00F30441"/>
    <w:rsid w:val="00F525A2"/>
    <w:rsid w:val="00FC1725"/>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83B5"/>
  <w15:chartTrackingRefBased/>
  <w15:docId w15:val="{72BD106E-C07E-446E-AE9A-EE79200F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3D1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uiPriority w:val="9"/>
    <w:qFormat/>
    <w:rsid w:val="00753D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53D1D"/>
    <w:rPr>
      <w:color w:val="0066CC"/>
      <w:u w:val="single"/>
    </w:rPr>
  </w:style>
  <w:style w:type="paragraph" w:styleId="Sraopastraipa">
    <w:name w:val="List Paragraph"/>
    <w:aliases w:val="Numbering,ERP-List Paragraph,List Paragraph11,Bullet EY,List not in Table,punktai,List Paragraph1,List Paragraph111,List Paragraph21,List Paragraph2,Buletai,lp1,Use Case List Paragraph,List Paragraph Red,lenteles"/>
    <w:basedOn w:val="prastasis"/>
    <w:link w:val="SraopastraipaDiagrama"/>
    <w:uiPriority w:val="34"/>
    <w:qFormat/>
    <w:rsid w:val="00753D1D"/>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Numbering Diagrama,ERP-List Paragraph Diagrama,List Paragraph11 Diagrama,Bullet EY Diagrama,List not in Table Diagrama,punktai Diagrama,List Paragraph1 Diagrama,List Paragraph111 Diagrama,List Paragraph21 Diagrama,lp1 Diagrama"/>
    <w:link w:val="Sraopastraipa"/>
    <w:uiPriority w:val="34"/>
    <w:locked/>
    <w:rsid w:val="00753D1D"/>
    <w:rPr>
      <w:rFonts w:ascii="TimesLT" w:eastAsia="Times New Roman" w:hAnsi="TimesLT" w:cs="Times New Roman"/>
      <w:sz w:val="24"/>
      <w:szCs w:val="20"/>
      <w:lang w:val="en-US" w:eastAsia="en-US"/>
    </w:rPr>
  </w:style>
  <w:style w:type="character" w:customStyle="1" w:styleId="Antrat1Diagrama">
    <w:name w:val="Antraštė 1 Diagrama"/>
    <w:basedOn w:val="Numatytasispastraiposriftas"/>
    <w:link w:val="Antrat1"/>
    <w:uiPriority w:val="9"/>
    <w:rsid w:val="00753D1D"/>
    <w:rPr>
      <w:rFonts w:asciiTheme="majorHAnsi" w:eastAsiaTheme="majorEastAsia" w:hAnsiTheme="majorHAnsi" w:cstheme="majorBidi"/>
      <w:color w:val="2E74B5" w:themeColor="accent1" w:themeShade="BF"/>
      <w:sz w:val="32"/>
      <w:szCs w:val="32"/>
      <w:lang w:eastAsia="lt-LT"/>
    </w:rPr>
  </w:style>
  <w:style w:type="paragraph" w:styleId="Turinioantrat">
    <w:name w:val="TOC Heading"/>
    <w:basedOn w:val="Antrat1"/>
    <w:next w:val="prastasis"/>
    <w:uiPriority w:val="39"/>
    <w:unhideWhenUsed/>
    <w:qFormat/>
    <w:rsid w:val="00753D1D"/>
    <w:pPr>
      <w:pageBreakBefore/>
      <w:widowControl/>
      <w:numPr>
        <w:numId w:val="1"/>
      </w:numPr>
      <w:autoSpaceDE/>
      <w:autoSpaceDN/>
      <w:adjustRightInd/>
      <w:spacing w:after="120"/>
      <w:ind w:left="431" w:hanging="431"/>
      <w:jc w:val="both"/>
      <w:outlineLvl w:val="9"/>
    </w:pPr>
    <w:rPr>
      <w:rFonts w:ascii="Calibri Light" w:eastAsia="Times New Roman" w:hAnsi="Calibri Light" w:cs="Times New Roman"/>
      <w:caps/>
      <w:color w:val="133984"/>
      <w:w w:val="110"/>
      <w:lang w:val="en-US"/>
    </w:rPr>
  </w:style>
  <w:style w:type="character" w:customStyle="1" w:styleId="FontStyle56">
    <w:name w:val="Font Style56"/>
    <w:uiPriority w:val="99"/>
    <w:rsid w:val="00753D1D"/>
    <w:rPr>
      <w:rFonts w:ascii="Times New Roman" w:hAnsi="Times New Roman" w:cs="Times New Roman"/>
      <w:sz w:val="20"/>
      <w:szCs w:val="20"/>
    </w:rPr>
  </w:style>
  <w:style w:type="character" w:customStyle="1" w:styleId="FontStyle57">
    <w:name w:val="Font Style57"/>
    <w:uiPriority w:val="99"/>
    <w:rsid w:val="00753D1D"/>
    <w:rPr>
      <w:rFonts w:ascii="Times New Roman" w:hAnsi="Times New Roman" w:cs="Times New Roman"/>
      <w:i/>
      <w:iCs/>
      <w:sz w:val="20"/>
      <w:szCs w:val="20"/>
    </w:rPr>
  </w:style>
  <w:style w:type="character" w:customStyle="1" w:styleId="FontStyle59">
    <w:name w:val="Font Style59"/>
    <w:uiPriority w:val="99"/>
    <w:rsid w:val="00753D1D"/>
    <w:rPr>
      <w:rFonts w:ascii="Times New Roman" w:hAnsi="Times New Roman" w:cs="Times New Roman"/>
      <w:b/>
      <w:bCs/>
      <w:spacing w:val="10"/>
      <w:sz w:val="20"/>
      <w:szCs w:val="20"/>
    </w:rPr>
  </w:style>
  <w:style w:type="character" w:styleId="Neapdorotaspaminjimas">
    <w:name w:val="Unresolved Mention"/>
    <w:basedOn w:val="Numatytasispastraiposriftas"/>
    <w:uiPriority w:val="99"/>
    <w:semiHidden/>
    <w:unhideWhenUsed/>
    <w:rsid w:val="005E3C04"/>
    <w:rPr>
      <w:color w:val="605E5C"/>
      <w:shd w:val="clear" w:color="auto" w:fill="E1DFDD"/>
    </w:rPr>
  </w:style>
  <w:style w:type="character" w:styleId="Perirtashipersaitas">
    <w:name w:val="FollowedHyperlink"/>
    <w:basedOn w:val="Numatytasispastraiposriftas"/>
    <w:uiPriority w:val="99"/>
    <w:semiHidden/>
    <w:unhideWhenUsed/>
    <w:rsid w:val="005E3C04"/>
    <w:rPr>
      <w:color w:val="954F72" w:themeColor="followedHyperlink"/>
      <w:u w:val="single"/>
    </w:rPr>
  </w:style>
  <w:style w:type="paragraph" w:styleId="Antrats">
    <w:name w:val="header"/>
    <w:basedOn w:val="prastasis"/>
    <w:link w:val="AntratsDiagrama"/>
    <w:uiPriority w:val="99"/>
    <w:unhideWhenUsed/>
    <w:rsid w:val="008D5AD8"/>
    <w:pPr>
      <w:tabs>
        <w:tab w:val="center" w:pos="4819"/>
        <w:tab w:val="right" w:pos="9638"/>
      </w:tabs>
    </w:pPr>
  </w:style>
  <w:style w:type="character" w:customStyle="1" w:styleId="AntratsDiagrama">
    <w:name w:val="Antraštės Diagrama"/>
    <w:basedOn w:val="Numatytasispastraiposriftas"/>
    <w:link w:val="Antrats"/>
    <w:uiPriority w:val="99"/>
    <w:rsid w:val="008D5AD8"/>
    <w:rPr>
      <w:rFonts w:ascii="Arial" w:eastAsia="Times New Roman" w:hAnsi="Arial" w:cs="Arial"/>
      <w:sz w:val="20"/>
      <w:szCs w:val="24"/>
      <w:lang w:eastAsia="lt-LT"/>
    </w:rPr>
  </w:style>
  <w:style w:type="paragraph" w:styleId="Porat">
    <w:name w:val="footer"/>
    <w:basedOn w:val="prastasis"/>
    <w:link w:val="PoratDiagrama"/>
    <w:uiPriority w:val="99"/>
    <w:unhideWhenUsed/>
    <w:rsid w:val="008D5AD8"/>
    <w:pPr>
      <w:tabs>
        <w:tab w:val="center" w:pos="4819"/>
        <w:tab w:val="right" w:pos="9638"/>
      </w:tabs>
    </w:pPr>
  </w:style>
  <w:style w:type="character" w:customStyle="1" w:styleId="PoratDiagrama">
    <w:name w:val="Poraštė Diagrama"/>
    <w:basedOn w:val="Numatytasispastraiposriftas"/>
    <w:link w:val="Porat"/>
    <w:uiPriority w:val="99"/>
    <w:rsid w:val="008D5AD8"/>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merge.lt/uploads/Atmosfera/7-240%20D%C4%97l%20Ukmerg%C4%97s%20r.%20sav.%20%20aplinkos%20monitoringo%202021%E2%80%932026%20m.%20programo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889AE-7B23-4AA7-B8A1-469B1026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3252</Words>
  <Characters>1854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Grabauskienė</dc:creator>
  <cp:keywords/>
  <dc:description/>
  <cp:lastModifiedBy>Kamilė Pežinskaitė</cp:lastModifiedBy>
  <cp:revision>3</cp:revision>
  <dcterms:created xsi:type="dcterms:W3CDTF">2025-09-24T07:29:00Z</dcterms:created>
  <dcterms:modified xsi:type="dcterms:W3CDTF">2025-09-24T10:21:00Z</dcterms:modified>
</cp:coreProperties>
</file>