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1DEAE2B9"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4E6ACA">
              <w:t>Konkurso</w:t>
            </w:r>
            <w:r w:rsidR="00C228A9">
              <w:t xml:space="preserve"> sąlygų</w:t>
            </w:r>
            <w:r w:rsidR="004E6ACA">
              <w:t xml:space="preserve"> aprašo</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057F7A67"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E63807">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E63807" w:rsidRDefault="00261ED3" w:rsidP="00261ED3">
      <w:pPr>
        <w:jc w:val="center"/>
        <w:rPr>
          <w:b/>
          <w:lang w:eastAsia="lt-LT"/>
        </w:rPr>
      </w:pPr>
      <w:r w:rsidRPr="00E63807">
        <w:rPr>
          <w:b/>
          <w:lang w:eastAsia="lt-LT"/>
        </w:rPr>
        <w:t xml:space="preserve">SKELBIAMOS APKLAUSOS BŪDU ATLIEKAMO </w:t>
      </w:r>
    </w:p>
    <w:p w14:paraId="46146BDA" w14:textId="44FF467A" w:rsidR="00261ED3" w:rsidRPr="00E63807" w:rsidRDefault="00261ED3" w:rsidP="00261ED3">
      <w:pPr>
        <w:jc w:val="center"/>
        <w:rPr>
          <w:b/>
          <w:lang w:eastAsia="lt-LT"/>
        </w:rPr>
      </w:pPr>
      <w:r w:rsidRPr="00E63807">
        <w:rPr>
          <w:b/>
          <w:lang w:eastAsia="lt-LT"/>
        </w:rPr>
        <w:t>MAŽOS VERTĖS VIEŠOJO PIRKIMO „</w:t>
      </w:r>
      <w:r w:rsidR="00E63807" w:rsidRPr="00E63807">
        <w:rPr>
          <w:b/>
        </w:rPr>
        <w:t>NAUJ</w:t>
      </w:r>
      <w:r w:rsidR="007C5A05">
        <w:rPr>
          <w:b/>
        </w:rPr>
        <w:t>O</w:t>
      </w:r>
      <w:r w:rsidR="00E63807" w:rsidRPr="00E63807">
        <w:rPr>
          <w:b/>
        </w:rPr>
        <w:t xml:space="preserve"> </w:t>
      </w:r>
      <w:r w:rsidR="00E63807" w:rsidRPr="00E63807">
        <w:rPr>
          <w:b/>
          <w:bCs/>
        </w:rPr>
        <w:t>RATINI</w:t>
      </w:r>
      <w:r w:rsidR="007C5A05">
        <w:rPr>
          <w:b/>
          <w:bCs/>
        </w:rPr>
        <w:t>O</w:t>
      </w:r>
      <w:r w:rsidR="00E63807" w:rsidRPr="00E63807">
        <w:rPr>
          <w:b/>
          <w:bCs/>
        </w:rPr>
        <w:t xml:space="preserve"> </w:t>
      </w:r>
      <w:r w:rsidR="00E63807" w:rsidRPr="00E63807">
        <w:rPr>
          <w:b/>
        </w:rPr>
        <w:t>TRAKTORIUS SU KABINA</w:t>
      </w:r>
      <w:r w:rsidR="00D47CF9">
        <w:rPr>
          <w:b/>
        </w:rPr>
        <w:t xml:space="preserve">, ŽOLĖS PJAUNAMĄJA, ŽOLĖS SURINKIMO SISTEMA IR SNIEGO VALYMO PEILIU </w:t>
      </w:r>
      <w:r w:rsidR="00E63807" w:rsidRPr="00E63807">
        <w:rPr>
          <w:b/>
        </w:rPr>
        <w:t>DIRBTINĖS DANGOS FUTBOLO AIKŠČIŲ IR KITŲ TERITORIJŲ PRIEŽIŪRAI</w:t>
      </w:r>
      <w:r w:rsidRPr="00E63807">
        <w:rPr>
          <w:b/>
          <w:lang w:eastAsia="lt-LT"/>
        </w:rPr>
        <w:t>“</w:t>
      </w:r>
    </w:p>
    <w:p w14:paraId="3C30BE0A" w14:textId="28571639" w:rsidR="00261ED3" w:rsidRPr="00E63807" w:rsidRDefault="00261ED3" w:rsidP="00261ED3">
      <w:pPr>
        <w:jc w:val="center"/>
        <w:rPr>
          <w:b/>
        </w:rPr>
      </w:pPr>
      <w:r w:rsidRPr="00E63807">
        <w:rPr>
          <w:b/>
        </w:rPr>
        <w:t>PASIŪLYMAS</w:t>
      </w: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7FDBAFE" w14:textId="77777777" w:rsidR="003A43EB" w:rsidRPr="00272FD9" w:rsidRDefault="003A43EB" w:rsidP="003A43EB">
            <w:pPr>
              <w:widowControl w:val="0"/>
              <w:jc w:val="both"/>
              <w:rPr>
                <w:b/>
                <w:bCs/>
              </w:rPr>
            </w:pPr>
            <w:r w:rsidRPr="00272FD9">
              <w:rPr>
                <w:b/>
                <w:bCs/>
              </w:rPr>
              <w:t>Sub</w:t>
            </w:r>
            <w:r>
              <w:rPr>
                <w:b/>
                <w:bCs/>
              </w:rPr>
              <w:t xml:space="preserve">tiekėjo </w:t>
            </w:r>
            <w:r w:rsidRPr="00272FD9">
              <w:rPr>
                <w:b/>
                <w:bCs/>
              </w:rPr>
              <w:t xml:space="preserve">pavadinimas </w:t>
            </w:r>
          </w:p>
          <w:p w14:paraId="1D3E1568" w14:textId="5A178C26" w:rsidR="00011EC0" w:rsidRPr="00031EB2" w:rsidRDefault="00011EC0" w:rsidP="003A43EB">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3A43EB"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88FC183" w:rsidR="003A43EB" w:rsidRPr="00031EB2" w:rsidRDefault="003A43EB" w:rsidP="003A43EB">
            <w:pPr>
              <w:jc w:val="both"/>
              <w:rPr>
                <w:color w:val="000000" w:themeColor="text1"/>
              </w:rPr>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118" w:type="dxa"/>
            <w:tcMar>
              <w:top w:w="0" w:type="dxa"/>
              <w:left w:w="108" w:type="dxa"/>
              <w:bottom w:w="0" w:type="dxa"/>
              <w:right w:w="108" w:type="dxa"/>
            </w:tcMar>
          </w:tcPr>
          <w:p w14:paraId="2EFB4252" w14:textId="77777777" w:rsidR="003A43EB" w:rsidRPr="00031EB2" w:rsidRDefault="003A43EB" w:rsidP="003A43EB">
            <w:pPr>
              <w:jc w:val="both"/>
              <w:rPr>
                <w:color w:val="000000" w:themeColor="text1"/>
              </w:rPr>
            </w:pPr>
          </w:p>
        </w:tc>
      </w:tr>
      <w:tr w:rsidR="003A43EB"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BB48900" w:rsidR="003A43EB" w:rsidRPr="00031EB2" w:rsidRDefault="003A43EB" w:rsidP="003A43EB">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3A43EB" w:rsidRPr="00031EB2" w:rsidRDefault="003A43EB" w:rsidP="003A43EB">
            <w:pPr>
              <w:jc w:val="both"/>
              <w:rPr>
                <w:color w:val="000000" w:themeColor="text1"/>
              </w:rPr>
            </w:pPr>
          </w:p>
        </w:tc>
      </w:tr>
    </w:tbl>
    <w:p w14:paraId="4F6644A9" w14:textId="7601D746"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3A43EB">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bookmarkStart w:id="0" w:name="_GoBack"/>
      <w:bookmarkEnd w:id="0"/>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493" w:type="dxa"/>
        <w:tblLook w:val="04A0" w:firstRow="1" w:lastRow="0" w:firstColumn="1" w:lastColumn="0" w:noHBand="0" w:noVBand="1"/>
      </w:tblPr>
      <w:tblGrid>
        <w:gridCol w:w="704"/>
        <w:gridCol w:w="4111"/>
        <w:gridCol w:w="4678"/>
      </w:tblGrid>
      <w:tr w:rsidR="00DE3B80" w14:paraId="7BA07C09" w14:textId="77777777" w:rsidTr="000B1658">
        <w:trPr>
          <w:trHeight w:val="285"/>
        </w:trPr>
        <w:tc>
          <w:tcPr>
            <w:tcW w:w="704" w:type="dxa"/>
            <w:shd w:val="clear" w:color="auto" w:fill="F2F2F2" w:themeFill="background1" w:themeFillShade="F2"/>
          </w:tcPr>
          <w:p w14:paraId="70997DC9" w14:textId="43B3C266" w:rsidR="00DE3B80" w:rsidRDefault="00F9753C" w:rsidP="00F9753C">
            <w:pPr>
              <w:jc w:val="center"/>
              <w:rPr>
                <w:b/>
                <w:bCs/>
              </w:rPr>
            </w:pPr>
            <w:r>
              <w:rPr>
                <w:b/>
                <w:bCs/>
              </w:rPr>
              <w:t>Eil. Nr.</w:t>
            </w:r>
          </w:p>
        </w:tc>
        <w:tc>
          <w:tcPr>
            <w:tcW w:w="4111" w:type="dxa"/>
            <w:shd w:val="clear" w:color="auto" w:fill="F2F2F2" w:themeFill="background1" w:themeFillShade="F2"/>
          </w:tcPr>
          <w:p w14:paraId="5585D522" w14:textId="3A6FDDB7" w:rsidR="00DE3B80" w:rsidRPr="007033CE" w:rsidRDefault="00DE3B80" w:rsidP="00F9753C">
            <w:pPr>
              <w:jc w:val="center"/>
            </w:pPr>
            <w:r>
              <w:rPr>
                <w:b/>
                <w:bCs/>
              </w:rPr>
              <w:t>Pavadinimas</w:t>
            </w:r>
          </w:p>
        </w:tc>
        <w:tc>
          <w:tcPr>
            <w:tcW w:w="4678" w:type="dxa"/>
            <w:shd w:val="clear" w:color="auto" w:fill="F2F2F2" w:themeFill="background1" w:themeFillShade="F2"/>
          </w:tcPr>
          <w:p w14:paraId="0A4E5F08" w14:textId="38930794" w:rsidR="00DE3B80" w:rsidRPr="005854BF" w:rsidRDefault="00DE3B80" w:rsidP="00F9753C">
            <w:pPr>
              <w:jc w:val="center"/>
              <w:rPr>
                <w:b/>
                <w:iCs/>
                <w:highlight w:val="lightGray"/>
              </w:rPr>
            </w:pPr>
            <w:r w:rsidRPr="005854BF">
              <w:rPr>
                <w:b/>
                <w:iCs/>
              </w:rPr>
              <w:t>Kaina Eur be PVM</w:t>
            </w:r>
          </w:p>
        </w:tc>
      </w:tr>
      <w:tr w:rsidR="00DE3B80" w14:paraId="614FC4BD" w14:textId="77777777" w:rsidTr="000B1658">
        <w:trPr>
          <w:trHeight w:val="285"/>
        </w:trPr>
        <w:tc>
          <w:tcPr>
            <w:tcW w:w="704" w:type="dxa"/>
          </w:tcPr>
          <w:p w14:paraId="5906D3D7" w14:textId="3DB9CFE6" w:rsidR="00DE3B80" w:rsidRPr="007033CE" w:rsidRDefault="00F9753C" w:rsidP="007033CE">
            <w:r>
              <w:t>1.</w:t>
            </w:r>
          </w:p>
        </w:tc>
        <w:tc>
          <w:tcPr>
            <w:tcW w:w="4111" w:type="dxa"/>
            <w:shd w:val="clear" w:color="auto" w:fill="auto"/>
          </w:tcPr>
          <w:p w14:paraId="0611463B" w14:textId="4B7B6CB9" w:rsidR="00DE3B80" w:rsidRPr="007033CE" w:rsidRDefault="00DE3B80" w:rsidP="007033CE">
            <w:r w:rsidRPr="007033CE">
              <w:t>Naujas ratinis traktorius</w:t>
            </w:r>
            <w:r>
              <w:t xml:space="preserve"> (1 vnt.)</w:t>
            </w:r>
          </w:p>
        </w:tc>
        <w:tc>
          <w:tcPr>
            <w:tcW w:w="4678" w:type="dxa"/>
          </w:tcPr>
          <w:p w14:paraId="5FBFEF64" w14:textId="57984E4F" w:rsidR="00DE3B80" w:rsidRDefault="00DE3B80" w:rsidP="00D21285">
            <w:pPr>
              <w:jc w:val="center"/>
              <w:rPr>
                <w:i/>
                <w:iCs/>
                <w:highlight w:val="lightGray"/>
              </w:rPr>
            </w:pPr>
            <w:r w:rsidRPr="00906D97">
              <w:rPr>
                <w:i/>
                <w:iCs/>
                <w:color w:val="000000"/>
                <w:highlight w:val="lightGray"/>
              </w:rPr>
              <w:t>(skaičiais)</w:t>
            </w:r>
          </w:p>
        </w:tc>
      </w:tr>
      <w:tr w:rsidR="00DE3B80" w14:paraId="128D15E8" w14:textId="77777777" w:rsidTr="000B1658">
        <w:trPr>
          <w:trHeight w:val="285"/>
        </w:trPr>
        <w:tc>
          <w:tcPr>
            <w:tcW w:w="704" w:type="dxa"/>
          </w:tcPr>
          <w:p w14:paraId="0A97724D" w14:textId="1628B274" w:rsidR="00DE3B80" w:rsidRPr="007033CE" w:rsidRDefault="00F9753C" w:rsidP="007033CE">
            <w:r>
              <w:t>2.</w:t>
            </w:r>
          </w:p>
        </w:tc>
        <w:tc>
          <w:tcPr>
            <w:tcW w:w="4111" w:type="dxa"/>
            <w:shd w:val="clear" w:color="auto" w:fill="auto"/>
          </w:tcPr>
          <w:p w14:paraId="556A8A88" w14:textId="75F9C8C0" w:rsidR="00DE3B80" w:rsidRPr="007033CE" w:rsidRDefault="00DE3B80" w:rsidP="007033CE">
            <w:r w:rsidRPr="007033CE">
              <w:t>Žolės pjaunamoji</w:t>
            </w:r>
            <w:r>
              <w:t xml:space="preserve"> </w:t>
            </w:r>
            <w:r>
              <w:t>(1 vnt.)</w:t>
            </w:r>
          </w:p>
        </w:tc>
        <w:tc>
          <w:tcPr>
            <w:tcW w:w="4678" w:type="dxa"/>
          </w:tcPr>
          <w:p w14:paraId="73515740" w14:textId="0901105C" w:rsidR="00DE3B80" w:rsidRDefault="00DE3B80" w:rsidP="00D21285">
            <w:pPr>
              <w:jc w:val="center"/>
              <w:rPr>
                <w:i/>
                <w:iCs/>
                <w:highlight w:val="lightGray"/>
              </w:rPr>
            </w:pPr>
            <w:r w:rsidRPr="00906D97">
              <w:rPr>
                <w:i/>
                <w:iCs/>
                <w:color w:val="000000"/>
                <w:highlight w:val="lightGray"/>
              </w:rPr>
              <w:t>(skaičiais)</w:t>
            </w:r>
          </w:p>
        </w:tc>
      </w:tr>
      <w:tr w:rsidR="00DE3B80" w14:paraId="470BD5BA" w14:textId="77777777" w:rsidTr="000B1658">
        <w:trPr>
          <w:trHeight w:val="285"/>
        </w:trPr>
        <w:tc>
          <w:tcPr>
            <w:tcW w:w="704" w:type="dxa"/>
          </w:tcPr>
          <w:p w14:paraId="3BE9E2FB" w14:textId="2DAA49C2" w:rsidR="00DE3B80" w:rsidRPr="007033CE" w:rsidRDefault="00F9753C" w:rsidP="007033CE">
            <w:r>
              <w:t>3.</w:t>
            </w:r>
          </w:p>
        </w:tc>
        <w:tc>
          <w:tcPr>
            <w:tcW w:w="4111" w:type="dxa"/>
            <w:shd w:val="clear" w:color="auto" w:fill="auto"/>
          </w:tcPr>
          <w:p w14:paraId="7BEF4E64" w14:textId="6F08B3E2" w:rsidR="00DE3B80" w:rsidRPr="007033CE" w:rsidRDefault="00DE3B80" w:rsidP="007033CE">
            <w:r w:rsidRPr="007033CE">
              <w:t>Žolės surinkimo sistema</w:t>
            </w:r>
            <w:r>
              <w:t xml:space="preserve"> </w:t>
            </w:r>
            <w:r>
              <w:t>(1 vnt.)</w:t>
            </w:r>
          </w:p>
        </w:tc>
        <w:tc>
          <w:tcPr>
            <w:tcW w:w="4678" w:type="dxa"/>
          </w:tcPr>
          <w:p w14:paraId="269F444C" w14:textId="08DD3CDE" w:rsidR="00DE3B80" w:rsidRDefault="00DE3B80" w:rsidP="00D21285">
            <w:pPr>
              <w:jc w:val="center"/>
              <w:rPr>
                <w:i/>
                <w:iCs/>
                <w:highlight w:val="lightGray"/>
              </w:rPr>
            </w:pPr>
            <w:r w:rsidRPr="00906D97">
              <w:rPr>
                <w:i/>
                <w:iCs/>
                <w:color w:val="000000"/>
                <w:highlight w:val="lightGray"/>
              </w:rPr>
              <w:t>(skaičiais)</w:t>
            </w:r>
          </w:p>
        </w:tc>
      </w:tr>
      <w:tr w:rsidR="00DE3B80" w14:paraId="261CD813" w14:textId="77777777" w:rsidTr="000B1658">
        <w:trPr>
          <w:trHeight w:val="285"/>
        </w:trPr>
        <w:tc>
          <w:tcPr>
            <w:tcW w:w="704" w:type="dxa"/>
          </w:tcPr>
          <w:p w14:paraId="4F6F5A81" w14:textId="3AC34FCF" w:rsidR="00DE3B80" w:rsidRPr="007033CE" w:rsidRDefault="00F9753C" w:rsidP="007033CE">
            <w:r>
              <w:t>4.</w:t>
            </w:r>
          </w:p>
        </w:tc>
        <w:tc>
          <w:tcPr>
            <w:tcW w:w="4111" w:type="dxa"/>
            <w:shd w:val="clear" w:color="auto" w:fill="auto"/>
          </w:tcPr>
          <w:p w14:paraId="647BE3B5" w14:textId="16B59705" w:rsidR="00DE3B80" w:rsidRPr="007033CE" w:rsidRDefault="00DE3B80" w:rsidP="007033CE">
            <w:r w:rsidRPr="007033CE">
              <w:t>Sniego valymo peilis</w:t>
            </w:r>
            <w:r>
              <w:t xml:space="preserve"> </w:t>
            </w:r>
            <w:r>
              <w:t>(1 vnt.)</w:t>
            </w:r>
          </w:p>
        </w:tc>
        <w:tc>
          <w:tcPr>
            <w:tcW w:w="4678" w:type="dxa"/>
          </w:tcPr>
          <w:p w14:paraId="7FDB962A" w14:textId="2A74C0E7" w:rsidR="00DE3B80" w:rsidRDefault="00DE3B80" w:rsidP="00D21285">
            <w:pPr>
              <w:jc w:val="center"/>
              <w:rPr>
                <w:i/>
                <w:iCs/>
                <w:highlight w:val="lightGray"/>
              </w:rPr>
            </w:pPr>
            <w:r w:rsidRPr="00906D97">
              <w:rPr>
                <w:i/>
                <w:iCs/>
                <w:color w:val="000000"/>
                <w:highlight w:val="lightGray"/>
              </w:rPr>
              <w:t>(skaičiais)</w:t>
            </w:r>
          </w:p>
        </w:tc>
      </w:tr>
      <w:tr w:rsidR="00DE3B80" w14:paraId="7D156614" w14:textId="77777777" w:rsidTr="000B1658">
        <w:trPr>
          <w:trHeight w:val="285"/>
        </w:trPr>
        <w:tc>
          <w:tcPr>
            <w:tcW w:w="704" w:type="dxa"/>
            <w:shd w:val="clear" w:color="auto" w:fill="F2F2F2" w:themeFill="background1" w:themeFillShade="F2"/>
          </w:tcPr>
          <w:p w14:paraId="78D0D0EF" w14:textId="77777777" w:rsidR="00DE3B80" w:rsidRDefault="00DE3B80" w:rsidP="00D21285">
            <w:pPr>
              <w:jc w:val="right"/>
              <w:rPr>
                <w:b/>
              </w:rPr>
            </w:pPr>
          </w:p>
        </w:tc>
        <w:tc>
          <w:tcPr>
            <w:tcW w:w="4111" w:type="dxa"/>
            <w:shd w:val="clear" w:color="auto" w:fill="F2F2F2" w:themeFill="background1" w:themeFillShade="F2"/>
          </w:tcPr>
          <w:p w14:paraId="4B367C10" w14:textId="3F5E5546" w:rsidR="00DE3B80" w:rsidRPr="0062511A" w:rsidRDefault="00DE3B80" w:rsidP="00D21285">
            <w:pPr>
              <w:jc w:val="right"/>
              <w:rPr>
                <w:b/>
              </w:rPr>
            </w:pPr>
            <w:r>
              <w:rPr>
                <w:b/>
              </w:rPr>
              <w:t xml:space="preserve">Bendra pasiūlymo </w:t>
            </w:r>
            <w:r w:rsidRPr="0062511A">
              <w:rPr>
                <w:b/>
              </w:rPr>
              <w:t>kaina</w:t>
            </w:r>
            <w:r w:rsidR="00F9753C">
              <w:rPr>
                <w:b/>
              </w:rPr>
              <w:t xml:space="preserve"> (1+2+3+4)</w:t>
            </w:r>
            <w:r>
              <w:rPr>
                <w:b/>
              </w:rPr>
              <w:t xml:space="preserve"> </w:t>
            </w:r>
            <w:r w:rsidRPr="0062511A">
              <w:rPr>
                <w:b/>
              </w:rPr>
              <w:t>Eur be PVM:</w:t>
            </w:r>
          </w:p>
        </w:tc>
        <w:tc>
          <w:tcPr>
            <w:tcW w:w="4678" w:type="dxa"/>
          </w:tcPr>
          <w:p w14:paraId="0442431D" w14:textId="163BF64D" w:rsidR="00DE3B80" w:rsidRDefault="00DE3B80" w:rsidP="00D21285">
            <w:pPr>
              <w:jc w:val="center"/>
              <w:rPr>
                <w:i/>
                <w:iCs/>
                <w:highlight w:val="lightGray"/>
              </w:rPr>
            </w:pPr>
            <w:r>
              <w:rPr>
                <w:i/>
                <w:iCs/>
                <w:highlight w:val="lightGray"/>
              </w:rPr>
              <w:t>(įrašyti skaičiais</w:t>
            </w:r>
            <w:r>
              <w:rPr>
                <w:highlight w:val="lightGray"/>
              </w:rPr>
              <w:t>)</w:t>
            </w:r>
          </w:p>
        </w:tc>
      </w:tr>
      <w:tr w:rsidR="00DE3B80" w14:paraId="43A73AD8" w14:textId="77777777" w:rsidTr="000B1658">
        <w:trPr>
          <w:trHeight w:val="285"/>
        </w:trPr>
        <w:tc>
          <w:tcPr>
            <w:tcW w:w="704" w:type="dxa"/>
            <w:shd w:val="clear" w:color="auto" w:fill="F2F2F2" w:themeFill="background1" w:themeFillShade="F2"/>
          </w:tcPr>
          <w:p w14:paraId="71FC8826" w14:textId="77777777" w:rsidR="00DE3B80" w:rsidRPr="00D313B2" w:rsidRDefault="00DE3B80" w:rsidP="00D21285">
            <w:pPr>
              <w:jc w:val="right"/>
              <w:rPr>
                <w:b/>
              </w:rPr>
            </w:pPr>
          </w:p>
        </w:tc>
        <w:tc>
          <w:tcPr>
            <w:tcW w:w="4111" w:type="dxa"/>
            <w:shd w:val="clear" w:color="auto" w:fill="F2F2F2" w:themeFill="background1" w:themeFillShade="F2"/>
          </w:tcPr>
          <w:p w14:paraId="38FA1676" w14:textId="7DEC6C1D" w:rsidR="00DE3B80" w:rsidRPr="0062511A" w:rsidRDefault="00DE3B80" w:rsidP="00D21285">
            <w:pPr>
              <w:jc w:val="right"/>
              <w:rPr>
                <w:b/>
              </w:rPr>
            </w:pPr>
            <w:r w:rsidRPr="00D313B2">
              <w:rPr>
                <w:b/>
              </w:rPr>
              <w:t>PVM (</w:t>
            </w:r>
            <w:r w:rsidRPr="00A007D6">
              <w:rPr>
                <w:b/>
                <w:color w:val="4472C4" w:themeColor="accent1"/>
              </w:rPr>
              <w:t>21 proc</w:t>
            </w:r>
            <w:r>
              <w:rPr>
                <w:b/>
              </w:rPr>
              <w:t>.</w:t>
            </w:r>
            <w:r w:rsidRPr="00D313B2">
              <w:rPr>
                <w:b/>
              </w:rPr>
              <w:t>)</w:t>
            </w:r>
            <w:r>
              <w:rPr>
                <w:b/>
              </w:rPr>
              <w:t>*</w:t>
            </w:r>
            <w:r w:rsidRPr="00D313B2">
              <w:t xml:space="preserve"> </w:t>
            </w:r>
            <w:r w:rsidRPr="00D313B2">
              <w:rPr>
                <w:b/>
              </w:rPr>
              <w:t>Eur</w:t>
            </w:r>
            <w:r w:rsidRPr="006E4DCF">
              <w:rPr>
                <w:b/>
              </w:rPr>
              <w:t>:</w:t>
            </w:r>
          </w:p>
        </w:tc>
        <w:tc>
          <w:tcPr>
            <w:tcW w:w="4678" w:type="dxa"/>
          </w:tcPr>
          <w:p w14:paraId="6D3C76D2" w14:textId="77777777" w:rsidR="00DE3B80" w:rsidRDefault="00DE3B80" w:rsidP="00D21285">
            <w:pPr>
              <w:jc w:val="center"/>
              <w:rPr>
                <w:i/>
                <w:iCs/>
                <w:highlight w:val="lightGray"/>
              </w:rPr>
            </w:pPr>
            <w:r>
              <w:rPr>
                <w:i/>
                <w:iCs/>
                <w:highlight w:val="lightGray"/>
              </w:rPr>
              <w:t>(įrašyti skaičiais</w:t>
            </w:r>
            <w:r>
              <w:rPr>
                <w:highlight w:val="lightGray"/>
              </w:rPr>
              <w:t>)</w:t>
            </w:r>
          </w:p>
        </w:tc>
      </w:tr>
      <w:tr w:rsidR="00DE3B80" w14:paraId="316B9506" w14:textId="77777777" w:rsidTr="000B1658">
        <w:trPr>
          <w:trHeight w:val="285"/>
        </w:trPr>
        <w:tc>
          <w:tcPr>
            <w:tcW w:w="704" w:type="dxa"/>
            <w:shd w:val="clear" w:color="auto" w:fill="F2F2F2" w:themeFill="background1" w:themeFillShade="F2"/>
          </w:tcPr>
          <w:p w14:paraId="1AC54096" w14:textId="77777777" w:rsidR="00DE3B80" w:rsidRDefault="00DE3B80" w:rsidP="00D21285">
            <w:pPr>
              <w:jc w:val="right"/>
              <w:rPr>
                <w:b/>
              </w:rPr>
            </w:pPr>
          </w:p>
        </w:tc>
        <w:tc>
          <w:tcPr>
            <w:tcW w:w="4111" w:type="dxa"/>
            <w:shd w:val="clear" w:color="auto" w:fill="F2F2F2" w:themeFill="background1" w:themeFillShade="F2"/>
          </w:tcPr>
          <w:p w14:paraId="01894152" w14:textId="7FFFFE21" w:rsidR="00DE3B80" w:rsidRPr="0062511A" w:rsidRDefault="00DE3B80" w:rsidP="00D21285">
            <w:pPr>
              <w:jc w:val="right"/>
              <w:rPr>
                <w:b/>
              </w:rPr>
            </w:pPr>
            <w:r>
              <w:rPr>
                <w:b/>
              </w:rPr>
              <w:t xml:space="preserve">Bendra pasiūlymo </w:t>
            </w:r>
            <w:r w:rsidRPr="0062511A">
              <w:rPr>
                <w:b/>
              </w:rPr>
              <w:t>kaina</w:t>
            </w:r>
            <w:r>
              <w:rPr>
                <w:b/>
              </w:rPr>
              <w:t xml:space="preserve"> </w:t>
            </w:r>
            <w:r w:rsidRPr="0062511A">
              <w:rPr>
                <w:b/>
              </w:rPr>
              <w:t>Eur su PVM:</w:t>
            </w:r>
          </w:p>
        </w:tc>
        <w:tc>
          <w:tcPr>
            <w:tcW w:w="4678" w:type="dxa"/>
          </w:tcPr>
          <w:p w14:paraId="099B99E5" w14:textId="1564A4E4" w:rsidR="00DE3B80" w:rsidRDefault="00DE3B80" w:rsidP="00D21285">
            <w:pPr>
              <w:jc w:val="center"/>
              <w:rPr>
                <w:i/>
                <w:iCs/>
                <w:highlight w:val="lightGray"/>
              </w:rPr>
            </w:pPr>
            <w:r>
              <w:rPr>
                <w:i/>
                <w:iCs/>
                <w:highlight w:val="lightGray"/>
              </w:rPr>
              <w:t>(įrašyti skaičiais</w:t>
            </w:r>
            <w:r>
              <w:rPr>
                <w:highlight w:val="lightGray"/>
              </w:rPr>
              <w:t>)</w:t>
            </w:r>
          </w:p>
        </w:tc>
      </w:tr>
    </w:tbl>
    <w:p w14:paraId="0740DA51" w14:textId="77777777" w:rsidR="00011EC0" w:rsidRDefault="00011EC0" w:rsidP="00011EC0">
      <w:pPr>
        <w:widowControl w:val="0"/>
        <w:ind w:firstLine="709"/>
        <w:rPr>
          <w:i/>
        </w:rPr>
      </w:pPr>
    </w:p>
    <w:p w14:paraId="692E59A2" w14:textId="1DED2DDA" w:rsidR="00011EC0" w:rsidRDefault="00011EC0" w:rsidP="00011EC0">
      <w:pPr>
        <w:widowControl w:val="0"/>
        <w:ind w:firstLine="709"/>
        <w:jc w:val="both"/>
        <w:rPr>
          <w:i/>
        </w:rPr>
      </w:pPr>
      <w:r w:rsidRPr="004E6D13">
        <w:rPr>
          <w:i/>
        </w:rPr>
        <w:t>Pastab</w:t>
      </w:r>
      <w:r>
        <w:rPr>
          <w:i/>
        </w:rPr>
        <w:t>os</w:t>
      </w:r>
      <w:r w:rsidRPr="004E6D13">
        <w:rPr>
          <w:i/>
        </w:rPr>
        <w:t>:</w:t>
      </w:r>
    </w:p>
    <w:p w14:paraId="2F04B786" w14:textId="1A268AC9" w:rsidR="002F43D2" w:rsidRDefault="002F43D2" w:rsidP="00011EC0">
      <w:pPr>
        <w:widowControl w:val="0"/>
        <w:ind w:firstLine="709"/>
        <w:jc w:val="both"/>
        <w:rPr>
          <w:i/>
        </w:rPr>
      </w:pPr>
      <w:r w:rsidRPr="002F43D2">
        <w:rPr>
          <w:bCs/>
          <w:i/>
        </w:rPr>
        <w:t>-</w:t>
      </w:r>
      <w:r>
        <w:rPr>
          <w:b/>
          <w:bCs/>
          <w:i/>
        </w:rPr>
        <w:t xml:space="preserve"> </w:t>
      </w:r>
      <w:r>
        <w:rPr>
          <w:b/>
          <w:bCs/>
          <w:i/>
        </w:rPr>
        <w:t>tiekėjas kartu su pasiūlymu turi pateikti konkurso sąlygų aprašo 5.14 – 5.15 p. nurodytus dokumentus;</w:t>
      </w:r>
    </w:p>
    <w:p w14:paraId="34311747" w14:textId="73675D76" w:rsidR="00011EC0" w:rsidRPr="004E6D13" w:rsidRDefault="00011EC0" w:rsidP="00011EC0">
      <w:pPr>
        <w:widowControl w:val="0"/>
        <w:ind w:firstLine="709"/>
        <w:jc w:val="both"/>
        <w:rPr>
          <w:i/>
        </w:rPr>
      </w:pPr>
      <w:bookmarkStart w:id="1" w:name="_Hlk127263941"/>
      <w:r>
        <w:rPr>
          <w:i/>
        </w:rPr>
        <w:t xml:space="preserve">- </w:t>
      </w:r>
      <w:bookmarkEnd w:id="1"/>
      <w:r w:rsidR="003A43EB" w:rsidRPr="00F647B6">
        <w:rPr>
          <w:i/>
        </w:rPr>
        <w:t>kainos pasiūlyme nurodomos paliekant du skaitmenis po kablelio (</w:t>
      </w:r>
      <w:r w:rsidR="003A43EB"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E6D13">
        <w:rPr>
          <w:i/>
        </w:rPr>
        <w:t>;</w:t>
      </w:r>
    </w:p>
    <w:p w14:paraId="5A56C24D" w14:textId="3D0890F1" w:rsidR="00011EC0" w:rsidRPr="004E6D13" w:rsidRDefault="00011EC0" w:rsidP="00011EC0">
      <w:pPr>
        <w:widowControl w:val="0"/>
        <w:ind w:firstLine="709"/>
        <w:jc w:val="both"/>
        <w:rPr>
          <w:i/>
        </w:rPr>
      </w:pPr>
      <w:r w:rsidRPr="004E6D13">
        <w:rPr>
          <w:i/>
        </w:rPr>
        <w:t xml:space="preserve">- </w:t>
      </w:r>
      <w:r w:rsidR="002416C3">
        <w:rPr>
          <w:i/>
        </w:rPr>
        <w:t>*</w:t>
      </w:r>
      <w:r w:rsidR="002416C3" w:rsidRPr="004E6D13">
        <w:rPr>
          <w:i/>
        </w:rPr>
        <w:t xml:space="preserve"> </w:t>
      </w:r>
      <w:r w:rsidR="002416C3" w:rsidRPr="00387DAE">
        <w:rPr>
          <w:i/>
          <w:color w:val="000000" w:themeColor="text1"/>
        </w:rPr>
        <w:t>tais atvejais, kai pagal galiojančius teisės aktus tiekėjui nereikia mokėti PVM, turi būti nurodytos priežastys, dėl kurių PVM nemokamas</w:t>
      </w:r>
    </w:p>
    <w:p w14:paraId="4D68F710" w14:textId="025758FC" w:rsidR="00011EC0" w:rsidRDefault="00011EC0" w:rsidP="00011EC0">
      <w:pPr>
        <w:widowControl w:val="0"/>
        <w:ind w:firstLine="709"/>
        <w:jc w:val="both"/>
        <w:rPr>
          <w:i/>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6BFD6BCC" w14:textId="2A3580B9" w:rsidR="00630256" w:rsidRPr="00630256" w:rsidRDefault="00630256" w:rsidP="00630256">
      <w:pPr>
        <w:widowControl w:val="0"/>
        <w:ind w:firstLine="709"/>
        <w:jc w:val="both"/>
        <w:rPr>
          <w:i/>
          <w:color w:val="000000" w:themeColor="text1"/>
        </w:rPr>
      </w:pPr>
      <w:r w:rsidRPr="00630256">
        <w:rPr>
          <w:i/>
        </w:rPr>
        <w:t xml:space="preserve">- </w:t>
      </w:r>
      <w:r w:rsidRPr="00630256">
        <w:rPr>
          <w:bCs/>
          <w:i/>
        </w:rPr>
        <w:t xml:space="preserve">į prekių kainą turi būti įskaičiuotas prekių </w:t>
      </w:r>
      <w:r w:rsidRPr="00630256">
        <w:rPr>
          <w:i/>
          <w:noProof/>
        </w:rPr>
        <w:t>pristatymas, vartotojų apmokymas ir su garantija susijusios išlaidos</w:t>
      </w:r>
      <w:r w:rsidRPr="00630256">
        <w:rPr>
          <w:noProof/>
        </w:rPr>
        <w:t>.</w:t>
      </w:r>
    </w:p>
    <w:p w14:paraId="74C2B18B" w14:textId="6C220F30" w:rsidR="00E63807" w:rsidRDefault="00E63807" w:rsidP="00011EC0">
      <w:pPr>
        <w:widowControl w:val="0"/>
        <w:ind w:firstLine="709"/>
        <w:jc w:val="both"/>
        <w:rPr>
          <w:i/>
          <w:iCs/>
        </w:rPr>
      </w:pPr>
    </w:p>
    <w:p w14:paraId="71ADA1A4" w14:textId="1459BCE3" w:rsidR="00E63807" w:rsidRPr="00E63807" w:rsidRDefault="00E63807" w:rsidP="00E63807">
      <w:pPr>
        <w:widowControl w:val="0"/>
        <w:ind w:firstLine="709"/>
        <w:jc w:val="both"/>
        <w:rPr>
          <w:b/>
          <w:bCs/>
          <w:i/>
        </w:rPr>
      </w:pPr>
      <w:r w:rsidRPr="00D13FBC">
        <w:rPr>
          <w:b/>
          <w:bCs/>
          <w:i/>
        </w:rPr>
        <w:t xml:space="preserve">Kartu su pasiūlymu pateikti užpildytą </w:t>
      </w:r>
      <w:r>
        <w:rPr>
          <w:b/>
          <w:bCs/>
          <w:i/>
        </w:rPr>
        <w:t xml:space="preserve">specialiųjų </w:t>
      </w:r>
      <w:r w:rsidRPr="00D13FBC">
        <w:rPr>
          <w:b/>
          <w:bCs/>
          <w:i/>
        </w:rPr>
        <w:t xml:space="preserve">sąlygų aprašo </w:t>
      </w:r>
      <w:r w:rsidR="00EA6DC7">
        <w:rPr>
          <w:b/>
          <w:bCs/>
          <w:i/>
        </w:rPr>
        <w:t>1</w:t>
      </w:r>
      <w:r w:rsidRPr="00D13FBC">
        <w:rPr>
          <w:b/>
          <w:bCs/>
          <w:i/>
        </w:rPr>
        <w:t xml:space="preserve"> priedą techninę specifikaciją. </w:t>
      </w:r>
    </w:p>
    <w:p w14:paraId="4EDAFAA7" w14:textId="77777777" w:rsidR="00011EC0" w:rsidRDefault="00011EC0" w:rsidP="00011EC0">
      <w:pPr>
        <w:widowControl w:val="0"/>
        <w:ind w:firstLine="709"/>
        <w:jc w:val="both"/>
        <w:rPr>
          <w:i/>
        </w:rPr>
      </w:pPr>
    </w:p>
    <w:p w14:paraId="6D52203B" w14:textId="02AB76E4" w:rsidR="002F43D2" w:rsidRDefault="00011EC0" w:rsidP="002F43D2">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6FCBB42" w14:textId="77777777" w:rsidR="002F43D2" w:rsidRDefault="002F43D2" w:rsidP="002F43D2">
      <w:pPr>
        <w:widowControl w:val="0"/>
        <w:ind w:firstLine="709"/>
        <w:jc w:val="both"/>
      </w:pPr>
    </w:p>
    <w:p w14:paraId="66C79757" w14:textId="28A88FD3" w:rsidR="002F43D2" w:rsidRPr="005B242D" w:rsidRDefault="002F43D2" w:rsidP="002F43D2">
      <w:pPr>
        <w:widowControl w:val="0"/>
        <w:ind w:firstLine="709"/>
        <w:jc w:val="both"/>
      </w:pPr>
      <w:r w:rsidRPr="00C76CED">
        <w:rPr>
          <w:b/>
        </w:rPr>
        <w:t>Sutartyje nustatomas kainos apskaičiavimo būdas  – fiksuota kaina.</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0B2740C2"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7BEC19CE" w14:textId="2BA6F10B" w:rsidR="00ED450B" w:rsidRDefault="00ED450B" w:rsidP="00011EC0">
      <w:pPr>
        <w:widowControl w:val="0"/>
        <w:ind w:firstLine="709"/>
        <w:jc w:val="both"/>
      </w:pPr>
    </w:p>
    <w:p w14:paraId="6E5B456D" w14:textId="77777777" w:rsidR="00ED450B" w:rsidRDefault="00ED450B" w:rsidP="00ED450B">
      <w:pPr>
        <w:jc w:val="both"/>
        <w:rPr>
          <w:b/>
          <w:color w:val="FF0000"/>
        </w:rPr>
      </w:pPr>
    </w:p>
    <w:p w14:paraId="3E834A8D" w14:textId="77777777" w:rsidR="00ED450B" w:rsidRPr="00D13861" w:rsidRDefault="00ED450B" w:rsidP="00ED450B">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0AC1AE1B" w14:textId="77777777" w:rsidR="0011217F" w:rsidRDefault="0011217F"/>
    <w:sectPr w:rsidR="0011217F" w:rsidSect="000B16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976EC"/>
    <w:rsid w:val="000B1658"/>
    <w:rsid w:val="0011217F"/>
    <w:rsid w:val="00130581"/>
    <w:rsid w:val="001D1CA1"/>
    <w:rsid w:val="002416C3"/>
    <w:rsid w:val="00261ED3"/>
    <w:rsid w:val="002F43D2"/>
    <w:rsid w:val="003A43EB"/>
    <w:rsid w:val="004E0ED6"/>
    <w:rsid w:val="004E48FB"/>
    <w:rsid w:val="004E6ACA"/>
    <w:rsid w:val="005854BF"/>
    <w:rsid w:val="00630256"/>
    <w:rsid w:val="007033CE"/>
    <w:rsid w:val="007079B9"/>
    <w:rsid w:val="007C5A05"/>
    <w:rsid w:val="00A007D6"/>
    <w:rsid w:val="00BE0806"/>
    <w:rsid w:val="00C228A9"/>
    <w:rsid w:val="00C50CCB"/>
    <w:rsid w:val="00D47CF9"/>
    <w:rsid w:val="00DE3B80"/>
    <w:rsid w:val="00E220AA"/>
    <w:rsid w:val="00E63807"/>
    <w:rsid w:val="00EA6DC7"/>
    <w:rsid w:val="00ED450B"/>
    <w:rsid w:val="00F9753C"/>
    <w:rsid w:val="00FC3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2926</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Ligita Kančelskienė</cp:lastModifiedBy>
  <cp:revision>17</cp:revision>
  <dcterms:created xsi:type="dcterms:W3CDTF">2025-06-05T10:57:00Z</dcterms:created>
  <dcterms:modified xsi:type="dcterms:W3CDTF">2025-09-18T10:14:00Z</dcterms:modified>
</cp:coreProperties>
</file>