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widowControl w:val="0"/>
        <w:pBdr>
          <w:top w:val="nil"/>
          <w:left w:val="nil"/>
          <w:bottom w:val="nil"/>
          <w:right w:val="nil"/>
          <w:between w:val="nil"/>
        </w:pBdr>
        <w:tabs>
          <w:tab w:val="left" w:pos="567"/>
          <w:tab w:val="left" w:pos="851"/>
        </w:tabs>
        <w:jc w:val="center"/>
        <w:rPr>
          <w:b/>
          <w:caps/>
          <w:szCs w:val="24"/>
        </w:rPr>
      </w:pPr>
    </w:p>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0D1966">
            <w:pPr>
              <w:jc w:val="both"/>
              <w:rPr>
                <w:rFonts w:ascii="Cambria" w:hAnsi="Cambria"/>
                <w:kern w:val="2"/>
                <w:sz w:val="22"/>
                <w:szCs w:val="22"/>
              </w:rPr>
            </w:pPr>
            <w:r>
              <w:rPr>
                <w:rFonts w:ascii="Cambria" w:hAnsi="Cambria"/>
                <w:kern w:val="2"/>
                <w:sz w:val="22"/>
                <w:szCs w:val="22"/>
              </w:rPr>
              <w:t xml:space="preserve">Medikamentas </w:t>
            </w:r>
            <w:proofErr w:type="spellStart"/>
            <w:r w:rsidR="000D1966">
              <w:rPr>
                <w:rFonts w:ascii="Cambria" w:hAnsi="Cambria"/>
                <w:kern w:val="2"/>
                <w:sz w:val="22"/>
                <w:szCs w:val="22"/>
              </w:rPr>
              <w:t>Rufinamidas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792670">
              <w:rPr>
                <w:rFonts w:ascii="Cambria" w:hAnsi="Cambria"/>
                <w:kern w:val="2"/>
                <w:sz w:val="22"/>
                <w:szCs w:val="22"/>
              </w:rPr>
              <w:t xml:space="preserve">medikamentą </w:t>
            </w:r>
            <w:proofErr w:type="spellStart"/>
            <w:r w:rsidR="000D1966">
              <w:rPr>
                <w:rFonts w:ascii="Cambria" w:hAnsi="Cambria"/>
                <w:kern w:val="2"/>
                <w:sz w:val="22"/>
                <w:szCs w:val="22"/>
              </w:rPr>
              <w:t>Rufinamidas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792670" w:rsidP="000D1966">
            <w:pPr>
              <w:rPr>
                <w:rFonts w:ascii="Cambria" w:hAnsi="Cambria"/>
                <w:kern w:val="2"/>
                <w:sz w:val="22"/>
                <w:szCs w:val="22"/>
              </w:rPr>
            </w:pPr>
            <w:r>
              <w:rPr>
                <w:rFonts w:ascii="Cambria" w:hAnsi="Cambria"/>
                <w:kern w:val="2"/>
                <w:sz w:val="22"/>
                <w:szCs w:val="22"/>
              </w:rPr>
              <w:t xml:space="preserve">Medikamentas </w:t>
            </w:r>
            <w:proofErr w:type="spellStart"/>
            <w:r w:rsidR="000D1966">
              <w:rPr>
                <w:rFonts w:ascii="Cambria" w:hAnsi="Cambria"/>
                <w:kern w:val="2"/>
                <w:sz w:val="22"/>
                <w:szCs w:val="22"/>
              </w:rPr>
              <w:t>Rufinamidas</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0D1966">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0D1966" w:rsidRPr="000D1966">
              <w:rPr>
                <w:rFonts w:ascii="Cambria" w:hAnsi="Cambria"/>
                <w:b/>
                <w:kern w:val="2"/>
                <w:sz w:val="22"/>
                <w:szCs w:val="22"/>
              </w:rPr>
              <w:t>5</w:t>
            </w:r>
            <w:r w:rsidR="00742FD9">
              <w:rPr>
                <w:rFonts w:ascii="Cambria" w:hAnsi="Cambria"/>
                <w:b/>
                <w:kern w:val="2"/>
                <w:sz w:val="22"/>
                <w:szCs w:val="22"/>
              </w:rPr>
              <w:t xml:space="preserve"> (</w:t>
            </w:r>
            <w:r w:rsidR="000D1966">
              <w:rPr>
                <w:rFonts w:ascii="Cambria" w:hAnsi="Cambria"/>
                <w:b/>
                <w:kern w:val="2"/>
                <w:sz w:val="22"/>
                <w:szCs w:val="22"/>
              </w:rPr>
              <w:t>penkias)</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0D1966">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A17FE9"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0D1966">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0D1966">
              <w:rPr>
                <w:rFonts w:ascii="Cambria" w:hAnsi="Cambria"/>
                <w:color w:val="000000"/>
                <w:kern w:val="2"/>
                <w:sz w:val="22"/>
                <w:szCs w:val="22"/>
              </w:rPr>
              <w:t>7</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0D1966">
              <w:rPr>
                <w:rFonts w:ascii="Cambria" w:hAnsi="Cambria"/>
                <w:color w:val="000000"/>
                <w:kern w:val="2"/>
                <w:sz w:val="22"/>
                <w:szCs w:val="22"/>
              </w:rPr>
              <w:t>septyni</w:t>
            </w:r>
            <w:r w:rsidR="0021339F" w:rsidRPr="00A90257">
              <w:rPr>
                <w:rFonts w:ascii="Cambria" w:hAnsi="Cambria"/>
                <w:color w:val="000000"/>
                <w:kern w:val="2"/>
                <w:sz w:val="22"/>
                <w:szCs w:val="22"/>
              </w:rPr>
              <w:t xml:space="preserve">) </w:t>
            </w:r>
            <w:r w:rsidR="000D1966">
              <w:rPr>
                <w:rFonts w:ascii="Cambria" w:hAnsi="Cambria"/>
                <w:color w:val="000000"/>
                <w:kern w:val="2"/>
                <w:sz w:val="22"/>
                <w:szCs w:val="22"/>
              </w:rPr>
              <w:t>mėnesiai</w:t>
            </w:r>
            <w:r w:rsidR="00A342E4">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0D1966" w:rsidP="00FD303D">
            <w:pPr>
              <w:jc w:val="both"/>
              <w:rPr>
                <w:rFonts w:ascii="Cambria" w:hAnsi="Cambria"/>
                <w:kern w:val="2"/>
                <w:sz w:val="22"/>
                <w:szCs w:val="22"/>
              </w:rPr>
            </w:pPr>
            <w:r>
              <w:rPr>
                <w:rFonts w:ascii="Cambria" w:hAnsi="Cambria"/>
                <w:kern w:val="2"/>
                <w:sz w:val="22"/>
                <w:szCs w:val="22"/>
              </w:rPr>
              <w:t>Netaikoma</w:t>
            </w:r>
            <w:bookmarkStart w:id="0" w:name="_GoBack"/>
            <w:bookmarkEnd w:id="0"/>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FE9" w:rsidRDefault="00A17FE9">
      <w:r>
        <w:separator/>
      </w:r>
    </w:p>
  </w:endnote>
  <w:endnote w:type="continuationSeparator" w:id="0">
    <w:p w:rsidR="00A17FE9" w:rsidRDefault="00A1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FE9" w:rsidRDefault="00A17FE9">
      <w:r>
        <w:separator/>
      </w:r>
    </w:p>
  </w:footnote>
  <w:footnote w:type="continuationSeparator" w:id="0">
    <w:p w:rsidR="00A17FE9" w:rsidRDefault="00A17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B2EB2"/>
    <w:rsid w:val="000C5CF5"/>
    <w:rsid w:val="000D1966"/>
    <w:rsid w:val="000E42DA"/>
    <w:rsid w:val="000F6AB7"/>
    <w:rsid w:val="0012736B"/>
    <w:rsid w:val="00130F71"/>
    <w:rsid w:val="001E17C2"/>
    <w:rsid w:val="001E37D8"/>
    <w:rsid w:val="001F28B8"/>
    <w:rsid w:val="00211738"/>
    <w:rsid w:val="0021339F"/>
    <w:rsid w:val="002178C5"/>
    <w:rsid w:val="00286A57"/>
    <w:rsid w:val="002C07CC"/>
    <w:rsid w:val="002C4BE8"/>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D1D96"/>
    <w:rsid w:val="0063169D"/>
    <w:rsid w:val="00656E17"/>
    <w:rsid w:val="00672859"/>
    <w:rsid w:val="00672D7F"/>
    <w:rsid w:val="0069104D"/>
    <w:rsid w:val="006E4843"/>
    <w:rsid w:val="00742FD9"/>
    <w:rsid w:val="00746631"/>
    <w:rsid w:val="0075637B"/>
    <w:rsid w:val="00782C33"/>
    <w:rsid w:val="00784F5D"/>
    <w:rsid w:val="00792670"/>
    <w:rsid w:val="007A2AE3"/>
    <w:rsid w:val="007A2CD8"/>
    <w:rsid w:val="007B514F"/>
    <w:rsid w:val="007D5FB8"/>
    <w:rsid w:val="007F0D31"/>
    <w:rsid w:val="00866DEC"/>
    <w:rsid w:val="00897B45"/>
    <w:rsid w:val="008C09A7"/>
    <w:rsid w:val="00915729"/>
    <w:rsid w:val="00916B0A"/>
    <w:rsid w:val="00941C4B"/>
    <w:rsid w:val="00974D89"/>
    <w:rsid w:val="00987201"/>
    <w:rsid w:val="009A24CA"/>
    <w:rsid w:val="009A5118"/>
    <w:rsid w:val="009B1269"/>
    <w:rsid w:val="009C3008"/>
    <w:rsid w:val="009E4DA5"/>
    <w:rsid w:val="009F58C1"/>
    <w:rsid w:val="00A17FE9"/>
    <w:rsid w:val="00A22A78"/>
    <w:rsid w:val="00A26EFE"/>
    <w:rsid w:val="00A342E4"/>
    <w:rsid w:val="00A3609C"/>
    <w:rsid w:val="00A46534"/>
    <w:rsid w:val="00A539FF"/>
    <w:rsid w:val="00A55761"/>
    <w:rsid w:val="00A57A4D"/>
    <w:rsid w:val="00A90257"/>
    <w:rsid w:val="00AA3AB5"/>
    <w:rsid w:val="00B04B9D"/>
    <w:rsid w:val="00B62647"/>
    <w:rsid w:val="00C0628B"/>
    <w:rsid w:val="00C919CA"/>
    <w:rsid w:val="00C92815"/>
    <w:rsid w:val="00CB075D"/>
    <w:rsid w:val="00CC2C4A"/>
    <w:rsid w:val="00CF5F8E"/>
    <w:rsid w:val="00D036BB"/>
    <w:rsid w:val="00D41144"/>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3D"/>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885BA-2352-469A-9785-7F5D53B7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11438</Words>
  <Characters>6521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2025-09-23T10:01:00Z</dcterms:created>
  <dcterms:modified xsi:type="dcterms:W3CDTF">2025-09-23T10:04:00Z</dcterms:modified>
</cp:coreProperties>
</file>