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78E99842" w:rsidR="00B40422" w:rsidRPr="00B422F6" w:rsidRDefault="00EE17E2" w:rsidP="0024182A">
            <w:pPr>
              <w:jc w:val="center"/>
              <w:rPr>
                <w:b/>
                <w:kern w:val="2"/>
                <w:szCs w:val="24"/>
              </w:rPr>
            </w:pPr>
            <w:r w:rsidRPr="00B422F6">
              <w:rPr>
                <w:b/>
                <w:kern w:val="2"/>
                <w:szCs w:val="24"/>
              </w:rPr>
              <w:t>„</w:t>
            </w:r>
            <w:r w:rsidR="004D156D">
              <w:rPr>
                <w:b/>
                <w:kern w:val="2"/>
                <w:szCs w:val="24"/>
              </w:rPr>
              <w:t>SIUVIMO APARATAI IR KASETĖS</w:t>
            </w:r>
            <w:r w:rsidR="00B94F4A" w:rsidRPr="00B94F4A">
              <w:rPr>
                <w:b/>
                <w:kern w:val="2"/>
                <w:szCs w:val="24"/>
              </w:rPr>
              <w:t xml:space="preserve"> (NR. </w:t>
            </w:r>
            <w:r w:rsidR="004D156D">
              <w:rPr>
                <w:b/>
                <w:kern w:val="2"/>
                <w:szCs w:val="24"/>
              </w:rPr>
              <w:t>9859-1</w:t>
            </w:r>
            <w:r w:rsidR="00B94F4A">
              <w:rPr>
                <w:b/>
                <w:kern w:val="2"/>
                <w:szCs w:val="24"/>
              </w:rPr>
              <w:t>)</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166289B3" w14:textId="4732DFBC" w:rsidR="007D6FD5" w:rsidRPr="0040338C" w:rsidRDefault="007D6FD5" w:rsidP="007D6FD5">
            <w:pPr>
              <w:pStyle w:val="Body2"/>
              <w:rPr>
                <w:color w:val="auto"/>
                <w:sz w:val="24"/>
                <w:szCs w:val="24"/>
                <w:lang w:val="lt-LT"/>
              </w:rPr>
            </w:pPr>
            <w:r w:rsidRPr="006C0A46">
              <w:rPr>
                <w:color w:val="auto"/>
                <w:sz w:val="24"/>
                <w:szCs w:val="24"/>
                <w:lang w:val="lt-LT"/>
              </w:rPr>
              <w:t xml:space="preserve">3.1.1. </w:t>
            </w:r>
            <w:r w:rsidRPr="00B31184">
              <w:rPr>
                <w:color w:val="auto"/>
                <w:sz w:val="24"/>
                <w:szCs w:val="24"/>
                <w:lang w:val="lt-LT"/>
              </w:rPr>
              <w:t>Tiekėjas įsipareigoja Sutartyje numatytomis sąlygomis perduoti Pirkėjui prekes</w:t>
            </w:r>
            <w:r w:rsidR="00DC0E1A">
              <w:rPr>
                <w:color w:val="auto"/>
                <w:sz w:val="24"/>
                <w:szCs w:val="24"/>
                <w:lang w:val="lt-LT"/>
              </w:rPr>
              <w:t xml:space="preserve"> - </w:t>
            </w:r>
            <w:r w:rsidR="00DC0E1A" w:rsidRPr="00C226A0">
              <w:rPr>
                <w:rFonts w:cs="Times New Roman"/>
                <w:b/>
                <w:bCs/>
                <w:i/>
                <w:iCs/>
                <w:color w:val="auto"/>
                <w:sz w:val="24"/>
                <w:szCs w:val="24"/>
                <w:lang w:val="lt-LT"/>
              </w:rPr>
              <w:t xml:space="preserve">vienkartinius siuvimo aparatus </w:t>
            </w:r>
            <w:r w:rsidR="00DC0E1A">
              <w:rPr>
                <w:rFonts w:cs="Times New Roman"/>
                <w:b/>
                <w:bCs/>
                <w:i/>
                <w:iCs/>
                <w:color w:val="auto"/>
                <w:sz w:val="24"/>
                <w:szCs w:val="24"/>
                <w:lang w:val="lt-LT"/>
              </w:rPr>
              <w:t>ir kasetes</w:t>
            </w:r>
            <w:r w:rsidRPr="00B31184">
              <w:rPr>
                <w:color w:val="auto"/>
                <w:sz w:val="24"/>
                <w:szCs w:val="24"/>
                <w:lang w:val="lt-LT"/>
              </w:rPr>
              <w:t xml:space="preserve"> (toliau – prekės), nurodytas Sutarties priede Nr.1 „Techninė specifikacija ir pasiūlymo kaina“. </w:t>
            </w:r>
            <w:r w:rsidRPr="00741610">
              <w:rPr>
                <w:kern w:val="2"/>
                <w:sz w:val="24"/>
                <w:szCs w:val="24"/>
                <w:lang w:val="lt-LT"/>
              </w:rPr>
              <w:t xml:space="preserve">Išsamus </w:t>
            </w:r>
            <w:r>
              <w:rPr>
                <w:kern w:val="2"/>
                <w:sz w:val="24"/>
                <w:szCs w:val="24"/>
                <w:lang w:val="lt-LT"/>
              </w:rPr>
              <w:t>prekių</w:t>
            </w:r>
            <w:r w:rsidRPr="00741610">
              <w:rPr>
                <w:kern w:val="2"/>
                <w:sz w:val="24"/>
                <w:szCs w:val="24"/>
                <w:lang w:val="lt-LT"/>
              </w:rPr>
              <w:t xml:space="preserve"> aprašymas ir kiti </w:t>
            </w:r>
            <w:r w:rsidRPr="00741610">
              <w:rPr>
                <w:kern w:val="2"/>
                <w:sz w:val="24"/>
                <w:szCs w:val="24"/>
                <w:lang w:val="lt-LT"/>
              </w:rPr>
              <w:lastRenderedPageBreak/>
              <w:t xml:space="preserve">reikalavimai tiekiamoms </w:t>
            </w:r>
            <w:r>
              <w:rPr>
                <w:kern w:val="2"/>
                <w:sz w:val="24"/>
                <w:szCs w:val="24"/>
                <w:lang w:val="lt-LT"/>
              </w:rPr>
              <w:t>p</w:t>
            </w:r>
            <w:r w:rsidRPr="00741610">
              <w:rPr>
                <w:kern w:val="2"/>
                <w:sz w:val="24"/>
                <w:szCs w:val="24"/>
                <w:lang w:val="lt-LT"/>
              </w:rPr>
              <w:t xml:space="preserve">rekėms nustatyti </w:t>
            </w:r>
            <w:r w:rsidRPr="00B31184">
              <w:rPr>
                <w:color w:val="auto"/>
                <w:sz w:val="24"/>
                <w:szCs w:val="24"/>
                <w:lang w:val="lt-LT"/>
              </w:rPr>
              <w:t>Sutarties priede Nr.1 „Techninė specifikacija ir pasiūlymo kaina“</w:t>
            </w:r>
            <w:r>
              <w:rPr>
                <w:kern w:val="2"/>
                <w:sz w:val="24"/>
                <w:szCs w:val="24"/>
                <w:lang w:val="lt-LT"/>
              </w:rPr>
              <w:t>.</w:t>
            </w:r>
          </w:p>
          <w:p w14:paraId="46B2DEBA" w14:textId="3F7D2969" w:rsidR="003B1674" w:rsidRPr="003215BE" w:rsidRDefault="003B1674" w:rsidP="00365438">
            <w:pPr>
              <w:pStyle w:val="Body2"/>
              <w:rPr>
                <w:rFonts w:cs="Times New Roman"/>
                <w:kern w:val="2"/>
                <w:sz w:val="24"/>
                <w:szCs w:val="24"/>
                <w:lang w:val="lt-LT"/>
              </w:rPr>
            </w:pPr>
            <w:r>
              <w:rPr>
                <w:rFonts w:cs="Times New Roman"/>
                <w:kern w:val="2"/>
                <w:sz w:val="24"/>
                <w:szCs w:val="24"/>
                <w:lang w:val="lt-LT"/>
              </w:rPr>
              <w:t>3.1.</w:t>
            </w:r>
            <w:r w:rsidR="00D269FA">
              <w:rPr>
                <w:rFonts w:cs="Times New Roman"/>
                <w:kern w:val="2"/>
                <w:sz w:val="24"/>
                <w:szCs w:val="24"/>
                <w:lang w:val="lt-LT"/>
              </w:rPr>
              <w:t>2</w:t>
            </w:r>
            <w:r>
              <w:rPr>
                <w:rFonts w:cs="Times New Roman"/>
                <w:kern w:val="2"/>
                <w:sz w:val="24"/>
                <w:szCs w:val="24"/>
                <w:lang w:val="lt-LT"/>
              </w:rPr>
              <w:t xml:space="preserve">. </w:t>
            </w:r>
            <w:r w:rsidRPr="00051B2C">
              <w:rPr>
                <w:szCs w:val="24"/>
                <w:lang w:val="lt-LT"/>
              </w:rPr>
              <w:t>Prekių pagal Sutartį tiekimo terminas: 24 mėnesiai nuo Sutarties įsigaliojimo dienos, bet ne ilgiau nei Tiekėjas parduoda Pirkėjui prekių už Pradinę Sutarties vertę.</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3B9F98C8" w:rsidR="00B40422" w:rsidRPr="00DC0E1A" w:rsidRDefault="004D156D" w:rsidP="00257967">
            <w:pPr>
              <w:rPr>
                <w:b/>
                <w:bCs/>
                <w:color w:val="8EAADB" w:themeColor="accent1" w:themeTint="99"/>
                <w:kern w:val="2"/>
                <w:szCs w:val="24"/>
              </w:rPr>
            </w:pPr>
            <w:hyperlink r:id="rId11" w:history="1">
              <w:r w:rsidRPr="00DC0E1A">
                <w:rPr>
                  <w:b/>
                  <w:bCs/>
                </w:rPr>
                <w:t>Siuvimo aparatai ir kasetės</w:t>
              </w:r>
              <w:r w:rsidR="00EC5F3D" w:rsidRPr="00DC0E1A">
                <w:rPr>
                  <w:b/>
                  <w:bCs/>
                </w:rPr>
                <w:t xml:space="preserve"> (Nr. 9</w:t>
              </w:r>
              <w:r w:rsidRPr="00DC0E1A">
                <w:rPr>
                  <w:b/>
                  <w:bCs/>
                </w:rPr>
                <w:t>859-1</w:t>
              </w:r>
              <w:r w:rsidR="00EC5F3D" w:rsidRPr="00DC0E1A">
                <w:rPr>
                  <w:b/>
                  <w:bCs/>
                </w:rPr>
                <w:t>)</w:t>
              </w:r>
            </w:hyperlink>
            <w:r w:rsidR="00EC5F3D" w:rsidRPr="00DC0E1A">
              <w:rPr>
                <w:b/>
                <w:bCs/>
              </w:rPr>
              <w:t xml:space="preserve">, CVP IS ID </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01ECD09B" w14:textId="34F33628" w:rsidR="007E28E1" w:rsidRPr="00C0747D" w:rsidRDefault="007E28E1" w:rsidP="00705F89">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Pr>
                <w:b/>
                <w:kern w:val="2"/>
                <w:szCs w:val="24"/>
                <w:shd w:val="clear" w:color="auto" w:fill="FFFFFF" w:themeFill="background1"/>
              </w:rPr>
              <w:t>7</w:t>
            </w:r>
            <w:r w:rsidRPr="00B422F6">
              <w:rPr>
                <w:b/>
                <w:kern w:val="2"/>
                <w:szCs w:val="24"/>
                <w:shd w:val="clear" w:color="auto" w:fill="FFFFFF" w:themeFill="background1"/>
              </w:rPr>
              <w:t xml:space="preserve"> darbo dien</w:t>
            </w:r>
            <w:r>
              <w:rPr>
                <w:b/>
                <w:kern w:val="2"/>
                <w:szCs w:val="24"/>
                <w:shd w:val="clear" w:color="auto" w:fill="FFFFFF" w:themeFill="background1"/>
              </w:rPr>
              <w:t>as</w:t>
            </w:r>
            <w:r w:rsidRPr="00B422F6">
              <w:rPr>
                <w:b/>
                <w:kern w:val="2"/>
                <w:szCs w:val="24"/>
                <w:shd w:val="clear" w:color="auto" w:fill="FFFFFF" w:themeFill="background1"/>
              </w:rPr>
              <w:t xml:space="preserve"> nuo užsakymo pateikimo dienos šiuo adresu: Šiltnamių g.29,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7A8ABFBA" w14:textId="77777777" w:rsidR="003B3ADA" w:rsidRPr="007B2F2A" w:rsidRDefault="003B3ADA" w:rsidP="003B3ADA">
            <w:r w:rsidRPr="007B2F2A">
              <w:rPr>
                <w:kern w:val="2"/>
                <w:szCs w:val="24"/>
              </w:rPr>
              <w:t xml:space="preserve">4.4.1. Kiekvieno Prekių užsakymo vertė turi būti ne mažesnė kaip </w:t>
            </w:r>
            <w:r>
              <w:rPr>
                <w:kern w:val="2"/>
                <w:szCs w:val="24"/>
              </w:rPr>
              <w:t>150</w:t>
            </w:r>
            <w:r w:rsidRPr="007B2F2A">
              <w:rPr>
                <w:kern w:val="2"/>
                <w:szCs w:val="24"/>
              </w:rPr>
              <w:t xml:space="preserve"> (</w:t>
            </w:r>
            <w:r>
              <w:rPr>
                <w:kern w:val="2"/>
                <w:szCs w:val="24"/>
              </w:rPr>
              <w:t>vienas</w:t>
            </w:r>
            <w:r w:rsidRPr="007B2F2A">
              <w:rPr>
                <w:kern w:val="2"/>
                <w:szCs w:val="24"/>
              </w:rPr>
              <w:t xml:space="preserve"> šimta</w:t>
            </w:r>
            <w:r>
              <w:rPr>
                <w:kern w:val="2"/>
                <w:szCs w:val="24"/>
              </w:rPr>
              <w:t>s</w:t>
            </w:r>
            <w:r w:rsidRPr="007B2F2A">
              <w:rPr>
                <w:kern w:val="2"/>
                <w:szCs w:val="24"/>
              </w:rPr>
              <w:t xml:space="preserve"> penkiasdešimt) Eur be PVM, </w:t>
            </w:r>
            <w:r w:rsidRPr="007B2F2A">
              <w:t>išskyrus šiuos atvejus:</w:t>
            </w:r>
          </w:p>
          <w:p w14:paraId="37EA3B95" w14:textId="77777777" w:rsidR="003B3ADA" w:rsidRPr="007B2F2A" w:rsidRDefault="003B3ADA" w:rsidP="003B3ADA">
            <w:pPr>
              <w:rPr>
                <w:kern w:val="2"/>
                <w:szCs w:val="24"/>
              </w:rPr>
            </w:pPr>
            <w:r w:rsidRPr="007B2F2A">
              <w:t>4.4.1.1. kai atliekamas paskutinis užsakymas</w:t>
            </w:r>
            <w:r w:rsidRPr="007B2F2A">
              <w:rPr>
                <w:kern w:val="2"/>
                <w:szCs w:val="24"/>
              </w:rPr>
              <w:t>;</w:t>
            </w:r>
          </w:p>
          <w:p w14:paraId="69F861A2" w14:textId="2FFC8418" w:rsidR="007E28E1" w:rsidRPr="00B422F6" w:rsidRDefault="003B3ADA" w:rsidP="003B3ADA">
            <w:pPr>
              <w:rPr>
                <w:kern w:val="2"/>
                <w:szCs w:val="24"/>
              </w:rPr>
            </w:pPr>
            <w:r w:rsidRPr="007B2F2A">
              <w:rPr>
                <w:kern w:val="2"/>
                <w:szCs w:val="24"/>
              </w:rPr>
              <w:t xml:space="preserve">4.4.1.2. </w:t>
            </w:r>
            <w:r w:rsidRPr="007B2F2A">
              <w:t xml:space="preserve">kai dėl mažesnės nei </w:t>
            </w:r>
            <w:r>
              <w:t>150</w:t>
            </w:r>
            <w:r w:rsidRPr="007B2F2A">
              <w:t xml:space="preserve"> (</w:t>
            </w:r>
            <w:r>
              <w:t>vienas</w:t>
            </w:r>
            <w:r w:rsidRPr="007B2F2A">
              <w:t xml:space="preserve"> šimta</w:t>
            </w:r>
            <w:r>
              <w:t>s</w:t>
            </w:r>
            <w:r w:rsidRPr="007B2F2A">
              <w:t xml:space="preserve"> penkiasdešimt) be PVM užsakymo vertės Šalys susitaria abipusiu sutarimu.</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7CBB450E" w14:textId="77777777" w:rsidR="007E28E1" w:rsidRPr="00B31184" w:rsidRDefault="007E28E1" w:rsidP="007E28E1">
            <w:pPr>
              <w:jc w:val="both"/>
              <w:rPr>
                <w:kern w:val="2"/>
                <w:szCs w:val="24"/>
              </w:rPr>
            </w:pPr>
            <w:r w:rsidRPr="00B31184">
              <w:rPr>
                <w:kern w:val="2"/>
                <w:szCs w:val="24"/>
              </w:rPr>
              <w:t>4.5.1. Kartu su Prekėmis pateikiami šie dokumentai: Sąskaita arba kitas Prekių pristatymą patvirtinantis dokumentas. Tiekėjui nepateikus nurodytų dokumentų, laikoma, kad Prekės neatitinka Sutartyje nustatytų reikalavimų.</w:t>
            </w:r>
          </w:p>
          <w:p w14:paraId="3717EAC4" w14:textId="6A03C52B" w:rsidR="007E28E1" w:rsidRPr="00A95CE8" w:rsidRDefault="007E28E1" w:rsidP="00256749">
            <w:pPr>
              <w:pStyle w:val="NoSpacing"/>
              <w:jc w:val="both"/>
              <w:rPr>
                <w:kern w:val="2"/>
                <w:highlight w:val="yellow"/>
                <w:lang w:val="lt-LT"/>
              </w:rPr>
            </w:pPr>
            <w:r w:rsidRPr="00B31184">
              <w:rPr>
                <w:kern w:val="2"/>
                <w:lang w:val="lt-LT"/>
              </w:rPr>
              <w:t xml:space="preserve">4.5.2. Siekiant </w:t>
            </w:r>
            <w:r w:rsidRPr="00B31184">
              <w:rPr>
                <w:lang w:val="lt-LT"/>
              </w:rPr>
              <w:t xml:space="preserve">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w:t>
            </w:r>
            <w:r w:rsidRPr="00B31184">
              <w:rPr>
                <w:lang w:val="lt-LT"/>
              </w:rPr>
              <w:lastRenderedPageBreak/>
              <w:t>kriterijų ir Aplinkos apsaugos kriterijų, kuriuos perkančiosios organizacijos ir perkantieji subjektai turi taikyti pirkdami prekes, paslaugas ar darbus, taikymo tvarkos aprašo patvirtinimo“.</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lastRenderedPageBreak/>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3A16F2B2" w:rsidR="007E28E1" w:rsidRPr="00B422F6" w:rsidRDefault="007E28E1" w:rsidP="007E28E1">
            <w:pPr>
              <w:jc w:val="both"/>
              <w:rPr>
                <w:color w:val="FF0000"/>
                <w:kern w:val="2"/>
                <w:szCs w:val="24"/>
              </w:rPr>
            </w:pPr>
            <w:r w:rsidRPr="00604396">
              <w:rPr>
                <w:kern w:val="2"/>
                <w:szCs w:val="24"/>
              </w:rPr>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 xml:space="preserve">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lastRenderedPageBreak/>
              <w:t>5.3.3.2. Sutarties įkainis (-iai)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IPb / IPr</w:t>
            </w:r>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IPr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IPb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4764F38E" w:rsidR="007E28E1" w:rsidRPr="00C7607A" w:rsidRDefault="007E28E1" w:rsidP="007E28E1">
            <w:pPr>
              <w:tabs>
                <w:tab w:val="left" w:pos="709"/>
                <w:tab w:val="left" w:pos="1560"/>
                <w:tab w:val="left" w:pos="1701"/>
              </w:tabs>
              <w:autoSpaceDN w:val="0"/>
              <w:spacing w:after="40"/>
              <w:jc w:val="both"/>
              <w:rPr>
                <w:szCs w:val="24"/>
              </w:rPr>
            </w:pPr>
            <w:r w:rsidRPr="008B0C20">
              <w:rPr>
                <w:kern w:val="2"/>
                <w:szCs w:val="24"/>
              </w:rPr>
              <w:t xml:space="preserve">5.3.3.6. 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lastRenderedPageBreak/>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0D30AFF9" w14:textId="795DA5C8" w:rsidR="007E28E1" w:rsidRPr="00B422F6" w:rsidRDefault="007E28E1" w:rsidP="007E28E1">
            <w:pPr>
              <w:jc w:val="both"/>
              <w:rPr>
                <w:color w:val="000000"/>
                <w:kern w:val="2"/>
                <w:szCs w:val="24"/>
                <w:shd w:val="clear" w:color="auto" w:fill="FFFFFF"/>
              </w:rPr>
            </w:pPr>
            <w:r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77777777" w:rsidR="009C6594" w:rsidRDefault="009C6594" w:rsidP="009C6594">
            <w:pPr>
              <w:jc w:val="both"/>
              <w:rPr>
                <w:kern w:val="2"/>
                <w:szCs w:val="24"/>
              </w:rPr>
            </w:pPr>
            <w:r w:rsidRPr="00B422F6">
              <w:rPr>
                <w:kern w:val="2"/>
                <w:szCs w:val="24"/>
              </w:rPr>
              <w:t>6.2.1. Tiekėjas privalo pašalinti prekės trūkumus ne vėliau kaip per 5 darbo dienas nuo Pirkėjo pranešimo Prekes pakeisti kokybiškomis, atitinkančiomis šios Sutarties sąlygas Prekėmis.</w:t>
            </w:r>
          </w:p>
          <w:p w14:paraId="7756A61E" w14:textId="01AB6410"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256749">
              <w:rPr>
                <w:szCs w:val="24"/>
                <w:lang w:eastAsia="lt-LT"/>
                <w14:textOutline w14:w="0" w14:cap="flat" w14:cmpd="sng" w14:algn="ctr">
                  <w14:noFill/>
                  <w14:prstDash w14:val="solid"/>
                  <w14:bevel/>
                </w14:textOutline>
              </w:rPr>
              <w:t>2</w:t>
            </w:r>
            <w:r w:rsidRPr="00B422F6">
              <w:rPr>
                <w:szCs w:val="24"/>
                <w:lang w:eastAsia="lt-LT"/>
                <w14:textOutline w14:w="0" w14:cap="flat" w14:cmpd="sng" w14:algn="ctr">
                  <w14:noFill/>
                  <w14:prstDash w14:val="solid"/>
                  <w14:bevel/>
                </w14:textOutline>
              </w:rPr>
              <w:t xml:space="preserve">.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lastRenderedPageBreak/>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lastRenderedPageBreak/>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8BFDF80" w14:textId="77777777" w:rsidTr="00257967">
        <w:trPr>
          <w:trHeight w:val="300"/>
        </w:trPr>
        <w:tc>
          <w:tcPr>
            <w:tcW w:w="2704" w:type="dxa"/>
            <w:gridSpan w:val="2"/>
          </w:tcPr>
          <w:p w14:paraId="79273496" w14:textId="12E03D4D" w:rsidR="007E28E1" w:rsidRPr="00B422F6" w:rsidRDefault="007E28E1" w:rsidP="007E28E1">
            <w:pPr>
              <w:rPr>
                <w:b/>
                <w:bCs/>
                <w:kern w:val="2"/>
                <w:szCs w:val="24"/>
              </w:rPr>
            </w:pPr>
            <w:r>
              <w:rPr>
                <w:b/>
                <w:bCs/>
                <w:kern w:val="2"/>
                <w:szCs w:val="24"/>
              </w:rPr>
              <w:t>8</w:t>
            </w:r>
            <w:r w:rsidRPr="00365C27">
              <w:rPr>
                <w:b/>
                <w:bCs/>
                <w:kern w:val="2"/>
                <w:szCs w:val="24"/>
              </w:rPr>
              <w:t>.</w:t>
            </w:r>
            <w:r w:rsidR="00A95CE8">
              <w:rPr>
                <w:b/>
                <w:bCs/>
                <w:kern w:val="2"/>
                <w:szCs w:val="24"/>
              </w:rPr>
              <w:t>2</w:t>
            </w:r>
            <w:r w:rsidRPr="00365C27">
              <w:rPr>
                <w:b/>
                <w:bCs/>
                <w:kern w:val="2"/>
                <w:szCs w:val="24"/>
              </w:rPr>
              <w:t>.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2BE35B81" w:rsidR="007E28E1" w:rsidRPr="00F17024"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7E28E1" w:rsidRPr="00B422F6" w:rsidRDefault="007E28E1" w:rsidP="007E28E1">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w:t>
            </w:r>
            <w:r w:rsidRPr="00B422F6">
              <w:rPr>
                <w:b/>
                <w:bCs/>
                <w:kern w:val="2"/>
                <w:szCs w:val="24"/>
              </w:rPr>
              <w:lastRenderedPageBreak/>
              <w:t xml:space="preserve">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lastRenderedPageBreak/>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lastRenderedPageBreak/>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okybinių kriterijų nepasiekimo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lastRenderedPageBreak/>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023A387C"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 xml:space="preserve">Sutartis </w:t>
            </w:r>
            <w:r w:rsidRPr="00DC0E1A">
              <w:rPr>
                <w:b/>
                <w:bCs/>
                <w:kern w:val="2"/>
                <w:szCs w:val="24"/>
              </w:rPr>
              <w:t>galioja 25 mėnesius</w:t>
            </w:r>
            <w:r>
              <w:rPr>
                <w:kern w:val="2"/>
                <w:szCs w:val="24"/>
              </w:rPr>
              <w:t xml:space="preserve">, </w:t>
            </w:r>
            <w:r w:rsidRPr="00C81BBB">
              <w:rPr>
                <w:kern w:val="2"/>
                <w:szCs w:val="24"/>
              </w:rPr>
              <w:t>bet ne ilgiau nei bus išnaudota Pradinė Sutarties vertė, išskyrus Pardavėjo įsipareigojimus, susijusius su Prekių garantiniu aptarnavimu. Pardavėjo garantiniai įsipareigojimai galioja visą Prekių garantinį laikotarpį.</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77D3E7" w14:textId="26A2695B" w:rsidR="00310316" w:rsidRPr="00B422F6" w:rsidRDefault="00310316" w:rsidP="00310316">
            <w:pPr>
              <w:jc w:val="both"/>
              <w:rPr>
                <w:b/>
                <w:bCs/>
                <w:kern w:val="2"/>
                <w:szCs w:val="24"/>
              </w:rPr>
            </w:pP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sidRPr="00B422F6">
              <w:rPr>
                <w:kern w:val="2"/>
                <w:szCs w:val="24"/>
              </w:rPr>
              <w:t> </w:t>
            </w:r>
          </w:p>
          <w:p w14:paraId="0521DED8" w14:textId="3FB092EA" w:rsidR="00310316" w:rsidRDefault="00310316" w:rsidP="00310316">
            <w:pPr>
              <w:jc w:val="both"/>
              <w:rPr>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DC6A81E" w14:textId="647CD4E2" w:rsidR="00122C14" w:rsidRPr="00C045BA" w:rsidRDefault="00310316" w:rsidP="00310316">
            <w:pPr>
              <w:jc w:val="both"/>
              <w:rPr>
                <w:color w:val="000000"/>
                <w:kern w:val="2"/>
                <w:szCs w:val="24"/>
                <w:shd w:val="clear" w:color="auto" w:fill="FFFFFF"/>
              </w:rPr>
            </w:pP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lastRenderedPageBreak/>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0644EA26"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7400E017" w:rsidR="007E28E1" w:rsidRPr="00184452" w:rsidRDefault="007E28E1" w:rsidP="007E28E1">
            <w:pPr>
              <w:jc w:val="both"/>
              <w:rPr>
                <w:kern w:val="2"/>
                <w:szCs w:val="24"/>
              </w:rPr>
            </w:pPr>
            <w:r w:rsidRPr="00184452">
              <w:rPr>
                <w:kern w:val="2"/>
                <w:szCs w:val="24"/>
              </w:rPr>
              <w:t>14.6.1.1. Sutartyje nurodytos sąlygos dėl Sutarties galiojimo, Sutarties vertės, Sutarties nutraukimo,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626B99AF" w14:textId="77777777" w:rsidR="00C60F69" w:rsidRPr="00B422F6" w:rsidRDefault="00C60F69" w:rsidP="00C60F69">
            <w:pPr>
              <w:rPr>
                <w:kern w:val="2"/>
                <w:szCs w:val="24"/>
              </w:rPr>
            </w:pPr>
            <w:r w:rsidRPr="00B422F6">
              <w:rPr>
                <w:kern w:val="2"/>
                <w:szCs w:val="24"/>
              </w:rPr>
              <w:t>6.2.3.2. punktą;</w:t>
            </w:r>
          </w:p>
          <w:p w14:paraId="54F3BF91" w14:textId="77777777" w:rsidR="00C60F69" w:rsidRPr="00B422F6" w:rsidRDefault="00C60F69" w:rsidP="00C60F69">
            <w:pPr>
              <w:rPr>
                <w:kern w:val="2"/>
                <w:szCs w:val="24"/>
              </w:rPr>
            </w:pPr>
          </w:p>
          <w:p w14:paraId="2608F438" w14:textId="77777777" w:rsidR="00C60F69" w:rsidRPr="00B422F6" w:rsidRDefault="00C60F69" w:rsidP="00C60F69">
            <w:pPr>
              <w:rPr>
                <w:rFonts w:eastAsia="Arial"/>
                <w:szCs w:val="24"/>
              </w:rPr>
            </w:pPr>
            <w:r w:rsidRPr="00B422F6">
              <w:rPr>
                <w:rFonts w:eastAsia="Arial"/>
                <w:szCs w:val="24"/>
              </w:rPr>
              <w:t>6.2.6. punktą;</w:t>
            </w:r>
          </w:p>
          <w:p w14:paraId="408DDA51" w14:textId="77777777" w:rsidR="00C60F69" w:rsidRPr="00B422F6" w:rsidRDefault="00C60F69" w:rsidP="00C60F69">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lastRenderedPageBreak/>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05007947" w:rsidR="00CC135E" w:rsidRPr="00D70014" w:rsidRDefault="00F958E9" w:rsidP="00291DBD">
      <w:pPr>
        <w:pStyle w:val="Body2"/>
        <w:pBdr>
          <w:top w:val="none" w:sz="0" w:space="0" w:color="auto"/>
          <w:left w:val="none" w:sz="0" w:space="0" w:color="auto"/>
          <w:bottom w:val="none" w:sz="0" w:space="0" w:color="auto"/>
          <w:right w:val="none" w:sz="0" w:space="0" w:color="auto"/>
        </w:pBdr>
        <w:jc w:val="right"/>
        <w:rPr>
          <w:szCs w:val="24"/>
          <w:lang w:val="lt-LT"/>
        </w:rPr>
      </w:pPr>
      <w:r w:rsidRPr="00051B2C">
        <w:rPr>
          <w:szCs w:val="24"/>
          <w:lang w:val="lt-LT"/>
        </w:rPr>
        <w:t>Techninė specifikacija ir pasiūlymo kaina</w:t>
      </w:r>
      <w:r w:rsidR="00CC010D" w:rsidRPr="00051B2C">
        <w:rPr>
          <w:szCs w:val="24"/>
          <w:lang w:val="lt-LT"/>
        </w:rPr>
        <w:br w:type="page"/>
      </w:r>
    </w:p>
    <w:p w14:paraId="3106C832" w14:textId="77777777" w:rsidR="00CC010D" w:rsidRDefault="00CC010D" w:rsidP="00F958E9">
      <w:pPr>
        <w:jc w:val="cente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lastRenderedPageBreak/>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DF583E" w14:textId="77777777" w:rsidR="00C67C63" w:rsidRDefault="00C67C63" w:rsidP="00C67C63">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lastRenderedPageBreak/>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lastRenderedPageBreak/>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lastRenderedPageBreak/>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5ACA" w14:textId="77777777" w:rsidR="00240017" w:rsidRDefault="00240017">
      <w:r>
        <w:separator/>
      </w:r>
    </w:p>
  </w:endnote>
  <w:endnote w:type="continuationSeparator" w:id="0">
    <w:p w14:paraId="157B75FC" w14:textId="77777777" w:rsidR="00240017" w:rsidRDefault="0024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4556" w14:textId="77777777" w:rsidR="00240017" w:rsidRDefault="00240017">
      <w:r>
        <w:separator/>
      </w:r>
    </w:p>
  </w:footnote>
  <w:footnote w:type="continuationSeparator" w:id="0">
    <w:p w14:paraId="56819578" w14:textId="77777777" w:rsidR="00240017" w:rsidRDefault="0024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06CA"/>
    <w:rsid w:val="00122C14"/>
    <w:rsid w:val="00122CEA"/>
    <w:rsid w:val="00130E94"/>
    <w:rsid w:val="001330CC"/>
    <w:rsid w:val="00141B13"/>
    <w:rsid w:val="00143BFB"/>
    <w:rsid w:val="00144479"/>
    <w:rsid w:val="001534AA"/>
    <w:rsid w:val="001566C1"/>
    <w:rsid w:val="001574ED"/>
    <w:rsid w:val="00157EB3"/>
    <w:rsid w:val="00164297"/>
    <w:rsid w:val="00170DC4"/>
    <w:rsid w:val="00171FB0"/>
    <w:rsid w:val="00176F9D"/>
    <w:rsid w:val="00180764"/>
    <w:rsid w:val="0018191F"/>
    <w:rsid w:val="00184452"/>
    <w:rsid w:val="00191FE9"/>
    <w:rsid w:val="00195C50"/>
    <w:rsid w:val="001A0B2C"/>
    <w:rsid w:val="001A5D87"/>
    <w:rsid w:val="001B4A7D"/>
    <w:rsid w:val="001C0A13"/>
    <w:rsid w:val="001C0C5E"/>
    <w:rsid w:val="001C3300"/>
    <w:rsid w:val="001C72A3"/>
    <w:rsid w:val="001D011D"/>
    <w:rsid w:val="001D7923"/>
    <w:rsid w:val="001E4572"/>
    <w:rsid w:val="001F0B3F"/>
    <w:rsid w:val="00202DFC"/>
    <w:rsid w:val="00204894"/>
    <w:rsid w:val="00212823"/>
    <w:rsid w:val="00215D6C"/>
    <w:rsid w:val="002269B5"/>
    <w:rsid w:val="002270C9"/>
    <w:rsid w:val="002310C2"/>
    <w:rsid w:val="00233A90"/>
    <w:rsid w:val="00240017"/>
    <w:rsid w:val="0024182A"/>
    <w:rsid w:val="00247C58"/>
    <w:rsid w:val="00250BCA"/>
    <w:rsid w:val="002514A8"/>
    <w:rsid w:val="0025380A"/>
    <w:rsid w:val="00255047"/>
    <w:rsid w:val="00256749"/>
    <w:rsid w:val="00257967"/>
    <w:rsid w:val="00262820"/>
    <w:rsid w:val="00262C14"/>
    <w:rsid w:val="0026383F"/>
    <w:rsid w:val="0027301F"/>
    <w:rsid w:val="002731A1"/>
    <w:rsid w:val="00275236"/>
    <w:rsid w:val="002776FC"/>
    <w:rsid w:val="0028380B"/>
    <w:rsid w:val="00287377"/>
    <w:rsid w:val="002875FA"/>
    <w:rsid w:val="00291DBD"/>
    <w:rsid w:val="002A6016"/>
    <w:rsid w:val="002B362D"/>
    <w:rsid w:val="002C0D50"/>
    <w:rsid w:val="002D4395"/>
    <w:rsid w:val="002E0A4A"/>
    <w:rsid w:val="002E107F"/>
    <w:rsid w:val="002E1F49"/>
    <w:rsid w:val="002E5007"/>
    <w:rsid w:val="002F63F7"/>
    <w:rsid w:val="002F766A"/>
    <w:rsid w:val="00303337"/>
    <w:rsid w:val="00310316"/>
    <w:rsid w:val="00314CFF"/>
    <w:rsid w:val="0032012C"/>
    <w:rsid w:val="003215BE"/>
    <w:rsid w:val="00344047"/>
    <w:rsid w:val="00365438"/>
    <w:rsid w:val="00365C27"/>
    <w:rsid w:val="003742CE"/>
    <w:rsid w:val="00377484"/>
    <w:rsid w:val="003875EA"/>
    <w:rsid w:val="003928AE"/>
    <w:rsid w:val="003969E1"/>
    <w:rsid w:val="00396C50"/>
    <w:rsid w:val="003A1FA7"/>
    <w:rsid w:val="003B1674"/>
    <w:rsid w:val="003B3ADA"/>
    <w:rsid w:val="003B5030"/>
    <w:rsid w:val="003C3043"/>
    <w:rsid w:val="003C35B2"/>
    <w:rsid w:val="003D0298"/>
    <w:rsid w:val="003E0F79"/>
    <w:rsid w:val="003E3D32"/>
    <w:rsid w:val="003E45F7"/>
    <w:rsid w:val="003E660F"/>
    <w:rsid w:val="003F1F3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A1789"/>
    <w:rsid w:val="004A2832"/>
    <w:rsid w:val="004B0CC9"/>
    <w:rsid w:val="004B0CD6"/>
    <w:rsid w:val="004C112A"/>
    <w:rsid w:val="004C1948"/>
    <w:rsid w:val="004C7783"/>
    <w:rsid w:val="004D156D"/>
    <w:rsid w:val="004E065E"/>
    <w:rsid w:val="004E2050"/>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B7AC1"/>
    <w:rsid w:val="005D13F4"/>
    <w:rsid w:val="005E224D"/>
    <w:rsid w:val="006003F7"/>
    <w:rsid w:val="006013FD"/>
    <w:rsid w:val="0060301A"/>
    <w:rsid w:val="00604396"/>
    <w:rsid w:val="006064F8"/>
    <w:rsid w:val="00610049"/>
    <w:rsid w:val="00611E76"/>
    <w:rsid w:val="00630631"/>
    <w:rsid w:val="0063101E"/>
    <w:rsid w:val="0064523D"/>
    <w:rsid w:val="00654A2A"/>
    <w:rsid w:val="00655FD6"/>
    <w:rsid w:val="00663ED1"/>
    <w:rsid w:val="00671FD2"/>
    <w:rsid w:val="006755F1"/>
    <w:rsid w:val="00676257"/>
    <w:rsid w:val="00687886"/>
    <w:rsid w:val="006B0675"/>
    <w:rsid w:val="006B0974"/>
    <w:rsid w:val="006B68B6"/>
    <w:rsid w:val="006C0648"/>
    <w:rsid w:val="006C58D4"/>
    <w:rsid w:val="006D0666"/>
    <w:rsid w:val="006E2AF4"/>
    <w:rsid w:val="006E3AE2"/>
    <w:rsid w:val="006F1428"/>
    <w:rsid w:val="006F1B1F"/>
    <w:rsid w:val="006F2788"/>
    <w:rsid w:val="006F4ED1"/>
    <w:rsid w:val="006F4FD6"/>
    <w:rsid w:val="006F727F"/>
    <w:rsid w:val="00705F89"/>
    <w:rsid w:val="00706BD7"/>
    <w:rsid w:val="007079F2"/>
    <w:rsid w:val="007100E9"/>
    <w:rsid w:val="00721F57"/>
    <w:rsid w:val="007278C4"/>
    <w:rsid w:val="00740221"/>
    <w:rsid w:val="00740C43"/>
    <w:rsid w:val="00744A77"/>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D6FD5"/>
    <w:rsid w:val="007E28E1"/>
    <w:rsid w:val="007E30D8"/>
    <w:rsid w:val="007E4A42"/>
    <w:rsid w:val="007E765F"/>
    <w:rsid w:val="00804427"/>
    <w:rsid w:val="00807957"/>
    <w:rsid w:val="00807B84"/>
    <w:rsid w:val="00810CE6"/>
    <w:rsid w:val="008129F7"/>
    <w:rsid w:val="008204AA"/>
    <w:rsid w:val="00820A40"/>
    <w:rsid w:val="00821C01"/>
    <w:rsid w:val="00827CBD"/>
    <w:rsid w:val="008316C1"/>
    <w:rsid w:val="00831E66"/>
    <w:rsid w:val="00836DB8"/>
    <w:rsid w:val="008423E4"/>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B2328"/>
    <w:rsid w:val="008D0F7F"/>
    <w:rsid w:val="008D1866"/>
    <w:rsid w:val="008E0299"/>
    <w:rsid w:val="008F04BC"/>
    <w:rsid w:val="008F2D91"/>
    <w:rsid w:val="008F7CD0"/>
    <w:rsid w:val="009209B1"/>
    <w:rsid w:val="00925C69"/>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6CED"/>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42AAF"/>
    <w:rsid w:val="00A45D97"/>
    <w:rsid w:val="00A53D20"/>
    <w:rsid w:val="00A5609A"/>
    <w:rsid w:val="00A565BF"/>
    <w:rsid w:val="00A6668D"/>
    <w:rsid w:val="00A724E5"/>
    <w:rsid w:val="00A7588F"/>
    <w:rsid w:val="00A809DC"/>
    <w:rsid w:val="00A8271C"/>
    <w:rsid w:val="00A943D9"/>
    <w:rsid w:val="00A95CE8"/>
    <w:rsid w:val="00AA2914"/>
    <w:rsid w:val="00AB7803"/>
    <w:rsid w:val="00AC4FCC"/>
    <w:rsid w:val="00AC69D4"/>
    <w:rsid w:val="00AE1102"/>
    <w:rsid w:val="00AF5792"/>
    <w:rsid w:val="00AF79AF"/>
    <w:rsid w:val="00B04F5B"/>
    <w:rsid w:val="00B0745D"/>
    <w:rsid w:val="00B150F9"/>
    <w:rsid w:val="00B158E3"/>
    <w:rsid w:val="00B24A9C"/>
    <w:rsid w:val="00B378A3"/>
    <w:rsid w:val="00B40422"/>
    <w:rsid w:val="00B422C1"/>
    <w:rsid w:val="00B422F6"/>
    <w:rsid w:val="00B552ED"/>
    <w:rsid w:val="00B65A70"/>
    <w:rsid w:val="00B66815"/>
    <w:rsid w:val="00B717E2"/>
    <w:rsid w:val="00B74ED7"/>
    <w:rsid w:val="00B86C48"/>
    <w:rsid w:val="00B94F4A"/>
    <w:rsid w:val="00BA5A77"/>
    <w:rsid w:val="00BB4540"/>
    <w:rsid w:val="00BB59DF"/>
    <w:rsid w:val="00BC333E"/>
    <w:rsid w:val="00BC38B0"/>
    <w:rsid w:val="00BD2D8D"/>
    <w:rsid w:val="00BD4115"/>
    <w:rsid w:val="00BD492E"/>
    <w:rsid w:val="00BF4F93"/>
    <w:rsid w:val="00BF71C0"/>
    <w:rsid w:val="00C028E1"/>
    <w:rsid w:val="00C045BA"/>
    <w:rsid w:val="00C0747D"/>
    <w:rsid w:val="00C114BA"/>
    <w:rsid w:val="00C302CD"/>
    <w:rsid w:val="00C33531"/>
    <w:rsid w:val="00C411BF"/>
    <w:rsid w:val="00C456FA"/>
    <w:rsid w:val="00C46BEA"/>
    <w:rsid w:val="00C51589"/>
    <w:rsid w:val="00C60E52"/>
    <w:rsid w:val="00C60F69"/>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D074CD"/>
    <w:rsid w:val="00D11AE5"/>
    <w:rsid w:val="00D17B6A"/>
    <w:rsid w:val="00D269FA"/>
    <w:rsid w:val="00D37D6A"/>
    <w:rsid w:val="00D40F6D"/>
    <w:rsid w:val="00D42F9D"/>
    <w:rsid w:val="00D43907"/>
    <w:rsid w:val="00D4489C"/>
    <w:rsid w:val="00D50E2A"/>
    <w:rsid w:val="00D53BE3"/>
    <w:rsid w:val="00D5648C"/>
    <w:rsid w:val="00D57FEC"/>
    <w:rsid w:val="00D60E0C"/>
    <w:rsid w:val="00D64702"/>
    <w:rsid w:val="00D65156"/>
    <w:rsid w:val="00D6645D"/>
    <w:rsid w:val="00D70014"/>
    <w:rsid w:val="00D77284"/>
    <w:rsid w:val="00D83B8F"/>
    <w:rsid w:val="00D90825"/>
    <w:rsid w:val="00D94658"/>
    <w:rsid w:val="00DA226E"/>
    <w:rsid w:val="00DB16CD"/>
    <w:rsid w:val="00DB5CF6"/>
    <w:rsid w:val="00DC0E1A"/>
    <w:rsid w:val="00DC62A1"/>
    <w:rsid w:val="00DD6A99"/>
    <w:rsid w:val="00DE5707"/>
    <w:rsid w:val="00DF74D7"/>
    <w:rsid w:val="00E032DF"/>
    <w:rsid w:val="00E151B5"/>
    <w:rsid w:val="00E400A7"/>
    <w:rsid w:val="00E412E4"/>
    <w:rsid w:val="00E42042"/>
    <w:rsid w:val="00E46D0A"/>
    <w:rsid w:val="00E52197"/>
    <w:rsid w:val="00E60125"/>
    <w:rsid w:val="00E72192"/>
    <w:rsid w:val="00E73818"/>
    <w:rsid w:val="00E74F70"/>
    <w:rsid w:val="00E9231D"/>
    <w:rsid w:val="00EA2CC7"/>
    <w:rsid w:val="00EA7750"/>
    <w:rsid w:val="00EB2CB9"/>
    <w:rsid w:val="00EB62B0"/>
    <w:rsid w:val="00EC3D0A"/>
    <w:rsid w:val="00EC5F3D"/>
    <w:rsid w:val="00EE17E2"/>
    <w:rsid w:val="00EF055A"/>
    <w:rsid w:val="00EF2BB5"/>
    <w:rsid w:val="00EF3C8B"/>
    <w:rsid w:val="00EF4CFE"/>
    <w:rsid w:val="00EF58C9"/>
    <w:rsid w:val="00F02DEB"/>
    <w:rsid w:val="00F079B9"/>
    <w:rsid w:val="00F10495"/>
    <w:rsid w:val="00F16CE5"/>
    <w:rsid w:val="00F17024"/>
    <w:rsid w:val="00F23EC9"/>
    <w:rsid w:val="00F3367A"/>
    <w:rsid w:val="00F33687"/>
    <w:rsid w:val="00F34207"/>
    <w:rsid w:val="00F41446"/>
    <w:rsid w:val="00F435F4"/>
    <w:rsid w:val="00F444FD"/>
    <w:rsid w:val="00F46F92"/>
    <w:rsid w:val="00F474E0"/>
    <w:rsid w:val="00F51B83"/>
    <w:rsid w:val="00F5557C"/>
    <w:rsid w:val="00F56633"/>
    <w:rsid w:val="00F61DE4"/>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 w:type="paragraph" w:styleId="ListParagraph">
    <w:name w:val="List Paragraph"/>
    <w:basedOn w:val="Normal"/>
    <w:rsid w:val="005B7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401870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35</Pages>
  <Words>66952</Words>
  <Characters>38163</Characters>
  <Application>Microsoft Office Word</Application>
  <DocSecurity>0</DocSecurity>
  <Lines>318</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Aurelija Jokimčienė</cp:lastModifiedBy>
  <cp:revision>15</cp:revision>
  <cp:lastPrinted>2024-03-12T12:16:00Z</cp:lastPrinted>
  <dcterms:created xsi:type="dcterms:W3CDTF">2025-09-18T08:35:00Z</dcterms:created>
  <dcterms:modified xsi:type="dcterms:W3CDTF">2025-09-25T04:10:00Z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