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6E46" w14:textId="77777777" w:rsidR="009E7E5F" w:rsidRDefault="009E7E5F" w:rsidP="009E7E5F">
      <w:pPr>
        <w:jc w:val="center"/>
        <w:rPr>
          <w:sz w:val="24"/>
        </w:rPr>
      </w:pP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9E7E5F" w14:paraId="3F0881F2" w14:textId="77777777" w:rsidTr="00D74ABA">
        <w:tc>
          <w:tcPr>
            <w:tcW w:w="9350" w:type="dxa"/>
          </w:tcPr>
          <w:p w14:paraId="6FD0628C" w14:textId="77777777" w:rsidR="009E7E5F" w:rsidRPr="009E7E5F" w:rsidRDefault="009E7E5F" w:rsidP="009E7E5F">
            <w:pPr>
              <w:pStyle w:val="Antrat1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9E7E5F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VIEŠOJI ĮSTAIGA PLUNGĖS LIGONINĖ</w:t>
            </w:r>
          </w:p>
          <w:p w14:paraId="28617D16" w14:textId="77777777" w:rsidR="009E7E5F" w:rsidRPr="00EF5317" w:rsidRDefault="009E7E5F" w:rsidP="00D74ABA">
            <w:pPr>
              <w:rPr>
                <w:lang w:val="en-US"/>
              </w:rPr>
            </w:pPr>
          </w:p>
        </w:tc>
      </w:tr>
      <w:tr w:rsidR="009E7E5F" w:rsidRPr="0036412F" w14:paraId="7AE9FB3D" w14:textId="77777777" w:rsidTr="00D74ABA">
        <w:trPr>
          <w:cantSplit/>
        </w:trPr>
        <w:tc>
          <w:tcPr>
            <w:tcW w:w="9350" w:type="dxa"/>
          </w:tcPr>
          <w:p w14:paraId="446DE94B" w14:textId="77777777" w:rsidR="009E7E5F" w:rsidRPr="009E7E5F" w:rsidRDefault="009E7E5F" w:rsidP="00D74ABA">
            <w:pPr>
              <w:jc w:val="center"/>
              <w:rPr>
                <w:sz w:val="18"/>
                <w:szCs w:val="18"/>
              </w:rPr>
            </w:pPr>
            <w:proofErr w:type="spellStart"/>
            <w:r w:rsidRPr="009E7E5F">
              <w:rPr>
                <w:sz w:val="18"/>
                <w:szCs w:val="18"/>
              </w:rPr>
              <w:t>Viešoji</w:t>
            </w:r>
            <w:proofErr w:type="spellEnd"/>
            <w:r w:rsidRPr="009E7E5F">
              <w:rPr>
                <w:sz w:val="18"/>
                <w:szCs w:val="18"/>
              </w:rPr>
              <w:t xml:space="preserve"> </w:t>
            </w:r>
            <w:proofErr w:type="spellStart"/>
            <w:r w:rsidRPr="009E7E5F">
              <w:rPr>
                <w:sz w:val="18"/>
                <w:szCs w:val="18"/>
              </w:rPr>
              <w:t>įstaiga</w:t>
            </w:r>
            <w:proofErr w:type="spellEnd"/>
            <w:r w:rsidRPr="009E7E5F">
              <w:rPr>
                <w:sz w:val="18"/>
                <w:szCs w:val="18"/>
              </w:rPr>
              <w:t>, J. Tumo-</w:t>
            </w:r>
            <w:proofErr w:type="spellStart"/>
            <w:r w:rsidRPr="009E7E5F">
              <w:rPr>
                <w:sz w:val="18"/>
                <w:szCs w:val="18"/>
              </w:rPr>
              <w:t>Vaižganto</w:t>
            </w:r>
            <w:proofErr w:type="spellEnd"/>
            <w:r w:rsidRPr="009E7E5F">
              <w:rPr>
                <w:sz w:val="18"/>
                <w:szCs w:val="18"/>
              </w:rPr>
              <w:t xml:space="preserve"> g. 89, LT-90160 </w:t>
            </w:r>
            <w:proofErr w:type="spellStart"/>
            <w:r w:rsidRPr="009E7E5F">
              <w:rPr>
                <w:sz w:val="18"/>
                <w:szCs w:val="18"/>
              </w:rPr>
              <w:t>Plungė</w:t>
            </w:r>
            <w:proofErr w:type="spellEnd"/>
            <w:r w:rsidRPr="009E7E5F">
              <w:rPr>
                <w:sz w:val="18"/>
                <w:szCs w:val="18"/>
              </w:rPr>
              <w:t>,</w:t>
            </w:r>
          </w:p>
          <w:p w14:paraId="479BCDEB" w14:textId="77777777" w:rsidR="009E7E5F" w:rsidRPr="009E7E5F" w:rsidRDefault="009E7E5F" w:rsidP="00D74ABA">
            <w:pPr>
              <w:jc w:val="center"/>
              <w:rPr>
                <w:sz w:val="18"/>
                <w:szCs w:val="18"/>
                <w:lang w:val="lt-LT"/>
              </w:rPr>
            </w:pPr>
            <w:r w:rsidRPr="009E7E5F">
              <w:rPr>
                <w:sz w:val="18"/>
                <w:szCs w:val="18"/>
              </w:rPr>
              <w:t xml:space="preserve"> tel. (370 448) 73260, </w:t>
            </w:r>
            <w:proofErr w:type="spellStart"/>
            <w:r w:rsidRPr="009E7E5F">
              <w:rPr>
                <w:sz w:val="18"/>
                <w:szCs w:val="18"/>
              </w:rPr>
              <w:t>faks</w:t>
            </w:r>
            <w:proofErr w:type="spellEnd"/>
            <w:r w:rsidRPr="009E7E5F">
              <w:rPr>
                <w:sz w:val="18"/>
                <w:szCs w:val="18"/>
              </w:rPr>
              <w:t xml:space="preserve">. </w:t>
            </w:r>
            <w:smartTag w:uri="schemas-tilde-lv/tildestengine" w:element="phone">
              <w:smartTagPr>
                <w:attr w:name="phone_number" w:val="73273"/>
                <w:attr w:name="phone_prefix" w:val="(8 448)"/>
              </w:smartTagPr>
              <w:r w:rsidRPr="009E7E5F">
                <w:rPr>
                  <w:sz w:val="18"/>
                  <w:szCs w:val="18"/>
                </w:rPr>
                <w:t>(8 448) 73273</w:t>
              </w:r>
            </w:smartTag>
            <w:r w:rsidRPr="009E7E5F">
              <w:rPr>
                <w:sz w:val="18"/>
                <w:szCs w:val="18"/>
              </w:rPr>
              <w:t xml:space="preserve">, el. p. </w:t>
            </w:r>
            <w:hyperlink r:id="rId6" w:history="1">
              <w:r w:rsidRPr="009E7E5F">
                <w:rPr>
                  <w:rStyle w:val="Hipersaitas"/>
                  <w:rFonts w:eastAsiaTheme="majorEastAsia"/>
                  <w:sz w:val="18"/>
                  <w:szCs w:val="18"/>
                </w:rPr>
                <w:t>sekretore</w:t>
              </w:r>
              <w:r w:rsidRPr="009E7E5F">
                <w:rPr>
                  <w:rStyle w:val="Hipersaitas"/>
                  <w:rFonts w:eastAsiaTheme="majorEastAsia"/>
                  <w:sz w:val="18"/>
                  <w:szCs w:val="18"/>
                  <w:lang w:val="en-US"/>
                </w:rPr>
                <w:t>@</w:t>
              </w:r>
              <w:r w:rsidRPr="009E7E5F">
                <w:rPr>
                  <w:rStyle w:val="Hipersaitas"/>
                  <w:rFonts w:eastAsiaTheme="majorEastAsia"/>
                  <w:sz w:val="18"/>
                  <w:szCs w:val="18"/>
                  <w:lang w:val="lt-LT"/>
                </w:rPr>
                <w:t>plungesligonine.lt</w:t>
              </w:r>
            </w:hyperlink>
          </w:p>
          <w:p w14:paraId="3F378AE3" w14:textId="77777777" w:rsidR="009E7E5F" w:rsidRPr="009E7E5F" w:rsidRDefault="009E7E5F" w:rsidP="00D74ABA">
            <w:pPr>
              <w:jc w:val="center"/>
              <w:rPr>
                <w:sz w:val="18"/>
                <w:szCs w:val="18"/>
                <w:lang w:val="lt-LT"/>
              </w:rPr>
            </w:pPr>
            <w:r w:rsidRPr="009E7E5F">
              <w:rPr>
                <w:sz w:val="18"/>
                <w:szCs w:val="18"/>
                <w:lang w:val="lt-LT"/>
              </w:rPr>
              <w:t xml:space="preserve">duomenys kaupiami ir saugomi Juridinių asmenų registre, kodas </w:t>
            </w:r>
            <w:smartTag w:uri="schemas-tilde-lv/tildestengine" w:element="phone">
              <w:smartTagPr>
                <w:attr w:name="phone_number" w:val="91135578 "/>
                <w:attr w:name="phone_prefix" w:val="1"/>
              </w:smartTagPr>
              <w:r w:rsidRPr="009E7E5F">
                <w:rPr>
                  <w:sz w:val="18"/>
                  <w:szCs w:val="18"/>
                  <w:lang w:val="lt-LT"/>
                </w:rPr>
                <w:t xml:space="preserve">191135578 </w:t>
              </w:r>
            </w:smartTag>
          </w:p>
          <w:p w14:paraId="50D7EA20" w14:textId="77777777" w:rsidR="009E7E5F" w:rsidRPr="00EF5317" w:rsidRDefault="009E7E5F" w:rsidP="00D74ABA">
            <w:pPr>
              <w:jc w:val="center"/>
              <w:rPr>
                <w:lang w:val="lt-LT"/>
              </w:rPr>
            </w:pPr>
            <w:r w:rsidRPr="00EF5317">
              <w:rPr>
                <w:lang w:val="lt-LT"/>
              </w:rPr>
              <w:t xml:space="preserve">___________________________________________________________________________________________              </w:t>
            </w:r>
          </w:p>
          <w:tbl>
            <w:tblPr>
              <w:tblW w:w="9148" w:type="dxa"/>
              <w:tblLayout w:type="fixed"/>
              <w:tblLook w:val="01E0" w:firstRow="1" w:lastRow="1" w:firstColumn="1" w:lastColumn="1" w:noHBand="0" w:noVBand="0"/>
            </w:tblPr>
            <w:tblGrid>
              <w:gridCol w:w="5812"/>
              <w:gridCol w:w="1418"/>
              <w:gridCol w:w="567"/>
              <w:gridCol w:w="1351"/>
            </w:tblGrid>
            <w:tr w:rsidR="009E7E5F" w:rsidRPr="0055751D" w14:paraId="225428E9" w14:textId="77777777" w:rsidTr="00D74ABA">
              <w:tc>
                <w:tcPr>
                  <w:tcW w:w="5812" w:type="dxa"/>
                </w:tcPr>
                <w:p w14:paraId="063DA84B" w14:textId="77777777" w:rsidR="009E7E5F" w:rsidRPr="0055751D" w:rsidRDefault="009E7E5F" w:rsidP="00D74ABA">
                  <w:pPr>
                    <w:rPr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418" w:type="dxa"/>
                </w:tcPr>
                <w:p w14:paraId="066DF07C" w14:textId="77777777" w:rsidR="009E7E5F" w:rsidRPr="0055751D" w:rsidRDefault="009E7E5F" w:rsidP="00D74AB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7" w:type="dxa"/>
                </w:tcPr>
                <w:p w14:paraId="42AF711B" w14:textId="77777777" w:rsidR="009E7E5F" w:rsidRPr="0055751D" w:rsidRDefault="009E7E5F" w:rsidP="00D74ABA">
                  <w:pPr>
                    <w:jc w:val="right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351" w:type="dxa"/>
                </w:tcPr>
                <w:p w14:paraId="5F92EB27" w14:textId="77777777" w:rsidR="009E7E5F" w:rsidRPr="0055751D" w:rsidRDefault="009E7E5F" w:rsidP="00D74ABA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E7E5F" w:rsidRPr="0055751D" w14:paraId="2A796AE2" w14:textId="77777777" w:rsidTr="00D74ABA">
              <w:tc>
                <w:tcPr>
                  <w:tcW w:w="5812" w:type="dxa"/>
                </w:tcPr>
                <w:p w14:paraId="11B24226" w14:textId="77777777" w:rsidR="009E7E5F" w:rsidRPr="0055751D" w:rsidRDefault="009E7E5F" w:rsidP="00D74ABA">
                  <w:pPr>
                    <w:jc w:val="right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418" w:type="dxa"/>
                </w:tcPr>
                <w:p w14:paraId="7EA05490" w14:textId="77777777" w:rsidR="009E7E5F" w:rsidRPr="0055751D" w:rsidRDefault="009E7E5F" w:rsidP="00D74ABA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7" w:type="dxa"/>
                </w:tcPr>
                <w:p w14:paraId="67D91152" w14:textId="77777777" w:rsidR="009E7E5F" w:rsidRPr="0055751D" w:rsidRDefault="009E7E5F" w:rsidP="00D74ABA">
                  <w:pPr>
                    <w:jc w:val="right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351" w:type="dxa"/>
                </w:tcPr>
                <w:p w14:paraId="0D7A5E1E" w14:textId="77777777" w:rsidR="009E7E5F" w:rsidRPr="0055751D" w:rsidRDefault="009E7E5F" w:rsidP="00D74ABA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F062C9B" w14:textId="77777777" w:rsidR="009E7E5F" w:rsidRPr="00EF5317" w:rsidRDefault="009E7E5F" w:rsidP="00D74ABA">
            <w:pPr>
              <w:jc w:val="right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7D58578E" w14:textId="0CEEB14A" w:rsidR="009E7E5F" w:rsidRPr="00BF1E36" w:rsidRDefault="009E7E5F" w:rsidP="009E7E5F">
      <w:pPr>
        <w:rPr>
          <w:sz w:val="24"/>
          <w:szCs w:val="24"/>
        </w:rPr>
      </w:pPr>
      <w:proofErr w:type="spellStart"/>
      <w:r w:rsidRPr="00BF1E36">
        <w:rPr>
          <w:sz w:val="24"/>
          <w:szCs w:val="24"/>
        </w:rPr>
        <w:t>Konkurso</w:t>
      </w:r>
      <w:proofErr w:type="spellEnd"/>
      <w:r w:rsidRPr="00BF1E36">
        <w:rPr>
          <w:sz w:val="24"/>
          <w:szCs w:val="24"/>
        </w:rPr>
        <w:t xml:space="preserve"> </w:t>
      </w:r>
      <w:proofErr w:type="spellStart"/>
      <w:r w:rsidRPr="00BF1E36">
        <w:rPr>
          <w:sz w:val="24"/>
          <w:szCs w:val="24"/>
        </w:rPr>
        <w:t>dalyviams</w:t>
      </w:r>
      <w:proofErr w:type="spellEnd"/>
      <w:r w:rsidRPr="00BF1E36">
        <w:rPr>
          <w:sz w:val="24"/>
          <w:szCs w:val="24"/>
        </w:rPr>
        <w:tab/>
      </w:r>
      <w:r w:rsidRPr="00BF1E36">
        <w:rPr>
          <w:sz w:val="24"/>
          <w:szCs w:val="24"/>
        </w:rPr>
        <w:tab/>
      </w:r>
      <w:r w:rsidRPr="00BF1E36">
        <w:rPr>
          <w:sz w:val="24"/>
          <w:szCs w:val="24"/>
        </w:rPr>
        <w:tab/>
        <w:t xml:space="preserve">                                           2025-0</w:t>
      </w:r>
      <w:r>
        <w:rPr>
          <w:sz w:val="24"/>
          <w:szCs w:val="24"/>
        </w:rPr>
        <w:t>9</w:t>
      </w:r>
      <w:r w:rsidRPr="00BF1E36">
        <w:rPr>
          <w:sz w:val="24"/>
          <w:szCs w:val="24"/>
        </w:rPr>
        <w:t>-</w:t>
      </w:r>
      <w:r w:rsidR="00984529">
        <w:rPr>
          <w:sz w:val="24"/>
          <w:szCs w:val="24"/>
        </w:rPr>
        <w:t>25</w:t>
      </w:r>
    </w:p>
    <w:p w14:paraId="4123E14A" w14:textId="36FAC277" w:rsidR="009E7E5F" w:rsidRPr="00984529" w:rsidRDefault="00984529" w:rsidP="009E7E5F">
      <w:pPr>
        <w:rPr>
          <w:i/>
          <w:iCs/>
          <w:sz w:val="24"/>
          <w:szCs w:val="24"/>
        </w:rPr>
      </w:pPr>
      <w:proofErr w:type="spellStart"/>
      <w:r w:rsidRPr="00984529">
        <w:rPr>
          <w:i/>
          <w:iCs/>
          <w:sz w:val="24"/>
          <w:szCs w:val="24"/>
        </w:rPr>
        <w:t>Teikiama</w:t>
      </w:r>
      <w:proofErr w:type="spellEnd"/>
      <w:r w:rsidRPr="00984529">
        <w:rPr>
          <w:i/>
          <w:iCs/>
          <w:sz w:val="24"/>
          <w:szCs w:val="24"/>
        </w:rPr>
        <w:t xml:space="preserve"> CVP IS </w:t>
      </w:r>
      <w:proofErr w:type="spellStart"/>
      <w:r w:rsidRPr="00984529">
        <w:rPr>
          <w:i/>
          <w:iCs/>
          <w:sz w:val="24"/>
          <w:szCs w:val="24"/>
        </w:rPr>
        <w:t>priemonėmis</w:t>
      </w:r>
      <w:proofErr w:type="spellEnd"/>
    </w:p>
    <w:p w14:paraId="1886B3B8" w14:textId="77777777" w:rsidR="009E7E5F" w:rsidRPr="00BF1E36" w:rsidRDefault="009E7E5F" w:rsidP="009E7E5F">
      <w:pPr>
        <w:rPr>
          <w:sz w:val="24"/>
          <w:szCs w:val="24"/>
        </w:rPr>
      </w:pPr>
    </w:p>
    <w:p w14:paraId="02A95989" w14:textId="77777777" w:rsidR="009E7E5F" w:rsidRPr="00BF1E36" w:rsidRDefault="009E7E5F" w:rsidP="009E7E5F">
      <w:pPr>
        <w:pStyle w:val="Pagrindinistekstas"/>
        <w:rPr>
          <w:b/>
          <w:szCs w:val="24"/>
        </w:rPr>
      </w:pPr>
    </w:p>
    <w:p w14:paraId="35DC9F62" w14:textId="0ABECD6C" w:rsidR="009E7E5F" w:rsidRPr="00BF1E36" w:rsidRDefault="009E7E5F" w:rsidP="009E7E5F">
      <w:pPr>
        <w:pStyle w:val="Pagrindinistekstas"/>
        <w:rPr>
          <w:b/>
          <w:bCs/>
          <w:szCs w:val="24"/>
        </w:rPr>
      </w:pPr>
      <w:r w:rsidRPr="00BF1E36">
        <w:rPr>
          <w:b/>
          <w:bCs/>
          <w:szCs w:val="24"/>
        </w:rPr>
        <w:t>DĖL</w:t>
      </w:r>
      <w:r w:rsidR="005E079A">
        <w:rPr>
          <w:b/>
          <w:bCs/>
          <w:szCs w:val="24"/>
        </w:rPr>
        <w:t xml:space="preserve"> </w:t>
      </w:r>
      <w:r w:rsidRPr="00BF1E36">
        <w:rPr>
          <w:b/>
          <w:bCs/>
          <w:szCs w:val="24"/>
        </w:rPr>
        <w:t xml:space="preserve">ATSAKYMO Į </w:t>
      </w:r>
      <w:r w:rsidR="00984529">
        <w:rPr>
          <w:b/>
          <w:bCs/>
          <w:szCs w:val="24"/>
        </w:rPr>
        <w:t>PRAŠYMĄ</w:t>
      </w:r>
    </w:p>
    <w:p w14:paraId="6BDB386F" w14:textId="77777777" w:rsidR="009E7E5F" w:rsidRPr="00BF1E36" w:rsidRDefault="009E7E5F" w:rsidP="009E7E5F">
      <w:pPr>
        <w:rPr>
          <w:bCs/>
          <w:sz w:val="24"/>
          <w:szCs w:val="24"/>
        </w:rPr>
      </w:pPr>
    </w:p>
    <w:p w14:paraId="5410F641" w14:textId="77777777" w:rsidR="009E7E5F" w:rsidRPr="00BF1E36" w:rsidRDefault="009E7E5F" w:rsidP="009E7E5F">
      <w:pPr>
        <w:rPr>
          <w:bCs/>
          <w:sz w:val="24"/>
          <w:szCs w:val="24"/>
        </w:rPr>
      </w:pPr>
    </w:p>
    <w:p w14:paraId="29C4063D" w14:textId="77777777" w:rsidR="009E7E5F" w:rsidRPr="00BF1E36" w:rsidRDefault="009E7E5F" w:rsidP="009E7E5F">
      <w:pPr>
        <w:ind w:firstLine="567"/>
        <w:jc w:val="both"/>
        <w:rPr>
          <w:sz w:val="24"/>
          <w:szCs w:val="24"/>
          <w:lang w:val="lt-LT"/>
        </w:rPr>
      </w:pPr>
    </w:p>
    <w:p w14:paraId="603017D8" w14:textId="169E1575" w:rsidR="009E7E5F" w:rsidRPr="00BF1E36" w:rsidRDefault="009E7E5F" w:rsidP="009E7E5F">
      <w:pPr>
        <w:tabs>
          <w:tab w:val="left" w:pos="567"/>
          <w:tab w:val="left" w:pos="709"/>
          <w:tab w:val="left" w:pos="1134"/>
          <w:tab w:val="left" w:pos="1560"/>
        </w:tabs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BF1E36">
        <w:rPr>
          <w:sz w:val="24"/>
          <w:szCs w:val="24"/>
          <w:lang w:val="lt-LT"/>
        </w:rPr>
        <w:t>Viešoji įstaiga Plungės ligoninė</w:t>
      </w:r>
      <w:r>
        <w:rPr>
          <w:sz w:val="24"/>
          <w:szCs w:val="24"/>
          <w:lang w:val="lt-LT"/>
        </w:rPr>
        <w:t xml:space="preserve"> (toliau – Ligoninė)</w:t>
      </w:r>
      <w:r w:rsidRPr="00BF1E36">
        <w:rPr>
          <w:sz w:val="24"/>
          <w:szCs w:val="24"/>
          <w:lang w:val="lt-LT"/>
        </w:rPr>
        <w:t xml:space="preserve"> </w:t>
      </w:r>
      <w:bookmarkStart w:id="0" w:name="_Hlk194942092"/>
      <w:r w:rsidRPr="00BF1E36">
        <w:rPr>
          <w:sz w:val="24"/>
          <w:szCs w:val="24"/>
          <w:lang w:val="lt-LT"/>
        </w:rPr>
        <w:t xml:space="preserve">vykdydama atvirą konkursą vienkartinėms priemonėms pirkti (pirkimo Nr. </w:t>
      </w:r>
      <w:r w:rsidRPr="009E7E5F">
        <w:rPr>
          <w:sz w:val="24"/>
          <w:szCs w:val="24"/>
        </w:rPr>
        <w:t>4402539</w:t>
      </w:r>
      <w:r w:rsidRPr="00BF1E36">
        <w:rPr>
          <w:sz w:val="24"/>
          <w:szCs w:val="24"/>
        </w:rPr>
        <w:t xml:space="preserve">), </w:t>
      </w:r>
      <w:proofErr w:type="spellStart"/>
      <w:r w:rsidRPr="00BF1E36">
        <w:rPr>
          <w:sz w:val="24"/>
          <w:szCs w:val="24"/>
        </w:rPr>
        <w:t>gavo</w:t>
      </w:r>
      <w:proofErr w:type="spellEnd"/>
      <w:r w:rsidRPr="00BF1E36">
        <w:rPr>
          <w:sz w:val="24"/>
          <w:szCs w:val="24"/>
        </w:rPr>
        <w:t xml:space="preserve"> </w:t>
      </w:r>
      <w:proofErr w:type="spellStart"/>
      <w:r w:rsidRPr="00BF1E36">
        <w:rPr>
          <w:sz w:val="24"/>
          <w:szCs w:val="24"/>
        </w:rPr>
        <w:t>tiekėjo</w:t>
      </w:r>
      <w:proofErr w:type="spellEnd"/>
      <w:r w:rsidRPr="00BF1E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prašymą</w:t>
      </w:r>
      <w:proofErr w:type="spellEnd"/>
      <w:r w:rsidRPr="00BF1E36">
        <w:rPr>
          <w:sz w:val="24"/>
          <w:szCs w:val="24"/>
        </w:rPr>
        <w:t>.</w:t>
      </w:r>
    </w:p>
    <w:p w14:paraId="300F9076" w14:textId="77777777" w:rsidR="009E7E5F" w:rsidRPr="00BF1E36" w:rsidRDefault="009E7E5F" w:rsidP="009E7E5F">
      <w:pPr>
        <w:tabs>
          <w:tab w:val="left" w:pos="567"/>
          <w:tab w:val="left" w:pos="709"/>
          <w:tab w:val="left" w:pos="1134"/>
          <w:tab w:val="left" w:pos="1560"/>
        </w:tabs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</w:p>
    <w:p w14:paraId="6025D449" w14:textId="77777777" w:rsidR="009E7E5F" w:rsidRPr="00BF1E36" w:rsidRDefault="009E7E5F" w:rsidP="009E7E5F">
      <w:pPr>
        <w:tabs>
          <w:tab w:val="left" w:pos="567"/>
          <w:tab w:val="left" w:pos="709"/>
          <w:tab w:val="left" w:pos="1134"/>
          <w:tab w:val="left" w:pos="1560"/>
        </w:tabs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</w:p>
    <w:bookmarkEnd w:id="0"/>
    <w:p w14:paraId="264DD10F" w14:textId="3EA089DD" w:rsidR="009E7E5F" w:rsidRPr="00BF1E36" w:rsidRDefault="009E7E5F" w:rsidP="009E7E5F">
      <w:pPr>
        <w:tabs>
          <w:tab w:val="left" w:pos="567"/>
          <w:tab w:val="left" w:pos="709"/>
          <w:tab w:val="left" w:pos="1134"/>
          <w:tab w:val="left" w:pos="1560"/>
        </w:tabs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BF1E36">
        <w:rPr>
          <w:color w:val="000000" w:themeColor="text1"/>
          <w:sz w:val="24"/>
          <w:szCs w:val="24"/>
        </w:rPr>
        <w:t>Tiekėjo</w:t>
      </w:r>
      <w:proofErr w:type="spellEnd"/>
      <w:r w:rsidRPr="00BF1E36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prašymas</w:t>
      </w:r>
      <w:proofErr w:type="spellEnd"/>
      <w:r w:rsidRPr="00BF1E36">
        <w:rPr>
          <w:color w:val="000000" w:themeColor="text1"/>
          <w:sz w:val="24"/>
          <w:szCs w:val="24"/>
        </w:rPr>
        <w:t xml:space="preserve"> (</w:t>
      </w:r>
      <w:proofErr w:type="spellStart"/>
      <w:r w:rsidRPr="00BF1E36">
        <w:rPr>
          <w:color w:val="000000" w:themeColor="text1"/>
          <w:sz w:val="24"/>
          <w:szCs w:val="24"/>
        </w:rPr>
        <w:t>tekstas</w:t>
      </w:r>
      <w:proofErr w:type="spellEnd"/>
      <w:r w:rsidRPr="00BF1E36">
        <w:rPr>
          <w:color w:val="000000" w:themeColor="text1"/>
          <w:sz w:val="24"/>
          <w:szCs w:val="24"/>
        </w:rPr>
        <w:t xml:space="preserve"> </w:t>
      </w:r>
      <w:proofErr w:type="spellStart"/>
      <w:r w:rsidRPr="00BF1E36">
        <w:rPr>
          <w:color w:val="000000" w:themeColor="text1"/>
          <w:sz w:val="24"/>
          <w:szCs w:val="24"/>
        </w:rPr>
        <w:t>nekoreguotas</w:t>
      </w:r>
      <w:proofErr w:type="spellEnd"/>
      <w:r w:rsidRPr="00BF1E36">
        <w:rPr>
          <w:color w:val="000000" w:themeColor="text1"/>
          <w:sz w:val="24"/>
          <w:szCs w:val="24"/>
        </w:rPr>
        <w:t>):</w:t>
      </w:r>
    </w:p>
    <w:p w14:paraId="3B46F0E1" w14:textId="77777777" w:rsidR="009E7E5F" w:rsidRPr="009E7E5F" w:rsidRDefault="009E7E5F" w:rsidP="009E7E5F">
      <w:pPr>
        <w:ind w:firstLine="567"/>
        <w:jc w:val="both"/>
        <w:rPr>
          <w:i/>
          <w:iCs/>
          <w:sz w:val="24"/>
          <w:szCs w:val="24"/>
          <w:lang w:val="lt-LT"/>
        </w:rPr>
      </w:pPr>
      <w:r w:rsidRPr="009E7E5F">
        <w:rPr>
          <w:i/>
          <w:iCs/>
          <w:sz w:val="24"/>
          <w:szCs w:val="24"/>
          <w:lang w:val="lt-LT"/>
        </w:rPr>
        <w:t>Norime atkreipti perkančiosios organizacijos dėmesį į tai, kad reikalavimai 26-oje pirkimo dalyje yra netipiniai lyginant su kitų Lietuvos medicinos įstaigų naudojamais patalynės komplektais, todėl reikalaujamų parametrų komplektai kainuotų ženkliai brangiau (~30% brangiau) dėl itin aukšto reikalavimo medžiagos tankiui ir didesnių matmenų antklodės užvalkalams ir pagalvės užvalkalams.</w:t>
      </w:r>
    </w:p>
    <w:p w14:paraId="2B93B49E" w14:textId="77777777" w:rsidR="009E7E5F" w:rsidRPr="009E7E5F" w:rsidRDefault="009E7E5F" w:rsidP="009E7E5F">
      <w:pPr>
        <w:jc w:val="both"/>
        <w:rPr>
          <w:i/>
          <w:iCs/>
          <w:sz w:val="24"/>
          <w:szCs w:val="24"/>
          <w:lang w:val="lt-LT"/>
        </w:rPr>
      </w:pPr>
      <w:r w:rsidRPr="009E7E5F">
        <w:rPr>
          <w:i/>
          <w:iCs/>
          <w:sz w:val="24"/>
          <w:szCs w:val="24"/>
          <w:lang w:val="lt-LT"/>
        </w:rPr>
        <w:t>Rinkoje plačiausiai naudojami 25 g/m</w:t>
      </w:r>
      <w:r w:rsidRPr="009E7E5F">
        <w:rPr>
          <w:rFonts w:cstheme="minorHAnsi"/>
          <w:i/>
          <w:iCs/>
          <w:sz w:val="24"/>
          <w:szCs w:val="24"/>
          <w:lang w:val="lt-LT"/>
        </w:rPr>
        <w:t>²</w:t>
      </w:r>
      <w:r w:rsidRPr="009E7E5F">
        <w:rPr>
          <w:i/>
          <w:iCs/>
          <w:sz w:val="24"/>
          <w:szCs w:val="24"/>
          <w:lang w:val="lt-LT"/>
        </w:rPr>
        <w:t xml:space="preserve"> tankio neaustinės medžiagos patalynės komplektai. Tokio tankio medžiaga užtikrina tvirtumą ir gerą oro pralaidumą priemonėms, todėl neskatina prakaitavimo ir pakankamai gerai atstumia skysčius.</w:t>
      </w:r>
    </w:p>
    <w:p w14:paraId="5C84D2CF" w14:textId="77777777" w:rsidR="009E7E5F" w:rsidRPr="009E7E5F" w:rsidRDefault="009E7E5F" w:rsidP="009E7E5F">
      <w:pPr>
        <w:jc w:val="both"/>
        <w:rPr>
          <w:i/>
          <w:iCs/>
          <w:sz w:val="24"/>
          <w:szCs w:val="24"/>
          <w:lang w:val="lt-LT"/>
        </w:rPr>
      </w:pPr>
      <w:r w:rsidRPr="009E7E5F">
        <w:rPr>
          <w:i/>
          <w:iCs/>
          <w:sz w:val="24"/>
          <w:szCs w:val="24"/>
          <w:lang w:val="lt-LT"/>
        </w:rPr>
        <w:t>Prašome koreguoti reikalavimus: „storis ne mažiau kaip 25g/m2“, „antklodės užvalkalo dydis 145- 165 cm x 205 - 215 cm“, „pagalvės užvalkalo dydis 70-75 cm x 75-85 cm“</w:t>
      </w:r>
    </w:p>
    <w:p w14:paraId="3B796AB2" w14:textId="77777777" w:rsidR="009E7E5F" w:rsidRDefault="009E7E5F" w:rsidP="009E7E5F">
      <w:pPr>
        <w:pStyle w:val="FreeFor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3BFF1517" w14:textId="2FD5AD51" w:rsidR="009E7E5F" w:rsidRDefault="009E7E5F" w:rsidP="009E7E5F">
      <w:pPr>
        <w:pStyle w:val="FreeFor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BF1E3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Atsakymas: </w:t>
      </w:r>
    </w:p>
    <w:p w14:paraId="49A9F747" w14:textId="33F49965" w:rsidR="009E7E5F" w:rsidRPr="00F0199F" w:rsidRDefault="009E7E5F" w:rsidP="009E7E5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Techninės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specifikacijos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reikalavimo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medžiagos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tankiui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nekeisime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reikalingas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ypač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tvirtas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ypatingai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gerai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apsaugant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Ligoninės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minkštą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inventorių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</w:t>
      </w:r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atalynės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komplekt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ui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reikalavimas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dėl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dydžio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taip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pat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nebus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keičiamas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dalis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Ligoninės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minkštojo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inventoriaus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yra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nestandartinio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dydžio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ir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norint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išvengti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patalynės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plyšimo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ją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užvelkant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pasirinktas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atitinkamas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patalynės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dydžio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kriterijus</w:t>
      </w:r>
      <w:proofErr w:type="spellEnd"/>
      <w:r w:rsidRPr="00F019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81D6413" w14:textId="77777777" w:rsidR="009E7E5F" w:rsidRDefault="009E7E5F" w:rsidP="009E7E5F">
      <w:pPr>
        <w:pStyle w:val="FreeFor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A5A12F6" w14:textId="77777777" w:rsidR="009E7E5F" w:rsidRPr="00BF1E36" w:rsidRDefault="009E7E5F" w:rsidP="009E7E5F">
      <w:pPr>
        <w:pStyle w:val="FreeForm"/>
        <w:jc w:val="both"/>
        <w:rPr>
          <w:bCs/>
          <w:sz w:val="24"/>
          <w:szCs w:val="24"/>
        </w:rPr>
      </w:pPr>
    </w:p>
    <w:p w14:paraId="43D8F8CF" w14:textId="77777777" w:rsidR="009E7E5F" w:rsidRPr="00BF1E36" w:rsidRDefault="009E7E5F" w:rsidP="009E7E5F">
      <w:pPr>
        <w:rPr>
          <w:bCs/>
          <w:sz w:val="24"/>
          <w:szCs w:val="24"/>
        </w:rPr>
      </w:pPr>
    </w:p>
    <w:p w14:paraId="7A237D01" w14:textId="77777777" w:rsidR="009E7E5F" w:rsidRPr="00BF1E36" w:rsidRDefault="009E7E5F" w:rsidP="009E7E5F">
      <w:pPr>
        <w:rPr>
          <w:bCs/>
          <w:sz w:val="24"/>
          <w:szCs w:val="24"/>
        </w:rPr>
      </w:pPr>
      <w:proofErr w:type="spellStart"/>
      <w:r w:rsidRPr="00BF1E36">
        <w:rPr>
          <w:bCs/>
          <w:sz w:val="24"/>
          <w:szCs w:val="24"/>
        </w:rPr>
        <w:t>Viešojo</w:t>
      </w:r>
      <w:proofErr w:type="spellEnd"/>
      <w:r w:rsidRPr="00BF1E36">
        <w:rPr>
          <w:bCs/>
          <w:sz w:val="24"/>
          <w:szCs w:val="24"/>
        </w:rPr>
        <w:t xml:space="preserve"> </w:t>
      </w:r>
      <w:proofErr w:type="spellStart"/>
      <w:r w:rsidRPr="00BF1E36">
        <w:rPr>
          <w:bCs/>
          <w:sz w:val="24"/>
          <w:szCs w:val="24"/>
        </w:rPr>
        <w:t>pirkimo</w:t>
      </w:r>
      <w:proofErr w:type="spellEnd"/>
      <w:r w:rsidRPr="00BF1E36">
        <w:rPr>
          <w:bCs/>
          <w:sz w:val="24"/>
          <w:szCs w:val="24"/>
        </w:rPr>
        <w:t xml:space="preserve"> </w:t>
      </w:r>
      <w:proofErr w:type="spellStart"/>
      <w:r w:rsidRPr="00BF1E36">
        <w:rPr>
          <w:bCs/>
          <w:sz w:val="24"/>
          <w:szCs w:val="24"/>
        </w:rPr>
        <w:t>komisija</w:t>
      </w:r>
      <w:proofErr w:type="spellEnd"/>
    </w:p>
    <w:p w14:paraId="3E7F78CA" w14:textId="77777777" w:rsidR="009E7E5F" w:rsidRPr="00BF1E36" w:rsidRDefault="009E7E5F" w:rsidP="009E7E5F">
      <w:pPr>
        <w:rPr>
          <w:bCs/>
          <w:sz w:val="24"/>
          <w:szCs w:val="24"/>
        </w:rPr>
      </w:pPr>
    </w:p>
    <w:p w14:paraId="3B49A6BD" w14:textId="77777777" w:rsidR="009E7E5F" w:rsidRPr="00BF1E36" w:rsidRDefault="009E7E5F" w:rsidP="009E7E5F">
      <w:pPr>
        <w:jc w:val="both"/>
        <w:rPr>
          <w:sz w:val="24"/>
          <w:szCs w:val="24"/>
          <w:lang w:val="lt-LT"/>
        </w:rPr>
      </w:pPr>
    </w:p>
    <w:p w14:paraId="138E73D5" w14:textId="77777777" w:rsidR="009E7E5F" w:rsidRPr="00BF1E36" w:rsidRDefault="009E7E5F" w:rsidP="009E7E5F">
      <w:pPr>
        <w:rPr>
          <w:sz w:val="24"/>
          <w:szCs w:val="24"/>
        </w:rPr>
      </w:pPr>
    </w:p>
    <w:p w14:paraId="5AFE7DAE" w14:textId="77777777" w:rsidR="009E7E5F" w:rsidRPr="00BF1E36" w:rsidRDefault="009E7E5F" w:rsidP="009E7E5F">
      <w:pPr>
        <w:rPr>
          <w:sz w:val="24"/>
          <w:szCs w:val="24"/>
        </w:rPr>
      </w:pPr>
    </w:p>
    <w:p w14:paraId="70286B1A" w14:textId="77777777" w:rsidR="009E7E5F" w:rsidRPr="00BF1E36" w:rsidRDefault="009E7E5F" w:rsidP="009E7E5F">
      <w:pPr>
        <w:rPr>
          <w:sz w:val="24"/>
          <w:szCs w:val="24"/>
        </w:rPr>
      </w:pPr>
    </w:p>
    <w:p w14:paraId="62566D02" w14:textId="77777777" w:rsidR="00A84533" w:rsidRDefault="00A84533"/>
    <w:sectPr w:rsidR="00A84533" w:rsidSect="009E7E5F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32A9" w14:textId="77777777" w:rsidR="00852016" w:rsidRDefault="00852016">
      <w:r>
        <w:separator/>
      </w:r>
    </w:p>
  </w:endnote>
  <w:endnote w:type="continuationSeparator" w:id="0">
    <w:p w14:paraId="1111A580" w14:textId="77777777" w:rsidR="00852016" w:rsidRDefault="0085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1703" w14:textId="77777777" w:rsidR="00852016" w:rsidRDefault="00852016">
      <w:r>
        <w:separator/>
      </w:r>
    </w:p>
  </w:footnote>
  <w:footnote w:type="continuationSeparator" w:id="0">
    <w:p w14:paraId="12E7D111" w14:textId="77777777" w:rsidR="00852016" w:rsidRDefault="0085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BE0D" w14:textId="77777777" w:rsidR="009E7E5F" w:rsidRDefault="009E7E5F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2D04F16F" w14:textId="77777777" w:rsidR="009E7E5F" w:rsidRDefault="009E7E5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9AE4" w14:textId="77777777" w:rsidR="009E7E5F" w:rsidRDefault="009E7E5F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1746EBF5" w14:textId="77777777" w:rsidR="009E7E5F" w:rsidRDefault="009E7E5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D7F2" w14:textId="77777777" w:rsidR="009E7E5F" w:rsidRDefault="009E7E5F">
    <w:pPr>
      <w:pStyle w:val="Antrats"/>
      <w:jc w:val="center"/>
    </w:pPr>
    <w:r>
      <w:rPr>
        <w:sz w:val="24"/>
      </w:rPr>
      <w:object w:dxaOrig="6150" w:dyaOrig="6839" w14:anchorId="47E85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4pt;height:48.6pt">
          <v:imagedata r:id="rId1" o:title=""/>
        </v:shape>
        <o:OLEObject Type="Embed" ProgID="PBrush" ShapeID="_x0000_i1025" DrawAspect="Content" ObjectID="_182032019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F"/>
    <w:rsid w:val="00136FEB"/>
    <w:rsid w:val="00451F39"/>
    <w:rsid w:val="0051377F"/>
    <w:rsid w:val="005E079A"/>
    <w:rsid w:val="006A4175"/>
    <w:rsid w:val="00852016"/>
    <w:rsid w:val="00984529"/>
    <w:rsid w:val="009E7E5F"/>
    <w:rsid w:val="00A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078935F"/>
  <w15:chartTrackingRefBased/>
  <w15:docId w15:val="{A6F8D1B5-D03F-47AA-92E0-3E6E6EE2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9E7E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7E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7E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7E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7E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7E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7E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7E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7E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E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7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7E5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7E5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7E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7E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7E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7E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7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7E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7E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7E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7E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ykuspabraukimas">
    <w:name w:val="Intense Emphasis"/>
    <w:basedOn w:val="Numatytasispastraiposriftas"/>
    <w:uiPriority w:val="21"/>
    <w:qFormat/>
    <w:rsid w:val="009E7E5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7E5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7E5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9E7E5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E7E5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uslapionumeris">
    <w:name w:val="page number"/>
    <w:basedOn w:val="Numatytasispastraiposriftas"/>
    <w:rsid w:val="009E7E5F"/>
  </w:style>
  <w:style w:type="character" w:styleId="Hipersaitas">
    <w:name w:val="Hyperlink"/>
    <w:rsid w:val="009E7E5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9E7E5F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E7E5F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FreeForm">
    <w:name w:val="Free Form"/>
    <w:rsid w:val="009E7E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ore@plungesligonine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2025-09-25T12:39:00Z</dcterms:created>
  <dcterms:modified xsi:type="dcterms:W3CDTF">2025-09-25T12:43:00Z</dcterms:modified>
</cp:coreProperties>
</file>