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C3038" w14:textId="6C70D39E" w:rsidR="00FD3544" w:rsidRPr="009C5047" w:rsidRDefault="00FD3544" w:rsidP="00FD3544">
      <w:pPr>
        <w:spacing w:line="240" w:lineRule="auto"/>
        <w:ind w:left="7314" w:firstLine="0"/>
        <w:rPr>
          <w:rFonts w:ascii="Tahoma" w:hAnsi="Tahoma" w:cs="Tahoma"/>
          <w:sz w:val="22"/>
          <w:szCs w:val="22"/>
        </w:rPr>
      </w:pPr>
      <w:r w:rsidRPr="009C5047">
        <w:rPr>
          <w:rFonts w:ascii="Tahoma" w:hAnsi="Tahoma" w:cs="Tahoma"/>
          <w:sz w:val="22"/>
          <w:szCs w:val="22"/>
        </w:rPr>
        <w:t xml:space="preserve">Pirkimo sąlygų </w:t>
      </w:r>
      <w:r>
        <w:rPr>
          <w:rFonts w:ascii="Tahoma" w:hAnsi="Tahoma" w:cs="Tahoma"/>
          <w:sz w:val="22"/>
          <w:szCs w:val="22"/>
        </w:rPr>
        <w:t>1</w:t>
      </w:r>
      <w:r w:rsidRPr="009C5047">
        <w:rPr>
          <w:rFonts w:ascii="Tahoma" w:hAnsi="Tahoma" w:cs="Tahoma"/>
          <w:sz w:val="22"/>
          <w:szCs w:val="22"/>
        </w:rPr>
        <w:t xml:space="preserve"> priedas „Techninė specifikacija“</w:t>
      </w:r>
    </w:p>
    <w:p w14:paraId="48D09102" w14:textId="77777777" w:rsidR="00346476" w:rsidRPr="00346476" w:rsidRDefault="00346476" w:rsidP="00346476">
      <w:pPr>
        <w:numPr>
          <w:ilvl w:val="1"/>
          <w:numId w:val="0"/>
        </w:numPr>
        <w:spacing w:after="160" w:line="276" w:lineRule="auto"/>
        <w:jc w:val="center"/>
        <w:rPr>
          <w:rFonts w:ascii="Tahoma" w:eastAsiaTheme="majorEastAsia" w:hAnsi="Tahoma" w:cs="Tahoma"/>
          <w:b/>
          <w:bCs/>
          <w:spacing w:val="15"/>
          <w:sz w:val="24"/>
          <w:szCs w:val="24"/>
        </w:rPr>
      </w:pPr>
      <w:r w:rsidRPr="00346476">
        <w:rPr>
          <w:rFonts w:ascii="Tahoma" w:eastAsiaTheme="majorEastAsia" w:hAnsi="Tahoma" w:cs="Tahoma"/>
          <w:b/>
          <w:bCs/>
          <w:spacing w:val="15"/>
          <w:sz w:val="24"/>
          <w:szCs w:val="24"/>
        </w:rPr>
        <w:t>TECHNINĖ SPECIFIKACIJA</w:t>
      </w:r>
    </w:p>
    <w:p w14:paraId="12F58806" w14:textId="77777777" w:rsidR="00346476" w:rsidRDefault="00346476" w:rsidP="00346476">
      <w:pPr>
        <w:ind w:firstLine="0"/>
        <w:rPr>
          <w:rFonts w:ascii="Tahoma" w:hAnsi="Tahoma" w:cs="Tahoma"/>
          <w:sz w:val="22"/>
          <w:szCs w:val="22"/>
        </w:rPr>
      </w:pPr>
    </w:p>
    <w:p w14:paraId="767EC5CB" w14:textId="1D95B2B5" w:rsidR="00FD0436" w:rsidRPr="00346476" w:rsidRDefault="00FD0436" w:rsidP="00FD0436">
      <w:pPr>
        <w:ind w:firstLine="709"/>
        <w:rPr>
          <w:rFonts w:ascii="Tahoma" w:hAnsi="Tahoma" w:cs="Tahoma"/>
          <w:sz w:val="22"/>
          <w:szCs w:val="22"/>
        </w:rPr>
      </w:pPr>
      <w:r w:rsidRPr="00346476">
        <w:rPr>
          <w:rFonts w:ascii="Tahoma" w:hAnsi="Tahoma" w:cs="Tahoma"/>
          <w:sz w:val="22"/>
          <w:szCs w:val="22"/>
        </w:rPr>
        <w:t xml:space="preserve">Šiuo pirkimu siekiama įsigyti </w:t>
      </w:r>
      <w:bookmarkStart w:id="0" w:name="_Hlk178064484"/>
      <w:r w:rsidRPr="00346476">
        <w:rPr>
          <w:rFonts w:ascii="Tahoma" w:hAnsi="Tahoma" w:cs="Tahoma"/>
          <w:sz w:val="22"/>
          <w:szCs w:val="22"/>
        </w:rPr>
        <w:t xml:space="preserve">2026 metams </w:t>
      </w:r>
      <w:bookmarkStart w:id="1" w:name="_Hlk178064471"/>
      <w:bookmarkEnd w:id="0"/>
      <w:r w:rsidRPr="00346476">
        <w:rPr>
          <w:rFonts w:ascii="Tahoma" w:hAnsi="Tahoma" w:cs="Tahoma"/>
          <w:sz w:val="22"/>
          <w:szCs w:val="22"/>
        </w:rPr>
        <w:t xml:space="preserve">parengtą NEKILNOJAMOJO TURTO ATKŪRIMO KAŠTŲ (STATYBINIŲ VERČIŲ) </w:t>
      </w:r>
      <w:bookmarkEnd w:id="1"/>
      <w:r w:rsidRPr="00346476">
        <w:rPr>
          <w:rFonts w:ascii="Tahoma" w:hAnsi="Tahoma" w:cs="Tahoma"/>
          <w:sz w:val="22"/>
          <w:szCs w:val="22"/>
        </w:rPr>
        <w:t xml:space="preserve">KAINYNO elektroninį leidinį su palaikymu (toliau – Kainynas), kuris apima gyvenamuosius pastatus, negyvenamuosius pastatus, susisiekimo komunikacijų statinius, inžinerinius tinklus, hidrotechninius statinius ir kitus inžinerinius statinius, turi atitikti toliau nurodytus reikalavimus. </w:t>
      </w:r>
    </w:p>
    <w:p w14:paraId="7876F0BB" w14:textId="77777777" w:rsidR="00FD0436" w:rsidRPr="00346476" w:rsidRDefault="00FD0436" w:rsidP="00FD0436">
      <w:pPr>
        <w:ind w:firstLine="709"/>
        <w:rPr>
          <w:rFonts w:ascii="Tahoma" w:hAnsi="Tahoma" w:cs="Tahoma"/>
          <w:sz w:val="22"/>
          <w:szCs w:val="22"/>
        </w:rPr>
      </w:pPr>
    </w:p>
    <w:p w14:paraId="05FE3D08" w14:textId="77777777" w:rsidR="00FD0436" w:rsidRPr="00346476" w:rsidRDefault="00FD0436" w:rsidP="00FD0436">
      <w:pPr>
        <w:pStyle w:val="Sraopastraipa"/>
        <w:numPr>
          <w:ilvl w:val="0"/>
          <w:numId w:val="1"/>
        </w:numPr>
        <w:spacing w:line="276" w:lineRule="auto"/>
        <w:ind w:left="0" w:firstLine="774"/>
        <w:jc w:val="both"/>
        <w:rPr>
          <w:rFonts w:cs="Tahoma"/>
        </w:rPr>
      </w:pPr>
      <w:r w:rsidRPr="00346476">
        <w:rPr>
          <w:rFonts w:cs="Tahoma"/>
          <w:b/>
          <w:bCs/>
        </w:rPr>
        <w:t>Reikalavimai Kainynui:</w:t>
      </w:r>
    </w:p>
    <w:p w14:paraId="05782291" w14:textId="77777777" w:rsidR="00FD0436" w:rsidRPr="00346476" w:rsidRDefault="00FD0436" w:rsidP="00FD0436">
      <w:pPr>
        <w:pStyle w:val="Sraopastraipa"/>
        <w:ind w:left="0" w:firstLine="774"/>
        <w:jc w:val="both"/>
        <w:rPr>
          <w:rFonts w:cs="Tahoma"/>
        </w:rPr>
      </w:pPr>
      <w:r w:rsidRPr="00346476">
        <w:rPr>
          <w:rFonts w:cs="Tahoma"/>
        </w:rPr>
        <w:t>Kainynas turi atitikti Statybos techniniame reglamente STR 1.01.03:2017 „Statinių ir patalpų klasifikavimas“, patvirtinto Lietuvos Respublikos aplinkos ministro 2016 m. spalio 27 d. įsakymu Nr. D1-713 „Dėl statybos techninio reglamento STR 1.01.03:2017 „Statinių ir patalpų klasifikavimas“ patvirtinimo“ (toliau – Reglamentas) nurodytas statinių paskirtis. Kainyno sudėtis pagal statinių paskirtis pateikiama toliau lentelėje.</w:t>
      </w:r>
    </w:p>
    <w:p w14:paraId="6CD2D32A" w14:textId="77777777" w:rsidR="00FD0436" w:rsidRPr="00346476" w:rsidRDefault="00FD0436" w:rsidP="00FD0436">
      <w:pPr>
        <w:ind w:firstLine="774"/>
        <w:rPr>
          <w:rFonts w:ascii="Tahoma" w:hAnsi="Tahoma" w:cs="Tahoma"/>
          <w:sz w:val="22"/>
          <w:szCs w:val="22"/>
        </w:rPr>
      </w:pPr>
      <w:r w:rsidRPr="00346476">
        <w:rPr>
          <w:rFonts w:ascii="Tahoma" w:hAnsi="Tahoma" w:cs="Tahoma"/>
          <w:sz w:val="22"/>
          <w:szCs w:val="22"/>
        </w:rPr>
        <w:t>Kainyne turi būti pateikiami kainoms įtaką darantys statinių rodikliai, sugrupuoti pagal statinių paskirtis, ir kainos, apskaičiuotos statinio tūrio, ploto, ilgio vienetams ar statiniui. Kainų rodikliuose turi būti įvertinami pagrindinių statinio konstrukcijų (pamatų, sienų, perdangų, stogo ir kitų), nurodytų pagal  skirtumai ir ypatumai. Pagrindinės statinio konstrukcijos apibūdinamos pagal dominuojančių konstrukcijų medžiagas. Kainyno sudėtis turi atitikti Nekilnojamojo turto registro duomenų bazės struktūroje naudojamą pastatų ir inžinerinių statinių pagrindinės naudojimo paskirties klasifikatorių, pateikiamas toliau.</w:t>
      </w:r>
    </w:p>
    <w:p w14:paraId="6EFBDED4" w14:textId="77777777" w:rsidR="00FD0436" w:rsidRPr="00346476" w:rsidRDefault="00FD0436" w:rsidP="00FD0436">
      <w:pPr>
        <w:ind w:firstLine="774"/>
        <w:rPr>
          <w:rFonts w:ascii="Tahoma" w:hAnsi="Tahoma" w:cs="Tahoma"/>
          <w:sz w:val="22"/>
          <w:szCs w:val="22"/>
        </w:rPr>
      </w:pPr>
    </w:p>
    <w:p w14:paraId="4FA04C7F" w14:textId="77777777" w:rsidR="00FD0436" w:rsidRPr="00346476" w:rsidRDefault="00FD0436" w:rsidP="00FD0436">
      <w:pPr>
        <w:spacing w:after="120"/>
        <w:ind w:firstLine="142"/>
        <w:rPr>
          <w:rFonts w:ascii="Tahoma" w:hAnsi="Tahoma" w:cs="Tahoma"/>
          <w:i/>
          <w:iCs/>
          <w:sz w:val="22"/>
          <w:szCs w:val="22"/>
        </w:rPr>
      </w:pPr>
      <w:r w:rsidRPr="00346476">
        <w:rPr>
          <w:rFonts w:ascii="Tahoma" w:hAnsi="Tahoma" w:cs="Tahoma"/>
          <w:i/>
          <w:iCs/>
          <w:sz w:val="22"/>
          <w:szCs w:val="22"/>
        </w:rPr>
        <w:t>1 lentelė. Kainyno sudėtis pagal statinių paskirtis</w:t>
      </w:r>
    </w:p>
    <w:tbl>
      <w:tblPr>
        <w:tblW w:w="9776" w:type="dxa"/>
        <w:jc w:val="center"/>
        <w:tblLook w:val="04A0" w:firstRow="1" w:lastRow="0" w:firstColumn="1" w:lastColumn="0" w:noHBand="0" w:noVBand="1"/>
      </w:tblPr>
      <w:tblGrid>
        <w:gridCol w:w="1247"/>
        <w:gridCol w:w="8930"/>
      </w:tblGrid>
      <w:tr w:rsidR="00FD0436" w:rsidRPr="00346476" w14:paraId="5D490A73" w14:textId="77777777" w:rsidTr="00836CC3">
        <w:trPr>
          <w:trHeight w:val="850"/>
          <w:jc w:val="cent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A38A1D" w14:textId="77777777" w:rsidR="00FD0436" w:rsidRPr="00346476" w:rsidRDefault="00FD0436" w:rsidP="00836CC3">
            <w:pPr>
              <w:spacing w:line="240" w:lineRule="auto"/>
              <w:rPr>
                <w:rFonts w:ascii="Tahoma" w:eastAsia="Times New Roman" w:hAnsi="Tahoma" w:cs="Tahoma"/>
                <w:b/>
                <w:bCs/>
                <w:color w:val="000000"/>
                <w:sz w:val="22"/>
                <w:szCs w:val="22"/>
              </w:rPr>
            </w:pPr>
            <w:r w:rsidRPr="00346476">
              <w:rPr>
                <w:rFonts w:ascii="Tahoma" w:eastAsia="Times New Roman" w:hAnsi="Tahoma" w:cs="Tahoma"/>
                <w:b/>
                <w:bCs/>
                <w:color w:val="000000"/>
                <w:sz w:val="22"/>
                <w:szCs w:val="22"/>
              </w:rPr>
              <w:t xml:space="preserve">Nr. </w:t>
            </w:r>
          </w:p>
        </w:tc>
        <w:tc>
          <w:tcPr>
            <w:tcW w:w="8930" w:type="dxa"/>
            <w:tcBorders>
              <w:top w:val="single" w:sz="4" w:space="0" w:color="auto"/>
              <w:left w:val="nil"/>
              <w:bottom w:val="single" w:sz="4" w:space="0" w:color="auto"/>
              <w:right w:val="single" w:sz="4" w:space="0" w:color="auto"/>
            </w:tcBorders>
            <w:shd w:val="clear" w:color="auto" w:fill="E7E6E6" w:themeFill="background2"/>
            <w:vAlign w:val="center"/>
            <w:hideMark/>
          </w:tcPr>
          <w:p w14:paraId="43F65C8B" w14:textId="77777777" w:rsidR="00FD0436" w:rsidRPr="00346476" w:rsidRDefault="00FD0436" w:rsidP="00836CC3">
            <w:pPr>
              <w:spacing w:line="240" w:lineRule="auto"/>
              <w:rPr>
                <w:rFonts w:ascii="Tahoma" w:eastAsia="Times New Roman" w:hAnsi="Tahoma" w:cs="Tahoma"/>
                <w:b/>
                <w:bCs/>
                <w:color w:val="000000"/>
                <w:sz w:val="22"/>
                <w:szCs w:val="22"/>
              </w:rPr>
            </w:pPr>
            <w:r w:rsidRPr="00346476">
              <w:rPr>
                <w:rFonts w:ascii="Tahoma" w:eastAsia="Times New Roman" w:hAnsi="Tahoma" w:cs="Tahoma"/>
                <w:b/>
                <w:bCs/>
                <w:color w:val="000000" w:themeColor="text1"/>
                <w:sz w:val="22"/>
                <w:szCs w:val="22"/>
              </w:rPr>
              <w:t>Gyvenamųjų pastatų, negyvenamųjų pastatų, susisiekimo komunikacijų statinių, inžinerinių tinklų, hidrotechninių statinių, kitų inžinerinių statinių pagrindinės naudojimo paskirtys</w:t>
            </w:r>
          </w:p>
        </w:tc>
      </w:tr>
      <w:tr w:rsidR="00FD0436" w:rsidRPr="00346476" w14:paraId="46DD844B"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622C255"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 xml:space="preserve">1. </w:t>
            </w:r>
          </w:p>
        </w:tc>
        <w:tc>
          <w:tcPr>
            <w:tcW w:w="8930" w:type="dxa"/>
            <w:tcBorders>
              <w:top w:val="nil"/>
              <w:left w:val="nil"/>
              <w:bottom w:val="single" w:sz="4" w:space="0" w:color="auto"/>
              <w:right w:val="single" w:sz="4" w:space="0" w:color="auto"/>
            </w:tcBorders>
            <w:shd w:val="clear" w:color="auto" w:fill="auto"/>
            <w:noWrap/>
            <w:vAlign w:val="center"/>
            <w:hideMark/>
          </w:tcPr>
          <w:p w14:paraId="0E860794"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Vienbučių</w:t>
            </w:r>
          </w:p>
        </w:tc>
      </w:tr>
      <w:tr w:rsidR="00FD0436" w:rsidRPr="00346476" w14:paraId="76DB59E5"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B290EAF"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2.</w:t>
            </w:r>
          </w:p>
        </w:tc>
        <w:tc>
          <w:tcPr>
            <w:tcW w:w="8930" w:type="dxa"/>
            <w:tcBorders>
              <w:top w:val="nil"/>
              <w:left w:val="nil"/>
              <w:bottom w:val="single" w:sz="4" w:space="0" w:color="auto"/>
              <w:right w:val="single" w:sz="4" w:space="0" w:color="auto"/>
            </w:tcBorders>
            <w:shd w:val="clear" w:color="auto" w:fill="auto"/>
            <w:noWrap/>
            <w:vAlign w:val="center"/>
            <w:hideMark/>
          </w:tcPr>
          <w:p w14:paraId="31251675"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Dvibučių</w:t>
            </w:r>
          </w:p>
        </w:tc>
      </w:tr>
      <w:tr w:rsidR="00FD0436" w:rsidRPr="00346476" w14:paraId="789FEBE1"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814ACC3"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3.</w:t>
            </w:r>
          </w:p>
        </w:tc>
        <w:tc>
          <w:tcPr>
            <w:tcW w:w="8930" w:type="dxa"/>
            <w:tcBorders>
              <w:top w:val="nil"/>
              <w:left w:val="nil"/>
              <w:bottom w:val="single" w:sz="4" w:space="0" w:color="auto"/>
              <w:right w:val="single" w:sz="4" w:space="0" w:color="auto"/>
            </w:tcBorders>
            <w:shd w:val="clear" w:color="auto" w:fill="auto"/>
            <w:noWrap/>
            <w:vAlign w:val="center"/>
            <w:hideMark/>
          </w:tcPr>
          <w:p w14:paraId="2C34975F"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Daugiabučių</w:t>
            </w:r>
          </w:p>
        </w:tc>
      </w:tr>
      <w:tr w:rsidR="00FD0436" w:rsidRPr="00346476" w14:paraId="5A49436D"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A2904CF"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4.</w:t>
            </w:r>
          </w:p>
        </w:tc>
        <w:tc>
          <w:tcPr>
            <w:tcW w:w="8930" w:type="dxa"/>
            <w:tcBorders>
              <w:top w:val="nil"/>
              <w:left w:val="nil"/>
              <w:bottom w:val="single" w:sz="4" w:space="0" w:color="auto"/>
              <w:right w:val="single" w:sz="4" w:space="0" w:color="auto"/>
            </w:tcBorders>
            <w:shd w:val="clear" w:color="auto" w:fill="auto"/>
            <w:noWrap/>
            <w:vAlign w:val="center"/>
            <w:hideMark/>
          </w:tcPr>
          <w:p w14:paraId="02AA4C99"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Įvairių socialinių grupių</w:t>
            </w:r>
          </w:p>
        </w:tc>
      </w:tr>
      <w:tr w:rsidR="00FD0436" w:rsidRPr="00346476" w14:paraId="74753E6C"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7AC8F21"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5.</w:t>
            </w:r>
          </w:p>
        </w:tc>
        <w:tc>
          <w:tcPr>
            <w:tcW w:w="8930" w:type="dxa"/>
            <w:tcBorders>
              <w:top w:val="nil"/>
              <w:left w:val="nil"/>
              <w:bottom w:val="single" w:sz="4" w:space="0" w:color="auto"/>
              <w:right w:val="single" w:sz="4" w:space="0" w:color="auto"/>
            </w:tcBorders>
            <w:shd w:val="clear" w:color="auto" w:fill="auto"/>
            <w:noWrap/>
            <w:vAlign w:val="center"/>
            <w:hideMark/>
          </w:tcPr>
          <w:p w14:paraId="41FBD05C"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Viešbučių</w:t>
            </w:r>
          </w:p>
        </w:tc>
      </w:tr>
      <w:tr w:rsidR="00FD0436" w:rsidRPr="00346476" w14:paraId="7C2A21FD"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0E8AFBE"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6.</w:t>
            </w:r>
          </w:p>
        </w:tc>
        <w:tc>
          <w:tcPr>
            <w:tcW w:w="8930" w:type="dxa"/>
            <w:tcBorders>
              <w:top w:val="nil"/>
              <w:left w:val="nil"/>
              <w:bottom w:val="single" w:sz="4" w:space="0" w:color="auto"/>
              <w:right w:val="single" w:sz="4" w:space="0" w:color="auto"/>
            </w:tcBorders>
            <w:shd w:val="clear" w:color="auto" w:fill="auto"/>
            <w:noWrap/>
            <w:vAlign w:val="center"/>
            <w:hideMark/>
          </w:tcPr>
          <w:p w14:paraId="09AAE544"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Bendro gyvenimo namų</w:t>
            </w:r>
          </w:p>
        </w:tc>
      </w:tr>
      <w:tr w:rsidR="00FD0436" w:rsidRPr="00346476" w14:paraId="7472081D"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766E144"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7.</w:t>
            </w:r>
          </w:p>
        </w:tc>
        <w:tc>
          <w:tcPr>
            <w:tcW w:w="8930" w:type="dxa"/>
            <w:tcBorders>
              <w:top w:val="nil"/>
              <w:left w:val="nil"/>
              <w:bottom w:val="single" w:sz="4" w:space="0" w:color="auto"/>
              <w:right w:val="single" w:sz="4" w:space="0" w:color="auto"/>
            </w:tcBorders>
            <w:shd w:val="clear" w:color="auto" w:fill="auto"/>
            <w:noWrap/>
            <w:vAlign w:val="center"/>
            <w:hideMark/>
          </w:tcPr>
          <w:p w14:paraId="40DCDF5F"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Prekybos</w:t>
            </w:r>
          </w:p>
        </w:tc>
      </w:tr>
      <w:tr w:rsidR="00FD0436" w:rsidRPr="00346476" w14:paraId="66D3FBB8"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5AE411C"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8.</w:t>
            </w:r>
          </w:p>
        </w:tc>
        <w:tc>
          <w:tcPr>
            <w:tcW w:w="8930" w:type="dxa"/>
            <w:tcBorders>
              <w:top w:val="nil"/>
              <w:left w:val="nil"/>
              <w:bottom w:val="single" w:sz="4" w:space="0" w:color="auto"/>
              <w:right w:val="single" w:sz="4" w:space="0" w:color="auto"/>
            </w:tcBorders>
            <w:shd w:val="clear" w:color="auto" w:fill="auto"/>
            <w:noWrap/>
            <w:vAlign w:val="center"/>
            <w:hideMark/>
          </w:tcPr>
          <w:p w14:paraId="1904C3B0"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Maitinimo</w:t>
            </w:r>
          </w:p>
        </w:tc>
      </w:tr>
      <w:tr w:rsidR="00FD0436" w:rsidRPr="00346476" w14:paraId="0EADFE83"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D6CB84E"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9.</w:t>
            </w:r>
          </w:p>
        </w:tc>
        <w:tc>
          <w:tcPr>
            <w:tcW w:w="8930" w:type="dxa"/>
            <w:tcBorders>
              <w:top w:val="nil"/>
              <w:left w:val="nil"/>
              <w:bottom w:val="single" w:sz="4" w:space="0" w:color="auto"/>
              <w:right w:val="single" w:sz="4" w:space="0" w:color="auto"/>
            </w:tcBorders>
            <w:shd w:val="clear" w:color="auto" w:fill="auto"/>
            <w:noWrap/>
            <w:vAlign w:val="center"/>
            <w:hideMark/>
          </w:tcPr>
          <w:p w14:paraId="7EE768D7"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 xml:space="preserve">Paslaugų </w:t>
            </w:r>
          </w:p>
        </w:tc>
      </w:tr>
      <w:tr w:rsidR="00FD0436" w:rsidRPr="00346476" w14:paraId="240CDA2B"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409AB8D"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10.</w:t>
            </w:r>
          </w:p>
        </w:tc>
        <w:tc>
          <w:tcPr>
            <w:tcW w:w="8930" w:type="dxa"/>
            <w:tcBorders>
              <w:top w:val="nil"/>
              <w:left w:val="nil"/>
              <w:bottom w:val="single" w:sz="4" w:space="0" w:color="auto"/>
              <w:right w:val="single" w:sz="4" w:space="0" w:color="auto"/>
            </w:tcBorders>
            <w:shd w:val="clear" w:color="auto" w:fill="auto"/>
            <w:noWrap/>
            <w:vAlign w:val="center"/>
            <w:hideMark/>
          </w:tcPr>
          <w:p w14:paraId="42071065"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Specialiųjų paslaugų</w:t>
            </w:r>
          </w:p>
        </w:tc>
      </w:tr>
      <w:tr w:rsidR="00FD0436" w:rsidRPr="00346476" w14:paraId="56907F29"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C1A778B"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11.</w:t>
            </w:r>
          </w:p>
        </w:tc>
        <w:tc>
          <w:tcPr>
            <w:tcW w:w="8930" w:type="dxa"/>
            <w:tcBorders>
              <w:top w:val="nil"/>
              <w:left w:val="nil"/>
              <w:bottom w:val="single" w:sz="4" w:space="0" w:color="auto"/>
              <w:right w:val="single" w:sz="4" w:space="0" w:color="auto"/>
            </w:tcBorders>
            <w:shd w:val="clear" w:color="auto" w:fill="auto"/>
            <w:noWrap/>
            <w:vAlign w:val="center"/>
            <w:hideMark/>
          </w:tcPr>
          <w:p w14:paraId="3E68D3C2"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Administracinių</w:t>
            </w:r>
          </w:p>
        </w:tc>
      </w:tr>
      <w:tr w:rsidR="00FD0436" w:rsidRPr="00346476" w14:paraId="3AAA1DA4"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6B1EE4"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12.</w:t>
            </w:r>
          </w:p>
        </w:tc>
        <w:tc>
          <w:tcPr>
            <w:tcW w:w="8930" w:type="dxa"/>
            <w:tcBorders>
              <w:top w:val="nil"/>
              <w:left w:val="nil"/>
              <w:bottom w:val="single" w:sz="4" w:space="0" w:color="auto"/>
              <w:right w:val="single" w:sz="4" w:space="0" w:color="auto"/>
            </w:tcBorders>
            <w:shd w:val="clear" w:color="auto" w:fill="auto"/>
            <w:noWrap/>
            <w:vAlign w:val="center"/>
            <w:hideMark/>
          </w:tcPr>
          <w:p w14:paraId="288CBFE3"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Transporto</w:t>
            </w:r>
          </w:p>
        </w:tc>
      </w:tr>
      <w:tr w:rsidR="00FD0436" w:rsidRPr="00346476" w14:paraId="77215FE3"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B3FE812"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13.</w:t>
            </w:r>
          </w:p>
        </w:tc>
        <w:tc>
          <w:tcPr>
            <w:tcW w:w="8930" w:type="dxa"/>
            <w:tcBorders>
              <w:top w:val="nil"/>
              <w:left w:val="nil"/>
              <w:bottom w:val="single" w:sz="4" w:space="0" w:color="auto"/>
              <w:right w:val="single" w:sz="4" w:space="0" w:color="auto"/>
            </w:tcBorders>
            <w:shd w:val="clear" w:color="auto" w:fill="auto"/>
            <w:noWrap/>
            <w:vAlign w:val="center"/>
            <w:hideMark/>
          </w:tcPr>
          <w:p w14:paraId="4DB6C145"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Garažų</w:t>
            </w:r>
          </w:p>
        </w:tc>
      </w:tr>
      <w:tr w:rsidR="00FD0436" w:rsidRPr="00346476" w14:paraId="5C79F189"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6686FEA"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14.</w:t>
            </w:r>
          </w:p>
        </w:tc>
        <w:tc>
          <w:tcPr>
            <w:tcW w:w="8930" w:type="dxa"/>
            <w:tcBorders>
              <w:top w:val="nil"/>
              <w:left w:val="nil"/>
              <w:bottom w:val="single" w:sz="4" w:space="0" w:color="auto"/>
              <w:right w:val="single" w:sz="4" w:space="0" w:color="auto"/>
            </w:tcBorders>
            <w:shd w:val="clear" w:color="auto" w:fill="auto"/>
            <w:noWrap/>
            <w:vAlign w:val="center"/>
            <w:hideMark/>
          </w:tcPr>
          <w:p w14:paraId="7F9A45EF"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Gamybos, pramonės</w:t>
            </w:r>
          </w:p>
        </w:tc>
      </w:tr>
      <w:tr w:rsidR="00FD0436" w:rsidRPr="00346476" w14:paraId="042ACB7F"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D33FD98"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15.</w:t>
            </w:r>
          </w:p>
        </w:tc>
        <w:tc>
          <w:tcPr>
            <w:tcW w:w="8930" w:type="dxa"/>
            <w:tcBorders>
              <w:top w:val="nil"/>
              <w:left w:val="nil"/>
              <w:bottom w:val="single" w:sz="4" w:space="0" w:color="auto"/>
              <w:right w:val="single" w:sz="4" w:space="0" w:color="auto"/>
            </w:tcBorders>
            <w:shd w:val="clear" w:color="auto" w:fill="auto"/>
            <w:noWrap/>
            <w:vAlign w:val="center"/>
            <w:hideMark/>
          </w:tcPr>
          <w:p w14:paraId="5E948E7A"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Energetikos</w:t>
            </w:r>
          </w:p>
        </w:tc>
      </w:tr>
      <w:tr w:rsidR="00FD0436" w:rsidRPr="00346476" w14:paraId="5396B0CA" w14:textId="77777777" w:rsidTr="00836CC3">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D6D32"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16.</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BE321DA"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Sandėliavimo</w:t>
            </w:r>
          </w:p>
        </w:tc>
      </w:tr>
      <w:tr w:rsidR="00FD0436" w:rsidRPr="00346476" w14:paraId="1F69B632" w14:textId="77777777" w:rsidTr="00836CC3">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91451"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17.</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D4696"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Kultūros</w:t>
            </w:r>
          </w:p>
        </w:tc>
      </w:tr>
      <w:tr w:rsidR="00FD0436" w:rsidRPr="00346476" w14:paraId="24D4AE6A" w14:textId="77777777" w:rsidTr="00836CC3">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F5D81"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lastRenderedPageBreak/>
              <w:t>18.</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2E052"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Mokslo</w:t>
            </w:r>
          </w:p>
        </w:tc>
      </w:tr>
      <w:tr w:rsidR="00FD0436" w:rsidRPr="00346476" w14:paraId="56A04D4E" w14:textId="77777777" w:rsidTr="00836CC3">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3DF78"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19.</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0B297"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Gydymo</w:t>
            </w:r>
          </w:p>
        </w:tc>
      </w:tr>
      <w:tr w:rsidR="00FD0436" w:rsidRPr="00346476" w14:paraId="24873ADE" w14:textId="77777777" w:rsidTr="00836CC3">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28C51"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20.</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DD73D"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Sporto</w:t>
            </w:r>
          </w:p>
        </w:tc>
      </w:tr>
      <w:tr w:rsidR="00FD0436" w:rsidRPr="00346476" w14:paraId="06165454" w14:textId="77777777" w:rsidTr="00836CC3">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A2C37"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21.</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F2475"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Religinių</w:t>
            </w:r>
          </w:p>
        </w:tc>
      </w:tr>
      <w:tr w:rsidR="00FD0436" w:rsidRPr="00346476" w14:paraId="52440F43" w14:textId="77777777" w:rsidTr="00836CC3">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DDA5B"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22.</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EA59C"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Specialiųjų</w:t>
            </w:r>
          </w:p>
        </w:tc>
      </w:tr>
      <w:tr w:rsidR="00FD0436" w:rsidRPr="00346476" w14:paraId="591750B7" w14:textId="77777777" w:rsidTr="00836CC3">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A6305"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23.</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57CF3"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Pagalbinio ūkio</w:t>
            </w:r>
          </w:p>
        </w:tc>
      </w:tr>
      <w:tr w:rsidR="00FD0436" w:rsidRPr="00346476" w14:paraId="5555BDE2" w14:textId="77777777" w:rsidTr="00836CC3">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5F88"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24.</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4DDDE98E"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Gyvūnams auginti</w:t>
            </w:r>
          </w:p>
        </w:tc>
      </w:tr>
      <w:tr w:rsidR="00FD0436" w:rsidRPr="00346476" w14:paraId="33BA8C9D" w14:textId="77777777" w:rsidTr="00836CC3">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26403"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25.</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3AA3A9EC"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Žemės ūkio produkcijai tvarkyti</w:t>
            </w:r>
          </w:p>
        </w:tc>
      </w:tr>
      <w:tr w:rsidR="00FD0436" w:rsidRPr="00346476" w14:paraId="55CF6748" w14:textId="77777777" w:rsidTr="00836CC3">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140A0"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26.</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908E895"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Augalams auginti</w:t>
            </w:r>
          </w:p>
        </w:tc>
      </w:tr>
      <w:tr w:rsidR="00FD0436" w:rsidRPr="00346476" w14:paraId="6C5EE1B3"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0BA161E"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27.</w:t>
            </w:r>
          </w:p>
        </w:tc>
        <w:tc>
          <w:tcPr>
            <w:tcW w:w="8930" w:type="dxa"/>
            <w:tcBorders>
              <w:top w:val="nil"/>
              <w:left w:val="nil"/>
              <w:bottom w:val="single" w:sz="4" w:space="0" w:color="auto"/>
              <w:right w:val="single" w:sz="4" w:space="0" w:color="auto"/>
            </w:tcBorders>
            <w:shd w:val="clear" w:color="auto" w:fill="auto"/>
            <w:noWrap/>
            <w:vAlign w:val="center"/>
            <w:hideMark/>
          </w:tcPr>
          <w:p w14:paraId="4DEF3206"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Mėgėjų sodų</w:t>
            </w:r>
          </w:p>
        </w:tc>
      </w:tr>
      <w:tr w:rsidR="00FD0436" w:rsidRPr="00346476" w14:paraId="4AE6CF10"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F0581D9"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28.</w:t>
            </w:r>
          </w:p>
        </w:tc>
        <w:tc>
          <w:tcPr>
            <w:tcW w:w="8930" w:type="dxa"/>
            <w:tcBorders>
              <w:top w:val="nil"/>
              <w:left w:val="nil"/>
              <w:bottom w:val="single" w:sz="4" w:space="0" w:color="auto"/>
              <w:right w:val="single" w:sz="4" w:space="0" w:color="auto"/>
            </w:tcBorders>
            <w:shd w:val="clear" w:color="auto" w:fill="auto"/>
            <w:noWrap/>
            <w:vAlign w:val="center"/>
            <w:hideMark/>
          </w:tcPr>
          <w:p w14:paraId="61531202"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Kita pagalbinių</w:t>
            </w:r>
          </w:p>
        </w:tc>
      </w:tr>
      <w:tr w:rsidR="00FD0436" w:rsidRPr="00346476" w14:paraId="187678F6"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3A267B7"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29.</w:t>
            </w:r>
          </w:p>
        </w:tc>
        <w:tc>
          <w:tcPr>
            <w:tcW w:w="8930" w:type="dxa"/>
            <w:tcBorders>
              <w:top w:val="nil"/>
              <w:left w:val="nil"/>
              <w:bottom w:val="single" w:sz="4" w:space="0" w:color="auto"/>
              <w:right w:val="single" w:sz="4" w:space="0" w:color="auto"/>
            </w:tcBorders>
            <w:shd w:val="clear" w:color="auto" w:fill="auto"/>
            <w:noWrap/>
            <w:vAlign w:val="center"/>
            <w:hideMark/>
          </w:tcPr>
          <w:p w14:paraId="58719538"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Viešojo poilsio</w:t>
            </w:r>
          </w:p>
        </w:tc>
      </w:tr>
      <w:tr w:rsidR="00FD0436" w:rsidRPr="00346476" w14:paraId="61229545"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40B3343"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30.</w:t>
            </w:r>
          </w:p>
        </w:tc>
        <w:tc>
          <w:tcPr>
            <w:tcW w:w="8930" w:type="dxa"/>
            <w:tcBorders>
              <w:top w:val="nil"/>
              <w:left w:val="nil"/>
              <w:bottom w:val="single" w:sz="4" w:space="0" w:color="auto"/>
              <w:right w:val="single" w:sz="4" w:space="0" w:color="auto"/>
            </w:tcBorders>
            <w:shd w:val="clear" w:color="auto" w:fill="auto"/>
            <w:noWrap/>
            <w:vAlign w:val="center"/>
            <w:hideMark/>
          </w:tcPr>
          <w:p w14:paraId="0CBA462B"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Asmeninio poilsio</w:t>
            </w:r>
          </w:p>
        </w:tc>
      </w:tr>
      <w:tr w:rsidR="00FD0436" w:rsidRPr="00346476" w14:paraId="0805B8F9"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6C55402"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31.</w:t>
            </w:r>
          </w:p>
        </w:tc>
        <w:tc>
          <w:tcPr>
            <w:tcW w:w="8930" w:type="dxa"/>
            <w:tcBorders>
              <w:top w:val="nil"/>
              <w:left w:val="nil"/>
              <w:bottom w:val="single" w:sz="4" w:space="0" w:color="auto"/>
              <w:right w:val="single" w:sz="4" w:space="0" w:color="auto"/>
            </w:tcBorders>
            <w:shd w:val="clear" w:color="auto" w:fill="auto"/>
            <w:noWrap/>
            <w:vAlign w:val="center"/>
            <w:hideMark/>
          </w:tcPr>
          <w:p w14:paraId="5B347F55"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Kelių</w:t>
            </w:r>
          </w:p>
        </w:tc>
      </w:tr>
      <w:tr w:rsidR="00FD0436" w:rsidRPr="00346476" w14:paraId="090E7A2B"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E95DACF"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32.</w:t>
            </w:r>
          </w:p>
        </w:tc>
        <w:tc>
          <w:tcPr>
            <w:tcW w:w="8930" w:type="dxa"/>
            <w:tcBorders>
              <w:top w:val="nil"/>
              <w:left w:val="nil"/>
              <w:bottom w:val="single" w:sz="4" w:space="0" w:color="auto"/>
              <w:right w:val="single" w:sz="4" w:space="0" w:color="auto"/>
            </w:tcBorders>
            <w:shd w:val="clear" w:color="auto" w:fill="auto"/>
            <w:noWrap/>
            <w:vAlign w:val="center"/>
            <w:hideMark/>
          </w:tcPr>
          <w:p w14:paraId="35F81370"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Gatvių</w:t>
            </w:r>
          </w:p>
        </w:tc>
      </w:tr>
      <w:tr w:rsidR="00FD0436" w:rsidRPr="00346476" w14:paraId="691029AB"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B718C3B"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33.</w:t>
            </w:r>
          </w:p>
        </w:tc>
        <w:tc>
          <w:tcPr>
            <w:tcW w:w="8930" w:type="dxa"/>
            <w:tcBorders>
              <w:top w:val="nil"/>
              <w:left w:val="nil"/>
              <w:bottom w:val="single" w:sz="4" w:space="0" w:color="auto"/>
              <w:right w:val="single" w:sz="4" w:space="0" w:color="auto"/>
            </w:tcBorders>
            <w:shd w:val="clear" w:color="auto" w:fill="auto"/>
            <w:noWrap/>
            <w:vAlign w:val="center"/>
            <w:hideMark/>
          </w:tcPr>
          <w:p w14:paraId="1E1D6749"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Geležinkelių</w:t>
            </w:r>
          </w:p>
        </w:tc>
      </w:tr>
      <w:tr w:rsidR="00FD0436" w:rsidRPr="00346476" w14:paraId="558146C4"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C1B7045"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34.</w:t>
            </w:r>
          </w:p>
        </w:tc>
        <w:tc>
          <w:tcPr>
            <w:tcW w:w="8930" w:type="dxa"/>
            <w:tcBorders>
              <w:top w:val="nil"/>
              <w:left w:val="nil"/>
              <w:bottom w:val="single" w:sz="4" w:space="0" w:color="auto"/>
              <w:right w:val="single" w:sz="4" w:space="0" w:color="auto"/>
            </w:tcBorders>
            <w:shd w:val="clear" w:color="auto" w:fill="auto"/>
            <w:noWrap/>
            <w:vAlign w:val="center"/>
            <w:hideMark/>
          </w:tcPr>
          <w:p w14:paraId="33AED72A"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Oro uostų</w:t>
            </w:r>
          </w:p>
        </w:tc>
      </w:tr>
      <w:tr w:rsidR="00FD0436" w:rsidRPr="00346476" w14:paraId="21E9E623"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B84A53E"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35.</w:t>
            </w:r>
          </w:p>
        </w:tc>
        <w:tc>
          <w:tcPr>
            <w:tcW w:w="8930" w:type="dxa"/>
            <w:tcBorders>
              <w:top w:val="nil"/>
              <w:left w:val="nil"/>
              <w:bottom w:val="single" w:sz="4" w:space="0" w:color="auto"/>
              <w:right w:val="single" w:sz="4" w:space="0" w:color="auto"/>
            </w:tcBorders>
            <w:shd w:val="clear" w:color="auto" w:fill="auto"/>
            <w:noWrap/>
            <w:vAlign w:val="center"/>
            <w:hideMark/>
          </w:tcPr>
          <w:p w14:paraId="0AC425C6"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Vandens uostų</w:t>
            </w:r>
          </w:p>
        </w:tc>
      </w:tr>
      <w:tr w:rsidR="00FD0436" w:rsidRPr="00346476" w14:paraId="0CBA6870"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52E91F3"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36.</w:t>
            </w:r>
          </w:p>
        </w:tc>
        <w:tc>
          <w:tcPr>
            <w:tcW w:w="8930" w:type="dxa"/>
            <w:tcBorders>
              <w:top w:val="nil"/>
              <w:left w:val="nil"/>
              <w:bottom w:val="single" w:sz="4" w:space="0" w:color="auto"/>
              <w:right w:val="single" w:sz="4" w:space="0" w:color="auto"/>
            </w:tcBorders>
            <w:shd w:val="clear" w:color="auto" w:fill="auto"/>
            <w:noWrap/>
            <w:vAlign w:val="center"/>
            <w:hideMark/>
          </w:tcPr>
          <w:p w14:paraId="06A1EAD4"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Kitų transporto statinių</w:t>
            </w:r>
          </w:p>
        </w:tc>
      </w:tr>
      <w:tr w:rsidR="00FD0436" w:rsidRPr="00346476" w14:paraId="08868F33"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645449C"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37.</w:t>
            </w:r>
          </w:p>
        </w:tc>
        <w:tc>
          <w:tcPr>
            <w:tcW w:w="8930" w:type="dxa"/>
            <w:tcBorders>
              <w:top w:val="nil"/>
              <w:left w:val="nil"/>
              <w:bottom w:val="single" w:sz="4" w:space="0" w:color="auto"/>
              <w:right w:val="single" w:sz="4" w:space="0" w:color="auto"/>
            </w:tcBorders>
            <w:shd w:val="clear" w:color="auto" w:fill="auto"/>
            <w:noWrap/>
            <w:vAlign w:val="center"/>
            <w:hideMark/>
          </w:tcPr>
          <w:p w14:paraId="0A661028"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Naftos tinklų</w:t>
            </w:r>
          </w:p>
        </w:tc>
      </w:tr>
      <w:tr w:rsidR="00FD0436" w:rsidRPr="00346476" w14:paraId="1A7C7954"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D3041A3"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38.</w:t>
            </w:r>
          </w:p>
        </w:tc>
        <w:tc>
          <w:tcPr>
            <w:tcW w:w="8930" w:type="dxa"/>
            <w:tcBorders>
              <w:top w:val="nil"/>
              <w:left w:val="nil"/>
              <w:bottom w:val="single" w:sz="4" w:space="0" w:color="auto"/>
              <w:right w:val="single" w:sz="4" w:space="0" w:color="auto"/>
            </w:tcBorders>
            <w:shd w:val="clear" w:color="auto" w:fill="auto"/>
            <w:noWrap/>
            <w:vAlign w:val="center"/>
            <w:hideMark/>
          </w:tcPr>
          <w:p w14:paraId="2F52E734"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Dujų tinklų</w:t>
            </w:r>
          </w:p>
        </w:tc>
      </w:tr>
      <w:tr w:rsidR="00FD0436" w:rsidRPr="00346476" w14:paraId="0BE575A1"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4475146"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39.</w:t>
            </w:r>
          </w:p>
        </w:tc>
        <w:tc>
          <w:tcPr>
            <w:tcW w:w="8930" w:type="dxa"/>
            <w:tcBorders>
              <w:top w:val="nil"/>
              <w:left w:val="nil"/>
              <w:bottom w:val="single" w:sz="4" w:space="0" w:color="auto"/>
              <w:right w:val="single" w:sz="4" w:space="0" w:color="auto"/>
            </w:tcBorders>
            <w:shd w:val="clear" w:color="auto" w:fill="auto"/>
            <w:noWrap/>
            <w:vAlign w:val="center"/>
            <w:hideMark/>
          </w:tcPr>
          <w:p w14:paraId="2F05C864"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Vandentiekio tinklų</w:t>
            </w:r>
          </w:p>
        </w:tc>
      </w:tr>
      <w:tr w:rsidR="00FD0436" w:rsidRPr="00346476" w14:paraId="65AF9366"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CDE5808"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40.</w:t>
            </w:r>
          </w:p>
        </w:tc>
        <w:tc>
          <w:tcPr>
            <w:tcW w:w="8930" w:type="dxa"/>
            <w:tcBorders>
              <w:top w:val="nil"/>
              <w:left w:val="nil"/>
              <w:bottom w:val="single" w:sz="4" w:space="0" w:color="auto"/>
              <w:right w:val="single" w:sz="4" w:space="0" w:color="auto"/>
            </w:tcBorders>
            <w:shd w:val="clear" w:color="auto" w:fill="auto"/>
            <w:noWrap/>
            <w:vAlign w:val="center"/>
            <w:hideMark/>
          </w:tcPr>
          <w:p w14:paraId="78E43419"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Šilumos tinklų</w:t>
            </w:r>
          </w:p>
        </w:tc>
      </w:tr>
      <w:tr w:rsidR="00FD0436" w:rsidRPr="00346476" w14:paraId="3E6B72EE"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BB694B0"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41.</w:t>
            </w:r>
          </w:p>
        </w:tc>
        <w:tc>
          <w:tcPr>
            <w:tcW w:w="8930" w:type="dxa"/>
            <w:tcBorders>
              <w:top w:val="nil"/>
              <w:left w:val="nil"/>
              <w:bottom w:val="single" w:sz="4" w:space="0" w:color="auto"/>
              <w:right w:val="single" w:sz="4" w:space="0" w:color="auto"/>
            </w:tcBorders>
            <w:shd w:val="clear" w:color="auto" w:fill="auto"/>
            <w:noWrap/>
            <w:vAlign w:val="center"/>
            <w:hideMark/>
          </w:tcPr>
          <w:p w14:paraId="4672D53E"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Nuotekų šalinimo tinklų</w:t>
            </w:r>
          </w:p>
        </w:tc>
      </w:tr>
      <w:tr w:rsidR="00FD0436" w:rsidRPr="00346476" w14:paraId="2AC96C8A"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B24F246"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42.</w:t>
            </w:r>
          </w:p>
        </w:tc>
        <w:tc>
          <w:tcPr>
            <w:tcW w:w="8930" w:type="dxa"/>
            <w:tcBorders>
              <w:top w:val="nil"/>
              <w:left w:val="nil"/>
              <w:bottom w:val="single" w:sz="4" w:space="0" w:color="auto"/>
              <w:right w:val="single" w:sz="4" w:space="0" w:color="auto"/>
            </w:tcBorders>
            <w:shd w:val="clear" w:color="auto" w:fill="auto"/>
            <w:noWrap/>
            <w:vAlign w:val="center"/>
            <w:hideMark/>
          </w:tcPr>
          <w:p w14:paraId="136F2ACB"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Elektros tinklų</w:t>
            </w:r>
          </w:p>
        </w:tc>
      </w:tr>
      <w:tr w:rsidR="00FD0436" w:rsidRPr="00346476" w14:paraId="400EF855"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C55A5DB"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43.</w:t>
            </w:r>
          </w:p>
        </w:tc>
        <w:tc>
          <w:tcPr>
            <w:tcW w:w="8930" w:type="dxa"/>
            <w:tcBorders>
              <w:top w:val="nil"/>
              <w:left w:val="nil"/>
              <w:bottom w:val="single" w:sz="4" w:space="0" w:color="auto"/>
              <w:right w:val="single" w:sz="4" w:space="0" w:color="auto"/>
            </w:tcBorders>
            <w:shd w:val="clear" w:color="auto" w:fill="auto"/>
            <w:noWrap/>
            <w:vAlign w:val="center"/>
            <w:hideMark/>
          </w:tcPr>
          <w:p w14:paraId="4CC86D1E"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Ryšių (telekomunikacijų) tinklų</w:t>
            </w:r>
          </w:p>
        </w:tc>
      </w:tr>
      <w:tr w:rsidR="00FD0436" w:rsidRPr="00346476" w14:paraId="00562E24"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959A5F4"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44.</w:t>
            </w:r>
          </w:p>
        </w:tc>
        <w:tc>
          <w:tcPr>
            <w:tcW w:w="8930" w:type="dxa"/>
            <w:tcBorders>
              <w:top w:val="nil"/>
              <w:left w:val="nil"/>
              <w:bottom w:val="single" w:sz="4" w:space="0" w:color="auto"/>
              <w:right w:val="single" w:sz="4" w:space="0" w:color="auto"/>
            </w:tcBorders>
            <w:shd w:val="clear" w:color="auto" w:fill="auto"/>
            <w:noWrap/>
            <w:vAlign w:val="center"/>
            <w:hideMark/>
          </w:tcPr>
          <w:p w14:paraId="1F4049A6"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Kitų inžinerinių tinklų statinių</w:t>
            </w:r>
          </w:p>
        </w:tc>
      </w:tr>
      <w:tr w:rsidR="00FD0436" w:rsidRPr="00346476" w14:paraId="14054FAC"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534BD79"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45.</w:t>
            </w:r>
          </w:p>
        </w:tc>
        <w:tc>
          <w:tcPr>
            <w:tcW w:w="8930" w:type="dxa"/>
            <w:tcBorders>
              <w:top w:val="nil"/>
              <w:left w:val="nil"/>
              <w:bottom w:val="single" w:sz="4" w:space="0" w:color="auto"/>
              <w:right w:val="single" w:sz="4" w:space="0" w:color="auto"/>
            </w:tcBorders>
            <w:shd w:val="clear" w:color="auto" w:fill="auto"/>
            <w:noWrap/>
            <w:vAlign w:val="center"/>
            <w:hideMark/>
          </w:tcPr>
          <w:p w14:paraId="53558CBF"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Hidrotechninių</w:t>
            </w:r>
          </w:p>
        </w:tc>
      </w:tr>
      <w:tr w:rsidR="00FD0436" w:rsidRPr="00346476" w14:paraId="5F3C8604"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ACE235F"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46.</w:t>
            </w:r>
          </w:p>
        </w:tc>
        <w:tc>
          <w:tcPr>
            <w:tcW w:w="8930" w:type="dxa"/>
            <w:tcBorders>
              <w:top w:val="nil"/>
              <w:left w:val="nil"/>
              <w:bottom w:val="single" w:sz="4" w:space="0" w:color="auto"/>
              <w:right w:val="single" w:sz="4" w:space="0" w:color="auto"/>
            </w:tcBorders>
            <w:shd w:val="clear" w:color="auto" w:fill="auto"/>
            <w:noWrap/>
            <w:vAlign w:val="center"/>
            <w:hideMark/>
          </w:tcPr>
          <w:p w14:paraId="412FBB98"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Sporto</w:t>
            </w:r>
          </w:p>
        </w:tc>
      </w:tr>
      <w:tr w:rsidR="00FD0436" w:rsidRPr="00346476" w14:paraId="3952C8B9"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FEE3274"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47.</w:t>
            </w:r>
          </w:p>
        </w:tc>
        <w:tc>
          <w:tcPr>
            <w:tcW w:w="8930" w:type="dxa"/>
            <w:tcBorders>
              <w:top w:val="nil"/>
              <w:left w:val="nil"/>
              <w:bottom w:val="single" w:sz="4" w:space="0" w:color="auto"/>
              <w:right w:val="single" w:sz="4" w:space="0" w:color="auto"/>
            </w:tcBorders>
            <w:shd w:val="clear" w:color="auto" w:fill="auto"/>
            <w:noWrap/>
            <w:vAlign w:val="center"/>
            <w:hideMark/>
          </w:tcPr>
          <w:p w14:paraId="60124E4D"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Kitos paskirties</w:t>
            </w:r>
          </w:p>
        </w:tc>
      </w:tr>
      <w:tr w:rsidR="00FD0436" w:rsidRPr="00346476" w14:paraId="0CB7B504" w14:textId="77777777" w:rsidTr="00836CC3">
        <w:trPr>
          <w:trHeight w:val="31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7EB3880"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48.</w:t>
            </w:r>
          </w:p>
        </w:tc>
        <w:tc>
          <w:tcPr>
            <w:tcW w:w="8930" w:type="dxa"/>
            <w:tcBorders>
              <w:top w:val="nil"/>
              <w:left w:val="nil"/>
              <w:bottom w:val="single" w:sz="4" w:space="0" w:color="auto"/>
              <w:right w:val="single" w:sz="4" w:space="0" w:color="auto"/>
            </w:tcBorders>
            <w:shd w:val="clear" w:color="auto" w:fill="auto"/>
            <w:noWrap/>
            <w:vAlign w:val="center"/>
            <w:hideMark/>
          </w:tcPr>
          <w:p w14:paraId="55E3516D" w14:textId="77777777" w:rsidR="00FD0436" w:rsidRPr="00346476" w:rsidRDefault="00FD0436" w:rsidP="00836CC3">
            <w:pPr>
              <w:spacing w:line="240" w:lineRule="auto"/>
              <w:rPr>
                <w:rFonts w:ascii="Tahoma" w:eastAsia="Times New Roman" w:hAnsi="Tahoma" w:cs="Tahoma"/>
                <w:color w:val="000000"/>
                <w:sz w:val="22"/>
                <w:szCs w:val="22"/>
              </w:rPr>
            </w:pPr>
            <w:r w:rsidRPr="00346476">
              <w:rPr>
                <w:rFonts w:ascii="Tahoma" w:eastAsia="Times New Roman" w:hAnsi="Tahoma" w:cs="Tahoma"/>
                <w:color w:val="000000"/>
                <w:sz w:val="22"/>
                <w:szCs w:val="22"/>
              </w:rPr>
              <w:t>Energijos iš atsinaujinančių išteklių gamybos</w:t>
            </w:r>
          </w:p>
        </w:tc>
      </w:tr>
    </w:tbl>
    <w:p w14:paraId="7EA81BF0" w14:textId="77777777" w:rsidR="00FD0436" w:rsidRPr="00346476" w:rsidRDefault="00FD0436" w:rsidP="00FD0436">
      <w:pPr>
        <w:rPr>
          <w:rFonts w:ascii="Tahoma" w:hAnsi="Tahoma" w:cs="Tahoma"/>
          <w:sz w:val="22"/>
          <w:szCs w:val="22"/>
        </w:rPr>
      </w:pPr>
    </w:p>
    <w:p w14:paraId="1244BCF4" w14:textId="77777777" w:rsidR="00FD0436" w:rsidRPr="00346476" w:rsidRDefault="00FD0436" w:rsidP="00FD0436">
      <w:pPr>
        <w:ind w:firstLine="709"/>
        <w:rPr>
          <w:rFonts w:ascii="Tahoma" w:hAnsi="Tahoma" w:cs="Tahoma"/>
          <w:sz w:val="22"/>
          <w:szCs w:val="22"/>
        </w:rPr>
      </w:pPr>
      <w:r w:rsidRPr="00346476">
        <w:rPr>
          <w:rFonts w:ascii="Tahoma" w:hAnsi="Tahoma" w:cs="Tahoma"/>
          <w:sz w:val="22"/>
          <w:szCs w:val="22"/>
        </w:rPr>
        <w:t xml:space="preserve">Vidaus vandentiekio, nuotekų, dujotiekio, šildymo ir elektros sistemų įrengimo kainos turi būti apskaičiuotos įvertinant tokių tinklų įrengimą iki pirmojo šulinio nuo pastato arba iki tokioms sistemoms įrengtos uždaromosios armatūros. Kiekvienoje statinių paskirties grupėje statiniai turi būti detalizuoti atsižvelgiant į jų aukštingumą, konstrukcijų įrengimo ypatumus, kitus specifinius požymius, turinčius įtakos kainoms. Atskirų konstrukcinių elementų (pamatų, grindų, sienų, perdengimų, stogo ir pan.), kurie pagal Lietuvos Respublikos nekilnojamojo turto kadastro nuostatus, patvirtintus Lietuvos Respublikos Vyriausybės 2002 m. balandžio 15 d. nutarimu Nr. 534 „Dėl Lietuvos Respublikos nekilnojamojo turto kadastro nuostatų patvirtinimo“ įrašomi kadastro duomenų formose, įvertinimas turi būti atliktas pagal tokių konstrukcinių elementų orientacinius lyginamuosius svorius statinio statybos kainoje. </w:t>
      </w:r>
    </w:p>
    <w:p w14:paraId="72118C5E" w14:textId="77777777" w:rsidR="00FD0436" w:rsidRPr="00346476" w:rsidRDefault="00FD0436" w:rsidP="00FD0436">
      <w:pPr>
        <w:ind w:firstLine="709"/>
        <w:rPr>
          <w:rFonts w:ascii="Tahoma" w:hAnsi="Tahoma" w:cs="Tahoma"/>
          <w:sz w:val="22"/>
          <w:szCs w:val="22"/>
        </w:rPr>
      </w:pPr>
    </w:p>
    <w:p w14:paraId="2642E70A" w14:textId="77777777" w:rsidR="00FD0436" w:rsidRPr="00346476" w:rsidRDefault="00FD0436" w:rsidP="00FD0436">
      <w:pPr>
        <w:pStyle w:val="Sraopastraipa"/>
        <w:numPr>
          <w:ilvl w:val="0"/>
          <w:numId w:val="1"/>
        </w:numPr>
        <w:spacing w:line="240" w:lineRule="auto"/>
        <w:ind w:left="0" w:firstLine="774"/>
        <w:jc w:val="both"/>
        <w:rPr>
          <w:rFonts w:cs="Tahoma"/>
        </w:rPr>
      </w:pPr>
      <w:r w:rsidRPr="00346476">
        <w:rPr>
          <w:rFonts w:cs="Tahoma"/>
          <w:b/>
        </w:rPr>
        <w:t>Kiti reikalavimai</w:t>
      </w:r>
      <w:r w:rsidRPr="00346476">
        <w:rPr>
          <w:rFonts w:cs="Tahoma"/>
        </w:rPr>
        <w:t>:</w:t>
      </w:r>
    </w:p>
    <w:p w14:paraId="6FA62BE5" w14:textId="77777777" w:rsidR="00FD0436" w:rsidRPr="00346476" w:rsidRDefault="00FD0436" w:rsidP="00FD0436">
      <w:pPr>
        <w:pStyle w:val="Sraopastraipa"/>
        <w:ind w:left="0" w:firstLine="774"/>
        <w:jc w:val="both"/>
        <w:rPr>
          <w:rFonts w:cs="Tahoma"/>
        </w:rPr>
      </w:pPr>
      <w:r w:rsidRPr="00346476">
        <w:rPr>
          <w:rFonts w:cs="Tahoma"/>
        </w:rPr>
        <w:lastRenderedPageBreak/>
        <w:t>2.1. Pagal Kainyno duomenis turi būti parengtas sutrumpintas gyvenamųjų ir negyvenamųjų pastatų vieno kubinio metro statybos kainų elektroninis leidinys (toliau – Sutrumpintas kainynas), kuriame pateikiamos Reglamente nurodytų gyvenamųjų ir negyvenamųjų pastatų paskirčių vieno kubinio metro statybos kainos pagal pastatų pagrindines konstrukcijas, aukštingumą ir tūrius, nedetalizuojant pastatų konstrukcinių elementų ir įrangos lyginamųjų svorių bei statybos kainos patikslinimo koeficientų.</w:t>
      </w:r>
    </w:p>
    <w:p w14:paraId="54EED20C" w14:textId="77777777" w:rsidR="00FD0436" w:rsidRPr="00346476" w:rsidRDefault="00FD0436" w:rsidP="00FD0436">
      <w:pPr>
        <w:pStyle w:val="Sraopastraipa"/>
        <w:ind w:left="0" w:firstLine="774"/>
        <w:jc w:val="both"/>
        <w:rPr>
          <w:rFonts w:cs="Tahoma"/>
        </w:rPr>
      </w:pPr>
      <w:r w:rsidRPr="00346476">
        <w:rPr>
          <w:rFonts w:cs="Tahoma"/>
        </w:rPr>
        <w:t xml:space="preserve">2.2. Kainynas 2026 metams turi atitikti 2025 metų statinių statybos ir projektavimo rinkos kainas. </w:t>
      </w:r>
    </w:p>
    <w:p w14:paraId="68FCF8E3" w14:textId="77777777" w:rsidR="00FD0436" w:rsidRPr="00346476" w:rsidRDefault="00FD0436" w:rsidP="00FD0436">
      <w:pPr>
        <w:pStyle w:val="Sraopastraipa"/>
        <w:ind w:left="0" w:firstLine="774"/>
        <w:jc w:val="both"/>
        <w:rPr>
          <w:rFonts w:cs="Tahoma"/>
        </w:rPr>
      </w:pPr>
      <w:r w:rsidRPr="00346476">
        <w:rPr>
          <w:rFonts w:cs="Tahoma"/>
        </w:rPr>
        <w:t xml:space="preserve">2.3. Parengtas pastatų Kainynas ir Sutrumpintas kainynas 2026 metams Word formatu Perkančiajai organizacijai turi būti pateikti ne vėliau kaip 2025 m. gruodžio 1 d., o inžinerinių statinių Kainynas – ne vėliau kaip 2025 m. gruodžio 10 d. Perkančioji organizacija, gavusi Kainyną ir Sutrumpintą kainyną ne ilgiau kaip per 5 darbo dienas patikrina juos. Jei Perkančioji organizacija pateikia pastabas, Paslaugų teikėjas turi patikslinti Kainyną ir Sutrumpintą kainyną bei pateikti Perkančiajai organizacijai galutinius Kainyną ir Sutrumpintą kainyną ne vėliau kaip per 5 darbo dienas nuo pastabų gavimo dienos. Jei Perkančioji organizacija pastabų neturi, el. paštu informuoja apie tai Paslaugos teikėją ir Paslaugos tiekėjas ne vėliau kaip per 3 darbo dienas turi pateikti </w:t>
      </w:r>
      <w:bookmarkStart w:id="2" w:name="_Hlk177368026"/>
      <w:r w:rsidRPr="00346476">
        <w:rPr>
          <w:rFonts w:cs="Tahoma"/>
        </w:rPr>
        <w:t>galutinius Kainyną ir Sutrumpintą kainyną Word ir PDF formatais</w:t>
      </w:r>
      <w:bookmarkEnd w:id="2"/>
      <w:r w:rsidRPr="00346476">
        <w:rPr>
          <w:rFonts w:cs="Tahoma"/>
        </w:rPr>
        <w:t>. Kainyną ir Sutrumpintą kainyną perduodami pasirašant perdavimo-priėmimo aktą.</w:t>
      </w:r>
    </w:p>
    <w:p w14:paraId="4BE51732" w14:textId="77777777" w:rsidR="00FD0436" w:rsidRPr="00346476" w:rsidRDefault="00FD0436" w:rsidP="00FD0436">
      <w:pPr>
        <w:pStyle w:val="Sraopastraipa"/>
        <w:ind w:left="0" w:firstLine="774"/>
        <w:jc w:val="both"/>
        <w:rPr>
          <w:rFonts w:cs="Tahoma"/>
        </w:rPr>
      </w:pPr>
      <w:r w:rsidRPr="00346476">
        <w:rPr>
          <w:rFonts w:cs="Tahoma"/>
        </w:rPr>
        <w:t>2.4. Paslaugų teikėjas sutarties galiojimo laikotarpiu turi teikti konsultacijas, atlikti Kainyno papildymus aktualiais įkainiais, korekcijas pasikeitus pastatų ir inžinerinių statinių pagrindinėms naudojimo paskirtims, Nekilnojamojo turto registro klasifikatoriams, medžiagų ir statybos darbų specifikacijai, kitiems pastatų ir inžinerinių statinių atkuriamosios vertės apskaičiavimo reikalavimams.</w:t>
      </w:r>
    </w:p>
    <w:p w14:paraId="2EB7C73C" w14:textId="77777777" w:rsidR="00FD0436" w:rsidRPr="00346476" w:rsidRDefault="00FD0436" w:rsidP="00FD0436">
      <w:pPr>
        <w:pStyle w:val="Sraopastraipa"/>
        <w:ind w:left="0" w:firstLine="774"/>
        <w:jc w:val="both"/>
        <w:rPr>
          <w:rFonts w:cs="Tahoma"/>
        </w:rPr>
      </w:pPr>
      <w:r w:rsidRPr="00346476">
        <w:rPr>
          <w:rFonts w:cs="Tahoma"/>
        </w:rPr>
        <w:t>2.5. Perkančioji organizacija turės teisę platinti Kainyną ir Sutrumpintą kainyną, platinimo sąlygos nustatomos Paslaugos teikėjo ir Perkančiosios organizacijos sutartyje.</w:t>
      </w:r>
    </w:p>
    <w:p w14:paraId="5B631C1E" w14:textId="77777777" w:rsidR="00FD0436" w:rsidRPr="00346476" w:rsidRDefault="00FD0436" w:rsidP="00FD0436">
      <w:pPr>
        <w:pStyle w:val="Sraopastraipa"/>
        <w:ind w:left="0" w:firstLine="774"/>
        <w:jc w:val="both"/>
        <w:rPr>
          <w:rFonts w:cs="Tahoma"/>
        </w:rPr>
      </w:pPr>
    </w:p>
    <w:p w14:paraId="043A8424" w14:textId="77777777" w:rsidR="00FD0436" w:rsidRPr="00346476" w:rsidRDefault="00FD0436" w:rsidP="00FD0436">
      <w:pPr>
        <w:pStyle w:val="Sraopastraipa"/>
        <w:tabs>
          <w:tab w:val="left" w:pos="993"/>
        </w:tabs>
        <w:spacing w:after="200"/>
        <w:ind w:left="284" w:firstLine="425"/>
        <w:jc w:val="both"/>
        <w:rPr>
          <w:rFonts w:eastAsia="Calibri" w:cs="Tahoma"/>
          <w:b/>
          <w:bCs/>
          <w:lang w:val="en-US"/>
        </w:rPr>
      </w:pPr>
      <w:r w:rsidRPr="00346476">
        <w:rPr>
          <w:rFonts w:cs="Tahoma"/>
          <w:b/>
          <w:bCs/>
        </w:rPr>
        <w:t xml:space="preserve">3. </w:t>
      </w:r>
      <w:r w:rsidRPr="00346476">
        <w:rPr>
          <w:rFonts w:eastAsia="Calibri" w:cs="Tahoma"/>
          <w:b/>
          <w:bCs/>
          <w:lang w:val="en-US"/>
        </w:rPr>
        <w:t>Aplinkosauginiai reikalavimai</w:t>
      </w:r>
    </w:p>
    <w:p w14:paraId="53EC195E" w14:textId="77777777" w:rsidR="00FD0436" w:rsidRPr="00346476" w:rsidRDefault="00FD0436" w:rsidP="00FD0436">
      <w:pPr>
        <w:pStyle w:val="Sraopastraipa"/>
        <w:ind w:left="0" w:firstLine="851"/>
        <w:jc w:val="both"/>
        <w:rPr>
          <w:rFonts w:eastAsia="Calibri" w:cs="Tahoma"/>
          <w:b/>
          <w:bCs/>
          <w:lang w:val="en-US"/>
        </w:rPr>
      </w:pPr>
      <w:r w:rsidRPr="00346476">
        <w:rPr>
          <w:rStyle w:val="ui-provider"/>
          <w:rFonts w:cs="Tahoma"/>
        </w:rPr>
        <w:t>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4.4.3 puntu pirkimas laikomas žaliuoju.</w:t>
      </w:r>
    </w:p>
    <w:p w14:paraId="2395FF25" w14:textId="77777777" w:rsidR="00FD0436" w:rsidRPr="00F618F5" w:rsidRDefault="00FD0436" w:rsidP="00FD0436">
      <w:pPr>
        <w:pStyle w:val="Sraopastraipa"/>
        <w:ind w:left="0" w:firstLine="774"/>
        <w:jc w:val="both"/>
        <w:rPr>
          <w:rFonts w:cs="Tahoma"/>
          <w:b/>
          <w:bCs/>
        </w:rPr>
      </w:pPr>
    </w:p>
    <w:p w14:paraId="3891EBB4" w14:textId="50CC95B9" w:rsidR="00FD3544" w:rsidRPr="005F0FA3" w:rsidRDefault="00FD0436" w:rsidP="005F0FA3">
      <w:pPr>
        <w:jc w:val="center"/>
        <w:rPr>
          <w:rFonts w:cs="Tahoma"/>
        </w:rPr>
      </w:pPr>
      <w:r w:rsidRPr="00981022">
        <w:rPr>
          <w:rFonts w:ascii="Tahoma" w:hAnsi="Tahoma" w:cs="Tahoma"/>
        </w:rPr>
        <w:t>_________</w:t>
      </w:r>
    </w:p>
    <w:p w14:paraId="2982AC2C" w14:textId="77777777" w:rsidR="002A7375" w:rsidRPr="00F350AC" w:rsidRDefault="002A7375">
      <w:pPr>
        <w:rPr>
          <w:rFonts w:cs="Tahoma"/>
        </w:rPr>
      </w:pPr>
    </w:p>
    <w:sectPr w:rsidR="002A7375" w:rsidRPr="00F350AC"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D24C0" w14:textId="77777777" w:rsidR="00FD3544" w:rsidRDefault="00FD3544" w:rsidP="00DD3A79">
      <w:pPr>
        <w:spacing w:line="240" w:lineRule="auto"/>
      </w:pPr>
      <w:r>
        <w:separator/>
      </w:r>
    </w:p>
  </w:endnote>
  <w:endnote w:type="continuationSeparator" w:id="0">
    <w:p w14:paraId="249044B5" w14:textId="77777777" w:rsidR="00FD3544" w:rsidRDefault="00FD3544"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1535B" w14:textId="77777777" w:rsidR="00FD3544" w:rsidRDefault="00FD3544" w:rsidP="00DD3A79">
      <w:pPr>
        <w:spacing w:line="240" w:lineRule="auto"/>
      </w:pPr>
      <w:r>
        <w:separator/>
      </w:r>
    </w:p>
  </w:footnote>
  <w:footnote w:type="continuationSeparator" w:id="0">
    <w:p w14:paraId="0A64E6D3" w14:textId="77777777" w:rsidR="00FD3544" w:rsidRDefault="00FD3544"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59552632"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2A72062"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65F5E"/>
    <w:multiLevelType w:val="hybridMultilevel"/>
    <w:tmpl w:val="C6F4F852"/>
    <w:lvl w:ilvl="0" w:tplc="D3D296F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7109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44"/>
    <w:rsid w:val="0028005A"/>
    <w:rsid w:val="002A7375"/>
    <w:rsid w:val="002F3BEA"/>
    <w:rsid w:val="00346476"/>
    <w:rsid w:val="003E48E6"/>
    <w:rsid w:val="00420612"/>
    <w:rsid w:val="005F0FA3"/>
    <w:rsid w:val="005F713D"/>
    <w:rsid w:val="00672D56"/>
    <w:rsid w:val="008435F7"/>
    <w:rsid w:val="009E1460"/>
    <w:rsid w:val="00AB57A3"/>
    <w:rsid w:val="00B76466"/>
    <w:rsid w:val="00CA6181"/>
    <w:rsid w:val="00D141F5"/>
    <w:rsid w:val="00DD3A79"/>
    <w:rsid w:val="00F350AC"/>
    <w:rsid w:val="00FD0436"/>
    <w:rsid w:val="00FD3544"/>
    <w:rsid w:val="00FF6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5A3D7"/>
  <w15:chartTrackingRefBased/>
  <w15:docId w15:val="{7B4C0C32-AA18-4226-BD89-1DB42B3A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544"/>
    <w:pPr>
      <w:spacing w:line="300" w:lineRule="auto"/>
      <w:ind w:firstLine="697"/>
      <w:jc w:val="both"/>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D3544"/>
    <w:pPr>
      <w:keepNext/>
      <w:keepLines/>
      <w:spacing w:before="360" w:after="80" w:line="259" w:lineRule="auto"/>
      <w:ind w:firstLine="0"/>
      <w:jc w:val="left"/>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D3544"/>
    <w:pPr>
      <w:keepNext/>
      <w:keepLines/>
      <w:spacing w:before="160" w:after="80" w:line="259" w:lineRule="auto"/>
      <w:ind w:firstLine="0"/>
      <w:jc w:val="left"/>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D3544"/>
    <w:pPr>
      <w:keepNext/>
      <w:keepLines/>
      <w:spacing w:before="160" w:after="80" w:line="259" w:lineRule="auto"/>
      <w:ind w:firstLine="0"/>
      <w:jc w:val="left"/>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D3544"/>
    <w:pPr>
      <w:keepNext/>
      <w:keepLines/>
      <w:spacing w:before="80" w:after="40" w:line="259" w:lineRule="auto"/>
      <w:ind w:firstLine="0"/>
      <w:jc w:val="left"/>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D3544"/>
    <w:pPr>
      <w:keepNext/>
      <w:keepLines/>
      <w:spacing w:before="80" w:after="40" w:line="259" w:lineRule="auto"/>
      <w:ind w:firstLine="0"/>
      <w:jc w:val="left"/>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D3544"/>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D3544"/>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D3544"/>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D3544"/>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ind w:firstLine="0"/>
      <w:jc w:val="left"/>
    </w:pPr>
    <w:rPr>
      <w:rFonts w:ascii="Tahoma" w:eastAsiaTheme="minorHAnsi" w:hAnsi="Tahoma"/>
      <w:kern w:val="2"/>
      <w:sz w:val="22"/>
      <w:szCs w:val="22"/>
      <w:lang w:eastAsia="en-US"/>
      <w14:ligatures w14:val="standardContextual"/>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ind w:firstLine="0"/>
      <w:jc w:val="left"/>
    </w:pPr>
    <w:rPr>
      <w:rFonts w:ascii="Tahoma" w:eastAsiaTheme="minorHAnsi" w:hAnsi="Tahoma"/>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FD3544"/>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FD354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FD3544"/>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FD3544"/>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FD3544"/>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FD354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354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354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354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3544"/>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D35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3544"/>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D354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3544"/>
    <w:pPr>
      <w:spacing w:before="160" w:after="160" w:line="259" w:lineRule="auto"/>
      <w:ind w:firstLine="0"/>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D354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FD3544"/>
    <w:pPr>
      <w:spacing w:line="259" w:lineRule="auto"/>
      <w:ind w:left="720" w:firstLine="0"/>
      <w:contextualSpacing/>
      <w:jc w:val="left"/>
    </w:pPr>
    <w:rPr>
      <w:rFonts w:ascii="Tahoma" w:eastAsiaTheme="minorHAnsi" w:hAnsi="Tahoma"/>
      <w:kern w:val="2"/>
      <w:sz w:val="22"/>
      <w:szCs w:val="22"/>
      <w:lang w:eastAsia="en-US"/>
      <w14:ligatures w14:val="standardContextual"/>
    </w:rPr>
  </w:style>
  <w:style w:type="character" w:styleId="Rykuspabraukimas">
    <w:name w:val="Intense Emphasis"/>
    <w:basedOn w:val="Numatytasispastraiposriftas"/>
    <w:uiPriority w:val="21"/>
    <w:qFormat/>
    <w:rsid w:val="00FD3544"/>
    <w:rPr>
      <w:i/>
      <w:iCs/>
      <w:color w:val="2E74B5" w:themeColor="accent1" w:themeShade="BF"/>
    </w:rPr>
  </w:style>
  <w:style w:type="paragraph" w:styleId="Iskirtacitata">
    <w:name w:val="Intense Quote"/>
    <w:basedOn w:val="prastasis"/>
    <w:next w:val="prastasis"/>
    <w:link w:val="IskirtacitataDiagrama"/>
    <w:uiPriority w:val="30"/>
    <w:qFormat/>
    <w:rsid w:val="00FD3544"/>
    <w:pPr>
      <w:pBdr>
        <w:top w:val="single" w:sz="4" w:space="10" w:color="2E74B5" w:themeColor="accent1" w:themeShade="BF"/>
        <w:bottom w:val="single" w:sz="4" w:space="10" w:color="2E74B5" w:themeColor="accent1" w:themeShade="BF"/>
      </w:pBdr>
      <w:spacing w:before="360" w:after="360" w:line="259" w:lineRule="auto"/>
      <w:ind w:left="864" w:right="864" w:firstLine="0"/>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D3544"/>
    <w:rPr>
      <w:i/>
      <w:iCs/>
      <w:color w:val="2E74B5" w:themeColor="accent1" w:themeShade="BF"/>
    </w:rPr>
  </w:style>
  <w:style w:type="character" w:styleId="Rykinuoroda">
    <w:name w:val="Intense Reference"/>
    <w:basedOn w:val="Numatytasispastraiposriftas"/>
    <w:uiPriority w:val="32"/>
    <w:qFormat/>
    <w:rsid w:val="00FD3544"/>
    <w:rPr>
      <w:b/>
      <w:bCs/>
      <w:smallCaps/>
      <w:color w:val="2E74B5" w:themeColor="accent1" w:themeShade="BF"/>
      <w:spacing w:val="5"/>
    </w:rPr>
  </w:style>
  <w:style w:type="table" w:customStyle="1" w:styleId="TableGrid1">
    <w:name w:val="Table Grid1"/>
    <w:basedOn w:val="prastojilentel"/>
    <w:uiPriority w:val="99"/>
    <w:rsid w:val="00FD3544"/>
    <w:pPr>
      <w:spacing w:line="240" w:lineRule="auto"/>
      <w:ind w:firstLine="0"/>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0436"/>
  </w:style>
  <w:style w:type="character" w:customStyle="1" w:styleId="ui-provider">
    <w:name w:val="ui-provider"/>
    <w:basedOn w:val="Numatytasispastraiposriftas"/>
    <w:rsid w:val="00FD0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4022</Words>
  <Characters>2293</Characters>
  <Application>Microsoft Office Word</Application>
  <DocSecurity>0</DocSecurity>
  <Lines>19</Lines>
  <Paragraphs>12</Paragraphs>
  <ScaleCrop>false</ScaleCrop>
  <Company>VĮ Registrų centras</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Vaida Misiūnienė</cp:lastModifiedBy>
  <cp:revision>4</cp:revision>
  <dcterms:created xsi:type="dcterms:W3CDTF">2024-12-12T12:01:00Z</dcterms:created>
  <dcterms:modified xsi:type="dcterms:W3CDTF">2024-12-13T07:51:00Z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2024-11-08T07:43:57Z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c183d75a-e1cf-4107-8fd8-72ea9a11c937</vt:lpwstr>
  </property>
  <property fmtid="{D5CDD505-2E9C-101B-9397-08002B2CF9AE}" pid="8" name="MSIP_Label_179ca552-b207-4d72-8d58-818aee87ca18_ContentBits">
    <vt:lpwstr>0</vt:lpwstr>
  </property>
</Properties>
</file>