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B35758" w:rsidRPr="007A7217" w:rsidRDefault="006B02B6" w:rsidP="00B35758">
      <w:pPr>
        <w:jc w:val="center"/>
        <w:rPr>
          <w:sz w:val="22"/>
          <w:szCs w:val="22"/>
        </w:rPr>
      </w:pPr>
      <w:r>
        <w:rPr>
          <w:sz w:val="22"/>
          <w:szCs w:val="22"/>
        </w:rPr>
        <w:t>TARPTAUTINIO VIEŠOJO KONKURSO</w:t>
      </w:r>
    </w:p>
    <w:p w:rsidR="006B02B6" w:rsidRDefault="006B02B6" w:rsidP="006B02B6">
      <w:pPr>
        <w:jc w:val="center"/>
        <w:rPr>
          <w:b/>
          <w:sz w:val="22"/>
          <w:szCs w:val="22"/>
        </w:rPr>
      </w:pPr>
      <w:r>
        <w:rPr>
          <w:b/>
          <w:sz w:val="22"/>
          <w:szCs w:val="22"/>
        </w:rPr>
        <w:t xml:space="preserve">ULTRAGARSO </w:t>
      </w:r>
      <w:r w:rsidRPr="00F732DC">
        <w:rPr>
          <w:b/>
          <w:sz w:val="22"/>
          <w:szCs w:val="22"/>
        </w:rPr>
        <w:t xml:space="preserve">APARATAI </w:t>
      </w:r>
      <w:r w:rsidRPr="008D3CF0">
        <w:rPr>
          <w:b/>
          <w:sz w:val="22"/>
          <w:szCs w:val="22"/>
        </w:rPr>
        <w:t xml:space="preserve"> </w:t>
      </w:r>
    </w:p>
    <w:p w:rsidR="00B35758" w:rsidRPr="006B02B6" w:rsidRDefault="00B35758" w:rsidP="00B35758">
      <w:pPr>
        <w:jc w:val="center"/>
        <w:rPr>
          <w:sz w:val="22"/>
          <w:szCs w:val="22"/>
        </w:rPr>
      </w:pPr>
      <w:r w:rsidRPr="006B02B6">
        <w:rPr>
          <w:sz w:val="22"/>
          <w:szCs w:val="22"/>
        </w:rPr>
        <w:t>ATVIRO KONKURSO SĄLYGOS</w:t>
      </w:r>
    </w:p>
    <w:p w:rsidR="00E17DFB" w:rsidRPr="006B02B6" w:rsidRDefault="00E17DFB"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6640AF">
        <w:rPr>
          <w:bCs/>
          <w:sz w:val="22"/>
          <w:szCs w:val="22"/>
        </w:rPr>
        <w:t>Ultragarso</w:t>
      </w:r>
      <w:r w:rsidR="00F732DC">
        <w:rPr>
          <w:bCs/>
          <w:sz w:val="22"/>
          <w:szCs w:val="22"/>
        </w:rPr>
        <w:t xml:space="preserve"> aparatai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C53EE1">
        <w:rPr>
          <w:sz w:val="22"/>
          <w:szCs w:val="22"/>
          <w:lang w:eastAsia="lt-LT"/>
        </w:rPr>
        <w:t>;</w:t>
      </w:r>
    </w:p>
    <w:p w:rsidR="00C53EE1" w:rsidRPr="007A7217" w:rsidRDefault="00C53EE1" w:rsidP="006C16A2">
      <w:pPr>
        <w:ind w:left="-907" w:firstLine="907"/>
        <w:rPr>
          <w:sz w:val="22"/>
          <w:szCs w:val="22"/>
        </w:rPr>
      </w:pPr>
      <w:r>
        <w:rPr>
          <w:sz w:val="22"/>
          <w:szCs w:val="22"/>
          <w:lang w:eastAsia="lt-LT"/>
        </w:rPr>
        <w:t xml:space="preserve">8. </w:t>
      </w:r>
      <w:r w:rsidRPr="00C53EE1">
        <w:rPr>
          <w:sz w:val="22"/>
          <w:szCs w:val="22"/>
          <w:lang w:eastAsia="lt-LT"/>
        </w:rPr>
        <w:t>Tiekėjo deklaracija dėl Nacionalinio</w:t>
      </w:r>
      <w:r>
        <w:rPr>
          <w:sz w:val="22"/>
          <w:szCs w:val="22"/>
          <w:lang w:eastAsia="lt-LT"/>
        </w:rPr>
        <w:t xml:space="preserve"> saugumo reikalavimų atitikties.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E69FA">
        <w:rPr>
          <w:rFonts w:cs="Times New Roman"/>
          <w:b/>
          <w:color w:val="548DD4" w:themeColor="text2" w:themeTint="99"/>
          <w:sz w:val="22"/>
          <w:szCs w:val="22"/>
          <w:lang w:val="lt-LT"/>
        </w:rPr>
        <w:t>ultragarso</w:t>
      </w:r>
      <w:r w:rsidR="0059362C" w:rsidRPr="0059362C">
        <w:rPr>
          <w:rFonts w:cs="Times New Roman"/>
          <w:b/>
          <w:color w:val="548DD4" w:themeColor="text2" w:themeTint="99"/>
          <w:sz w:val="22"/>
          <w:szCs w:val="22"/>
          <w:lang w:val="lt-LT"/>
        </w:rPr>
        <w:t xml:space="preserve"> aparatus</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0E69FA" w:rsidRPr="000E69FA">
        <w:rPr>
          <w:rFonts w:eastAsia="Arial Unicode MS"/>
          <w:bCs/>
          <w:color w:val="4F81BD" w:themeColor="accent1"/>
          <w:sz w:val="22"/>
          <w:szCs w:val="22"/>
          <w:bdr w:val="nil"/>
        </w:rPr>
        <w:t xml:space="preserve">ultragarso </w:t>
      </w:r>
      <w:r w:rsidRPr="00820D86">
        <w:rPr>
          <w:rFonts w:eastAsia="Arial Unicode MS"/>
          <w:bCs/>
          <w:color w:val="4F81BD" w:themeColor="accent1"/>
          <w:sz w:val="22"/>
          <w:szCs w:val="22"/>
          <w:bdr w:val="nil"/>
        </w:rPr>
        <w:t>aparatai.</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5E6B75" w:rsidRPr="005E6B75">
        <w:rPr>
          <w:rFonts w:eastAsia="Arial Unicode MS"/>
          <w:iCs/>
          <w:sz w:val="22"/>
          <w:szCs w:val="22"/>
          <w:bdr w:val="nil"/>
          <w:shd w:val="clear" w:color="auto" w:fill="FFFFFF"/>
        </w:rPr>
        <w:t>2025-0</w:t>
      </w:r>
      <w:r w:rsidR="00F16AB4">
        <w:rPr>
          <w:rFonts w:eastAsia="Arial Unicode MS"/>
          <w:iCs/>
          <w:sz w:val="22"/>
          <w:szCs w:val="22"/>
          <w:bdr w:val="nil"/>
          <w:shd w:val="clear" w:color="auto" w:fill="FFFFFF"/>
        </w:rPr>
        <w:t>5-2</w:t>
      </w:r>
      <w:r w:rsidR="005E6B75" w:rsidRPr="005E6B75">
        <w:rPr>
          <w:rFonts w:eastAsia="Arial Unicode MS"/>
          <w:iCs/>
          <w:sz w:val="22"/>
          <w:szCs w:val="22"/>
          <w:bdr w:val="nil"/>
          <w:shd w:val="clear" w:color="auto" w:fill="FFFFFF"/>
        </w:rPr>
        <w:t xml:space="preserve">8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r w:rsidR="005E6B75" w:rsidRPr="005E6B75">
        <w:rPr>
          <w:rFonts w:eastAsia="Arial Unicode MS"/>
          <w:iCs/>
          <w:sz w:val="22"/>
          <w:szCs w:val="22"/>
          <w:bdr w:val="nil"/>
          <w:shd w:val="clear" w:color="auto" w:fill="FFFFFF"/>
        </w:rPr>
        <w:t xml:space="preserve">dėl </w:t>
      </w:r>
      <w:r w:rsidR="00F16AB4">
        <w:rPr>
          <w:rFonts w:eastAsia="Arial Unicode MS"/>
          <w:iCs/>
          <w:sz w:val="22"/>
          <w:szCs w:val="22"/>
          <w:bdr w:val="nil"/>
          <w:shd w:val="clear" w:color="auto" w:fill="FFFFFF"/>
        </w:rPr>
        <w:t xml:space="preserve">ultragarso </w:t>
      </w:r>
      <w:r w:rsidR="005E6B75" w:rsidRPr="005E6B75">
        <w:rPr>
          <w:rFonts w:eastAsia="Arial Unicode MS"/>
          <w:iCs/>
          <w:sz w:val="22"/>
          <w:szCs w:val="22"/>
          <w:bdr w:val="nil"/>
          <w:shd w:val="clear" w:color="auto" w:fill="FFFFFF"/>
        </w:rPr>
        <w:t xml:space="preserve">aparatų </w:t>
      </w:r>
      <w:r w:rsidRPr="00820D86">
        <w:rPr>
          <w:rFonts w:eastAsia="Arial Unicode MS"/>
          <w:sz w:val="22"/>
          <w:szCs w:val="22"/>
          <w:bdr w:val="nil"/>
          <w:shd w:val="clear" w:color="auto" w:fill="FFFFFF"/>
          <w:lang w:val="en-US"/>
        </w:rPr>
        <w:t xml:space="preserve">pirkimo (Nr. </w:t>
      </w:r>
      <w:r w:rsidR="00F16AB4">
        <w:rPr>
          <w:rFonts w:eastAsia="Arial Unicode MS"/>
          <w:i/>
          <w:iCs/>
          <w:sz w:val="22"/>
          <w:szCs w:val="22"/>
          <w:bdr w:val="nil"/>
          <w:shd w:val="clear" w:color="auto" w:fill="FFFFFF"/>
        </w:rPr>
        <w:t>2937311</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5D474B"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5D474B">
        <w:rPr>
          <w:rFonts w:eastAsia="Calibri"/>
          <w:sz w:val="22"/>
          <w:szCs w:val="22"/>
        </w:rPr>
        <w:t xml:space="preserve">turi būti laikoma, kad kiekviena tokia nuoroda yra pateikta su žodžiais „arba lygiavertis“. </w:t>
      </w:r>
    </w:p>
    <w:p w:rsidR="005D474B" w:rsidRPr="005D474B" w:rsidRDefault="00AA47CC" w:rsidP="005D474B">
      <w:pPr>
        <w:tabs>
          <w:tab w:val="left" w:pos="993"/>
          <w:tab w:val="left" w:pos="1134"/>
          <w:tab w:val="left" w:pos="1276"/>
          <w:tab w:val="left" w:pos="1440"/>
          <w:tab w:val="left" w:pos="1560"/>
          <w:tab w:val="left" w:pos="2127"/>
        </w:tabs>
        <w:ind w:firstLine="567"/>
        <w:jc w:val="both"/>
        <w:rPr>
          <w:rFonts w:eastAsia="Arial Unicode MS"/>
          <w:b/>
          <w:sz w:val="22"/>
          <w:szCs w:val="22"/>
          <w:bdr w:val="nil"/>
          <w:lang w:val="en-US" w:eastAsia="ar-SA"/>
        </w:rPr>
      </w:pPr>
      <w:r w:rsidRPr="005D474B">
        <w:rPr>
          <w:sz w:val="22"/>
          <w:szCs w:val="22"/>
          <w:lang w:eastAsia="lt-LT"/>
        </w:rPr>
        <w:t xml:space="preserve">2.7. </w:t>
      </w:r>
      <w:r w:rsidR="005D474B" w:rsidRPr="005D474B">
        <w:rPr>
          <w:rFonts w:eastAsia="Arial Unicode MS"/>
          <w:sz w:val="22"/>
          <w:szCs w:val="22"/>
          <w:bdr w:val="nil"/>
          <w:lang w:val="en-US"/>
        </w:rPr>
        <w:t>Šis pirkimas skaidomas į dvi atskiras pirkimo dalis:</w:t>
      </w:r>
    </w:p>
    <w:p w:rsidR="001134F3" w:rsidRPr="001134F3"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 xml:space="preserve">2.7.1. </w:t>
      </w:r>
      <w:bookmarkStart w:id="0" w:name="_Hlk204853138"/>
      <w:r w:rsidRPr="001134F3">
        <w:rPr>
          <w:rFonts w:eastAsia="Arial Unicode MS"/>
          <w:bCs/>
          <w:sz w:val="22"/>
          <w:szCs w:val="22"/>
          <w:bdr w:val="nil"/>
          <w:lang w:eastAsia="ar-SA"/>
        </w:rPr>
        <w:t>Aukščiausios (ekspertinės) klasės ultragarso aparatas – 2 vnt.</w:t>
      </w:r>
      <w:r>
        <w:rPr>
          <w:rFonts w:eastAsia="Arial Unicode MS"/>
          <w:bCs/>
          <w:sz w:val="22"/>
          <w:szCs w:val="22"/>
          <w:bdr w:val="nil"/>
          <w:lang w:eastAsia="ar-SA"/>
        </w:rPr>
        <w:t>;</w:t>
      </w:r>
    </w:p>
    <w:p w:rsidR="001134F3" w:rsidRPr="001134F3"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sidRPr="001134F3">
        <w:rPr>
          <w:rFonts w:eastAsia="Arial Unicode MS"/>
          <w:bCs/>
          <w:sz w:val="22"/>
          <w:szCs w:val="22"/>
          <w:bdr w:val="nil"/>
          <w:lang w:eastAsia="ar-SA"/>
        </w:rPr>
        <w:t xml:space="preserve">2.7.2. </w:t>
      </w:r>
      <w:bookmarkEnd w:id="0"/>
      <w:r w:rsidRPr="001134F3">
        <w:rPr>
          <w:rFonts w:eastAsia="Arial Unicode MS"/>
          <w:bCs/>
          <w:sz w:val="22"/>
          <w:szCs w:val="22"/>
          <w:bdr w:val="nil"/>
          <w:lang w:eastAsia="ar-SA"/>
        </w:rPr>
        <w:t>Portatyvinis ultragarso aparatas – 1 vnt.</w:t>
      </w:r>
    </w:p>
    <w:p w:rsidR="00496057" w:rsidRPr="005D474B" w:rsidRDefault="00DD4507" w:rsidP="00AA47CC">
      <w:pPr>
        <w:tabs>
          <w:tab w:val="left" w:pos="993"/>
        </w:tabs>
        <w:ind w:firstLine="567"/>
        <w:jc w:val="both"/>
        <w:rPr>
          <w:sz w:val="22"/>
          <w:szCs w:val="22"/>
          <w:lang w:eastAsia="lt-LT"/>
        </w:rPr>
      </w:pPr>
      <w:r w:rsidRPr="00DD4507">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r w:rsidR="00496057" w:rsidRPr="005D474B">
        <w:rPr>
          <w:sz w:val="22"/>
          <w:szCs w:val="22"/>
          <w:lang w:eastAsia="lt-LT"/>
        </w:rPr>
        <w:t>.</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5D474B">
        <w:rPr>
          <w:sz w:val="22"/>
          <w:szCs w:val="22"/>
          <w:lang w:eastAsia="ar-SA"/>
        </w:rPr>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Pasiūlymai vertinami pagal kainos ir kokybės santykį</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7669AF"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669AF"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669AF"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7669AF"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669AF"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rPr>
      </w:pPr>
      <w:r w:rsidRPr="00EB0348">
        <w:rPr>
          <w:rFonts w:eastAsia="Times New Roman"/>
          <w:b/>
          <w:sz w:val="22"/>
          <w:szCs w:val="22"/>
          <w:lang w:val="en-US"/>
        </w:rPr>
        <w:t>3.14. Reikalavimai, susiję su nacionaliniu saugumu</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lang w:eastAsia="lt-LT"/>
        </w:rPr>
      </w:pPr>
      <w:r w:rsidRPr="00EB0348">
        <w:rPr>
          <w:rFonts w:eastAsia="Times New Roman"/>
          <w:sz w:val="22"/>
          <w:szCs w:val="22"/>
        </w:rPr>
        <w:t>3.14.1.</w:t>
      </w:r>
      <w:r w:rsidRPr="00EB0348">
        <w:rPr>
          <w:rFonts w:eastAsia="Times New Roman"/>
          <w:b/>
          <w:sz w:val="22"/>
          <w:szCs w:val="22"/>
        </w:rPr>
        <w:t xml:space="preserve"> </w:t>
      </w:r>
      <w:r w:rsidRPr="00EB0348">
        <w:rPr>
          <w:rFonts w:eastAsia="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sidRPr="00EB0348">
        <w:rPr>
          <w:rFonts w:eastAsia="Times New Roman"/>
          <w:sz w:val="22"/>
          <w:szCs w:val="22"/>
        </w:rPr>
        <w:t>6</w:t>
      </w:r>
      <w:r w:rsidRPr="00EB0348">
        <w:rPr>
          <w:rFonts w:eastAsia="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rPr>
      </w:pPr>
      <w:r w:rsidRPr="00EB0348">
        <w:rPr>
          <w:rFonts w:eastAsia="Times New Roman"/>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EB0348" w:rsidRPr="00EB0348" w:rsidRDefault="00EB0348" w:rsidP="00EB0348">
      <w:pPr>
        <w:suppressAutoHyphens/>
        <w:jc w:val="both"/>
        <w:rPr>
          <w:rFonts w:eastAsia="Arial Unicode MS"/>
          <w:b/>
          <w:i/>
          <w:color w:val="000000"/>
          <w:sz w:val="22"/>
          <w:szCs w:val="22"/>
          <w:bdr w:val="nil"/>
          <w:lang w:eastAsia="lt-LT"/>
        </w:rPr>
      </w:pPr>
      <w:r w:rsidRPr="00EB0348">
        <w:rPr>
          <w:rFonts w:eastAsia="Arial Unicode MS"/>
          <w:b/>
          <w:i/>
          <w:color w:val="000000"/>
          <w:sz w:val="22"/>
          <w:szCs w:val="22"/>
          <w:bdr w:val="nil"/>
          <w:lang w:val="en-US" w:eastAsia="lt-LT"/>
        </w:rPr>
        <w:t xml:space="preserve">*Pastaba. Esant poreikiui </w:t>
      </w:r>
      <w:r w:rsidRPr="00EB0348">
        <w:rPr>
          <w:rFonts w:eastAsia="Arial Unicode MS"/>
          <w:b/>
          <w:i/>
          <w:color w:val="000000"/>
          <w:sz w:val="22"/>
          <w:szCs w:val="22"/>
          <w:bdr w:val="nil"/>
          <w:lang w:eastAsia="lt-LT"/>
        </w:rPr>
        <w:t>Perkančioji organizacija gali paprašyti galimo laimėtojo pateikti dokumentus (VPĮ 51 str. 12 d.), pagrindžiančius užpildytoje deklaracijoje (6 priedas) pateiktos informacijos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szCs w:val="22"/>
          <w:lang w:eastAsia="lt-LT"/>
        </w:rPr>
      </w:pPr>
      <w:r w:rsidRPr="00EB0348">
        <w:rPr>
          <w:rFonts w:eastAsia="Calibri"/>
          <w:sz w:val="22"/>
          <w:lang w:eastAsia="lt-LT"/>
        </w:rPr>
        <w:t xml:space="preserve">3.14.3. Perkančioji organizacija laiko, kad </w:t>
      </w:r>
      <w:r w:rsidRPr="00EB0348">
        <w:rPr>
          <w:rFonts w:eastAsia="Calibri"/>
          <w:sz w:val="22"/>
          <w:shd w:val="clear" w:color="auto" w:fill="FFFFFF"/>
          <w:lang w:eastAsia="lt-LT"/>
        </w:rPr>
        <w:t>pirkimo objektas kelia grėsmę nacionaliniam saugumui</w:t>
      </w:r>
      <w:r w:rsidRPr="00EB0348">
        <w:rPr>
          <w:rFonts w:eastAsia="Calibri"/>
          <w:sz w:val="22"/>
          <w:lang w:eastAsia="lt-LT"/>
        </w:rPr>
        <w:t>, jei jis atitinka VPĮ 37 straipsnio 9 dalies 1 ir  2 punkte numatytas sąlygas. Tiekėjai kartu su pasiūlymu turi pateikti Viešųjų pirkimų tarnybos nustatytos formos atitikties deklaraciją</w:t>
      </w:r>
      <w:r w:rsidR="00965A2E">
        <w:rPr>
          <w:rFonts w:eastAsia="Calibri"/>
          <w:sz w:val="22"/>
          <w:lang w:eastAsia="lt-LT"/>
        </w:rPr>
        <w:t xml:space="preserve"> (8 priedas)</w:t>
      </w:r>
      <w:r w:rsidRPr="00EB0348">
        <w:rPr>
          <w:rFonts w:eastAsia="Calibri"/>
          <w:sz w:val="22"/>
          <w:lang w:eastAsia="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004E1A39">
        <w:rPr>
          <w:rFonts w:eastAsia="Calibri"/>
          <w:sz w:val="22"/>
          <w:szCs w:val="22"/>
          <w:lang w:eastAsia="lt-LT"/>
        </w:rPr>
        <w:t>taikoma 1 pirkimo dalies prekei</w:t>
      </w:r>
      <w:r w:rsidR="004E1A39">
        <w:rPr>
          <w:rFonts w:eastAsia="Times New Roman"/>
          <w:sz w:val="22"/>
          <w:szCs w:val="22"/>
        </w:rPr>
        <w:t>, kurios</w:t>
      </w:r>
      <w:r w:rsidRPr="00EB0348">
        <w:rPr>
          <w:rFonts w:eastAsia="Times New Roman"/>
          <w:sz w:val="22"/>
          <w:szCs w:val="22"/>
        </w:rPr>
        <w:t xml:space="preserve"> BVPŽ koda</w:t>
      </w:r>
      <w:r w:rsidR="004E1A39">
        <w:rPr>
          <w:rFonts w:eastAsia="Times New Roman"/>
          <w:sz w:val="22"/>
          <w:szCs w:val="22"/>
        </w:rPr>
        <w:t>s yra</w:t>
      </w:r>
      <w:r w:rsidRPr="00EB0348">
        <w:rPr>
          <w:rFonts w:eastAsia="Times New Roman"/>
          <w:sz w:val="22"/>
          <w:szCs w:val="22"/>
        </w:rPr>
        <w:t xml:space="preserve"> 31154000-Nenutrūkstamojo maitinimo šaltiniai</w:t>
      </w:r>
      <w:r w:rsidRPr="00EB0348">
        <w:rPr>
          <w:rFonts w:eastAsia="Calibri"/>
          <w:sz w:val="22"/>
          <w:szCs w:val="22"/>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lang w:eastAsia="lt-LT"/>
        </w:rPr>
      </w:pPr>
      <w:r w:rsidRPr="00EB0348">
        <w:rPr>
          <w:rFonts w:eastAsia="Calibri"/>
          <w:sz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2"/>
        </w:rPr>
      </w:pPr>
      <w:r w:rsidRPr="00EB0348">
        <w:rPr>
          <w:rFonts w:eastAsia="Times New Roman"/>
          <w:i/>
          <w:i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szCs w:val="22"/>
          <w:lang w:eastAsia="lt-LT"/>
        </w:rPr>
      </w:pPr>
      <w:r w:rsidRPr="00EB0348">
        <w:rPr>
          <w:rFonts w:eastAsia="Arial Unicode MS"/>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CB1912">
        <w:rPr>
          <w:rFonts w:eastAsia="Arial Unicode MS"/>
          <w:sz w:val="22"/>
          <w:szCs w:val="22"/>
          <w:lang w:eastAsia="lt-LT"/>
        </w:rPr>
        <w:t xml:space="preserve"> (8 priedas)</w:t>
      </w:r>
      <w:r w:rsidRPr="00EB0348">
        <w:rPr>
          <w:rFonts w:eastAsia="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lang w:val="en-US" w:eastAsia="lt-LT"/>
        </w:rPr>
      </w:pPr>
      <w:r w:rsidRPr="00EB0348">
        <w:rPr>
          <w:rFonts w:eastAsia="Arial Unicode MS"/>
          <w:sz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EB0348">
        <w:rPr>
          <w:rFonts w:eastAsia="Arial Unicode MS"/>
          <w:sz w:val="22"/>
          <w:lang w:eastAsia="lt-LT"/>
        </w:rPr>
        <w:t>(</w:t>
      </w:r>
      <w:r w:rsidR="00376BDE">
        <w:rPr>
          <w:rFonts w:eastAsia="Arial Unicode MS"/>
          <w:sz w:val="22"/>
          <w:lang w:eastAsia="lt-LT"/>
        </w:rPr>
        <w:t>taikoma 1 pirkimo dalies prekei</w:t>
      </w:r>
      <w:r w:rsidRPr="00EB0348">
        <w:rPr>
          <w:rFonts w:eastAsia="Arial Unicode MS"/>
          <w:sz w:val="22"/>
          <w:lang w:eastAsia="lt-LT"/>
        </w:rPr>
        <w:t>, kuri</w:t>
      </w:r>
      <w:r w:rsidR="00376BDE">
        <w:rPr>
          <w:rFonts w:eastAsia="Arial Unicode MS"/>
          <w:sz w:val="22"/>
          <w:lang w:eastAsia="lt-LT"/>
        </w:rPr>
        <w:t xml:space="preserve">os BVPŽ kodas yra </w:t>
      </w:r>
      <w:r w:rsidRPr="00EB0348">
        <w:rPr>
          <w:rFonts w:eastAsia="Arial Unicode MS"/>
          <w:sz w:val="22"/>
          <w:lang w:eastAsia="lt-LT"/>
        </w:rPr>
        <w:t>31154000-Nenutrūkstamojo maitinimo šaltiniai</w:t>
      </w:r>
      <w:r w:rsidRPr="00EB0348">
        <w:rPr>
          <w:rFonts w:eastAsia="Arial Unicode MS"/>
          <w:sz w:val="22"/>
          <w:lang w:val="en-US"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i/>
          <w:sz w:val="22"/>
          <w:szCs w:val="22"/>
          <w:lang w:eastAsia="lt-LT"/>
        </w:rPr>
      </w:pPr>
      <w:r w:rsidRPr="00EB0348">
        <w:rPr>
          <w:rFonts w:eastAsia="Arial Unicode MS"/>
          <w:i/>
          <w:sz w:val="22"/>
          <w:lang w:eastAsia="lt-LT"/>
        </w:rPr>
        <w:t xml:space="preserve"> </w:t>
      </w:r>
      <w:r w:rsidRPr="00EB0348">
        <w:rPr>
          <w:rFonts w:eastAsia="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AD1CA2" w:rsidRPr="00EB0348" w:rsidRDefault="00AD1CA2" w:rsidP="007A7217">
      <w:pPr>
        <w:suppressAutoHyphens/>
        <w:ind w:firstLine="567"/>
        <w:jc w:val="both"/>
        <w:rPr>
          <w:rFonts w:eastAsia="Arial Unicode MS"/>
          <w:sz w:val="18"/>
          <w:szCs w:val="18"/>
          <w:bdr w:val="nil"/>
          <w:lang w:eastAsia="lt-LT"/>
        </w:rPr>
      </w:pPr>
    </w:p>
    <w:p w:rsidR="00EB0348" w:rsidRDefault="00EB034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804EDD" w:rsidRPr="00804EDD">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w:t>
      </w:r>
      <w:bookmarkStart w:id="2" w:name="_GoBack"/>
      <w:bookmarkEnd w:id="2"/>
      <w:r w:rsidRPr="007A7217">
        <w:rPr>
          <w:rFonts w:cs="Times New Roman"/>
          <w:sz w:val="22"/>
          <w:szCs w:val="22"/>
        </w:rPr>
        <w:t>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FF3751" w:rsidRPr="0004206C">
        <w:rPr>
          <w:rFonts w:cs="Times New Roman"/>
          <w:b/>
          <w:iCs/>
          <w:color w:val="548DD4" w:themeColor="text2" w:themeTint="99"/>
          <w:sz w:val="22"/>
          <w:szCs w:val="22"/>
        </w:rPr>
        <w:t>m. spalio</w:t>
      </w:r>
      <w:r w:rsidR="003B7AD1" w:rsidRPr="0004206C">
        <w:rPr>
          <w:rFonts w:cs="Times New Roman"/>
          <w:b/>
          <w:iCs/>
          <w:color w:val="548DD4" w:themeColor="text2" w:themeTint="99"/>
          <w:sz w:val="22"/>
          <w:szCs w:val="22"/>
        </w:rPr>
        <w:t xml:space="preserve"> </w:t>
      </w:r>
      <w:r w:rsidR="007669AF">
        <w:rPr>
          <w:rFonts w:cs="Times New Roman"/>
          <w:b/>
          <w:iCs/>
          <w:color w:val="548DD4" w:themeColor="text2" w:themeTint="99"/>
          <w:sz w:val="22"/>
          <w:szCs w:val="22"/>
        </w:rPr>
        <w:t>31</w:t>
      </w:r>
      <w:r w:rsidRPr="0004206C">
        <w:rPr>
          <w:rFonts w:cs="Times New Roman"/>
          <w:b/>
          <w:iCs/>
          <w:color w:val="548DD4" w:themeColor="text2" w:themeTint="99"/>
          <w:sz w:val="22"/>
          <w:szCs w:val="22"/>
        </w:rPr>
        <w:t xml:space="preserve"> d. </w:t>
      </w:r>
      <w:r w:rsidR="002C59AF" w:rsidRPr="0004206C">
        <w:rPr>
          <w:rFonts w:cs="Times New Roman"/>
          <w:b/>
          <w:iCs/>
          <w:color w:val="548DD4" w:themeColor="text2" w:themeTint="99"/>
          <w:sz w:val="22"/>
          <w:szCs w:val="22"/>
        </w:rPr>
        <w:t>10</w:t>
      </w:r>
      <w:r w:rsidRPr="0004206C">
        <w:rPr>
          <w:rFonts w:cs="Times New Roman"/>
          <w:b/>
          <w:iCs/>
          <w:color w:val="548DD4" w:themeColor="text2" w:themeTint="99"/>
          <w:sz w:val="22"/>
          <w:szCs w:val="22"/>
        </w:rPr>
        <w:t xml:space="preserve"> val.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762E5A" w:rsidRPr="00762E5A">
        <w:rPr>
          <w:rFonts w:eastAsia="Arial Unicode MS"/>
          <w:color w:val="000000"/>
          <w:sz w:val="22"/>
          <w:szCs w:val="22"/>
          <w:bdr w:val="nil"/>
          <w:lang w:eastAsia="en-GB"/>
        </w:rPr>
        <w:t>Tiekėjo deklaracija dėl (ne)atitikties Reglamento nuostatoms (6 priedas)</w:t>
      </w:r>
      <w:r w:rsidR="00831E77">
        <w:rPr>
          <w:rFonts w:eastAsia="Arial Unicode MS"/>
          <w:color w:val="000000"/>
          <w:sz w:val="22"/>
          <w:szCs w:val="22"/>
          <w:bdr w:val="nil"/>
          <w:lang w:eastAsia="en-GB"/>
        </w:rPr>
        <w:t>;</w:t>
      </w:r>
    </w:p>
    <w:p w:rsidR="00831E77" w:rsidRPr="00831E77" w:rsidRDefault="00831E77" w:rsidP="00831E77">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5.11.7.</w:t>
      </w:r>
      <w:r w:rsidRPr="00831E77">
        <w:rPr>
          <w:rFonts w:ascii="Cambria" w:eastAsia="Arial Unicode MS" w:hAnsi="Cambria"/>
          <w:b/>
          <w:sz w:val="22"/>
          <w:szCs w:val="22"/>
          <w:lang w:eastAsia="en-GB"/>
        </w:rPr>
        <w:t xml:space="preserve"> </w:t>
      </w:r>
      <w:r w:rsidRPr="00831E77">
        <w:rPr>
          <w:rFonts w:eastAsia="Arial Unicode MS"/>
          <w:color w:val="000000"/>
          <w:sz w:val="22"/>
          <w:szCs w:val="22"/>
          <w:bdr w:val="nil"/>
          <w:lang w:eastAsia="en-GB"/>
        </w:rPr>
        <w:t>Tiekėjo deklaracija dėl Nacionalinio saugumo reikalavimų atitikties (8 priedas)</w:t>
      </w:r>
      <w:r>
        <w:rPr>
          <w:rFonts w:eastAsia="Arial Unicode MS"/>
          <w:color w:val="000000"/>
          <w:sz w:val="22"/>
          <w:szCs w:val="22"/>
          <w:bdr w:val="nil"/>
          <w:lang w:eastAsia="en-GB"/>
        </w:rPr>
        <w:t>;</w:t>
      </w:r>
    </w:p>
    <w:p w:rsidR="00B900A1" w:rsidRPr="00B900A1" w:rsidRDefault="00831E77" w:rsidP="00233FF5">
      <w:pPr>
        <w:shd w:val="clear" w:color="auto" w:fill="D9D9D9" w:themeFill="background1" w:themeFillShade="D9"/>
        <w:tabs>
          <w:tab w:val="left" w:pos="851"/>
          <w:tab w:val="left" w:pos="1276"/>
        </w:tabs>
        <w:ind w:firstLine="567"/>
        <w:jc w:val="both"/>
        <w:rPr>
          <w:rFonts w:eastAsia="Arial Unicode MS"/>
          <w:sz w:val="22"/>
          <w:szCs w:val="22"/>
          <w:bdr w:val="nil"/>
        </w:rPr>
      </w:pPr>
      <w:r>
        <w:rPr>
          <w:rFonts w:eastAsia="Arial Unicode MS"/>
          <w:sz w:val="22"/>
          <w:szCs w:val="22"/>
          <w:bdr w:val="nil"/>
        </w:rPr>
        <w:t xml:space="preserve"> </w:t>
      </w:r>
      <w:r w:rsidR="00B900A1" w:rsidRPr="00B900A1">
        <w:rPr>
          <w:rFonts w:eastAsia="Arial Unicode MS"/>
          <w:sz w:val="22"/>
          <w:szCs w:val="22"/>
          <w:bdr w:val="nil"/>
        </w:rPr>
        <w:t>5.11.</w:t>
      </w:r>
      <w:r>
        <w:rPr>
          <w:rFonts w:eastAsia="Arial Unicode MS"/>
          <w:sz w:val="22"/>
          <w:szCs w:val="22"/>
          <w:bdr w:val="nil"/>
        </w:rPr>
        <w:t>8</w:t>
      </w:r>
      <w:r w:rsidR="00B900A1" w:rsidRPr="00B900A1">
        <w:rPr>
          <w:rFonts w:eastAsia="Arial Unicode MS"/>
          <w:sz w:val="22"/>
          <w:szCs w:val="22"/>
          <w:bdr w:val="nil"/>
        </w:rPr>
        <w:t xml:space="preserve">. </w:t>
      </w:r>
      <w:r w:rsidR="00B900A1" w:rsidRPr="00B900A1">
        <w:rPr>
          <w:rFonts w:eastAsia="Arial Unicode MS"/>
          <w:sz w:val="22"/>
          <w:szCs w:val="22"/>
          <w:bdr w:val="nil"/>
          <w:lang w:eastAsia="lt-LT"/>
        </w:rPr>
        <w:t>Tiekėjas turi pateikti p</w:t>
      </w:r>
      <w:r w:rsidR="00B900A1"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00B900A1"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00B900A1" w:rsidRPr="00B900A1">
        <w:rPr>
          <w:rFonts w:eastAsia="Arial Unicode MS"/>
          <w:sz w:val="22"/>
          <w:szCs w:val="22"/>
          <w:bdr w:val="nil"/>
        </w:rPr>
        <w:t xml:space="preserve">. </w:t>
      </w:r>
      <w:r w:rsidR="00B900A1"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00B900A1"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00B900A1"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00B900A1"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00B900A1" w:rsidRPr="00631949">
        <w:rPr>
          <w:rFonts w:eastAsia="Arial Unicode MS"/>
          <w:sz w:val="22"/>
          <w:szCs w:val="22"/>
          <w:u w:val="single"/>
          <w:bdr w:val="nil"/>
        </w:rPr>
        <w:t>“ turi būti</w:t>
      </w:r>
      <w:r w:rsidR="00B900A1" w:rsidRPr="00B900A1">
        <w:rPr>
          <w:rFonts w:eastAsia="Arial Unicode MS"/>
          <w:sz w:val="22"/>
          <w:szCs w:val="22"/>
          <w:u w:val="single"/>
          <w:bdr w:val="nil"/>
        </w:rPr>
        <w:t xml:space="preserve"> nurodytas puslapis, kuriame yra atžyma.</w:t>
      </w:r>
      <w:r w:rsidR="00B900A1" w:rsidRPr="00B900A1">
        <w:rPr>
          <w:rFonts w:eastAsia="Arial Unicode MS"/>
          <w:sz w:val="22"/>
          <w:szCs w:val="22"/>
          <w:bdr w:val="nil"/>
        </w:rPr>
        <w:t xml:space="preserve"> </w:t>
      </w:r>
      <w:r w:rsidR="00B900A1" w:rsidRPr="00B900A1">
        <w:rPr>
          <w:rFonts w:eastAsia="Arial Unicode MS"/>
          <w:iCs/>
          <w:sz w:val="22"/>
          <w:szCs w:val="22"/>
          <w:bdr w:val="nil"/>
        </w:rPr>
        <w:t>Pateikiamos skaitmeninės dokumentų kopijos</w:t>
      </w:r>
      <w:r w:rsidR="00B900A1"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815B5D">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815B5D"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201315" w:rsidRPr="00201315">
        <w:rPr>
          <w:rFonts w:cs="Times New Roman"/>
          <w:sz w:val="22"/>
          <w:szCs w:val="22"/>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2B664F" w:rsidRPr="00AD5535">
        <w:rPr>
          <w:b/>
          <w:iCs/>
          <w:color w:val="548DD4" w:themeColor="text2" w:themeTint="99"/>
          <w:sz w:val="22"/>
          <w:szCs w:val="22"/>
        </w:rPr>
        <w:t>5</w:t>
      </w:r>
      <w:r w:rsidR="009A3013" w:rsidRPr="00AD5535">
        <w:rPr>
          <w:b/>
          <w:iCs/>
          <w:color w:val="548DD4" w:themeColor="text2" w:themeTint="99"/>
          <w:sz w:val="22"/>
          <w:szCs w:val="22"/>
        </w:rPr>
        <w:t xml:space="preserve"> m. </w:t>
      </w:r>
      <w:r w:rsidR="00BF5A05" w:rsidRPr="00AD5535">
        <w:rPr>
          <w:b/>
          <w:iCs/>
          <w:color w:val="548DD4" w:themeColor="text2" w:themeTint="99"/>
          <w:sz w:val="22"/>
          <w:szCs w:val="22"/>
        </w:rPr>
        <w:t>spalio</w:t>
      </w:r>
      <w:r w:rsidR="000706F8" w:rsidRPr="00AD5535">
        <w:rPr>
          <w:b/>
          <w:iCs/>
          <w:color w:val="548DD4" w:themeColor="text2" w:themeTint="99"/>
          <w:sz w:val="22"/>
          <w:szCs w:val="22"/>
        </w:rPr>
        <w:t xml:space="preserve"> </w:t>
      </w:r>
      <w:r w:rsidR="007669AF">
        <w:rPr>
          <w:b/>
          <w:iCs/>
          <w:color w:val="548DD4" w:themeColor="text2" w:themeTint="99"/>
          <w:sz w:val="22"/>
          <w:szCs w:val="22"/>
        </w:rPr>
        <w:t>31</w:t>
      </w:r>
      <w:r w:rsidR="000706F8" w:rsidRPr="00AD5535">
        <w:rPr>
          <w:b/>
          <w:iCs/>
          <w:color w:val="548DD4" w:themeColor="text2" w:themeTint="99"/>
          <w:sz w:val="22"/>
          <w:szCs w:val="22"/>
        </w:rPr>
        <w:t xml:space="preserve"> </w:t>
      </w:r>
      <w:r w:rsidRPr="00AD5535">
        <w:rPr>
          <w:b/>
          <w:iCs/>
          <w:color w:val="548DD4" w:themeColor="text2" w:themeTint="99"/>
          <w:sz w:val="22"/>
          <w:szCs w:val="22"/>
        </w:rPr>
        <w:t xml:space="preserve">d. </w:t>
      </w:r>
      <w:r w:rsidR="002C59AF" w:rsidRPr="00AD5535">
        <w:rPr>
          <w:b/>
          <w:iCs/>
          <w:color w:val="548DD4" w:themeColor="text2" w:themeTint="99"/>
          <w:sz w:val="22"/>
          <w:szCs w:val="22"/>
        </w:rPr>
        <w:t>10</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2B664F" w:rsidRPr="00AD5535">
        <w:rPr>
          <w:b/>
          <w:iCs/>
          <w:color w:val="548DD4" w:themeColor="text2" w:themeTint="99"/>
          <w:sz w:val="22"/>
          <w:szCs w:val="22"/>
          <w:u w:val="single"/>
        </w:rPr>
        <w:t>5</w:t>
      </w:r>
      <w:r w:rsidRPr="00AD5535">
        <w:rPr>
          <w:b/>
          <w:iCs/>
          <w:color w:val="548DD4" w:themeColor="text2" w:themeTint="99"/>
          <w:sz w:val="22"/>
          <w:szCs w:val="22"/>
          <w:u w:val="single"/>
        </w:rPr>
        <w:t xml:space="preserve"> m.</w:t>
      </w:r>
      <w:r w:rsidR="00BF5A05" w:rsidRPr="00AD5535">
        <w:rPr>
          <w:b/>
          <w:iCs/>
          <w:color w:val="548DD4" w:themeColor="text2" w:themeTint="99"/>
          <w:sz w:val="22"/>
          <w:szCs w:val="22"/>
          <w:u w:val="single"/>
        </w:rPr>
        <w:t xml:space="preserve"> spalio</w:t>
      </w:r>
      <w:r w:rsidR="002A5A44" w:rsidRPr="00AD5535">
        <w:rPr>
          <w:b/>
          <w:iCs/>
          <w:color w:val="548DD4" w:themeColor="text2" w:themeTint="99"/>
          <w:sz w:val="22"/>
          <w:szCs w:val="22"/>
          <w:u w:val="single"/>
        </w:rPr>
        <w:t xml:space="preserve"> </w:t>
      </w:r>
      <w:r w:rsidR="007669AF">
        <w:rPr>
          <w:b/>
          <w:iCs/>
          <w:color w:val="548DD4" w:themeColor="text2" w:themeTint="99"/>
          <w:sz w:val="22"/>
          <w:szCs w:val="22"/>
          <w:u w:val="single"/>
        </w:rPr>
        <w:t>31</w:t>
      </w:r>
      <w:r w:rsidR="009878E4" w:rsidRPr="00AD5535">
        <w:rPr>
          <w:b/>
          <w:iCs/>
          <w:color w:val="548DD4" w:themeColor="text2" w:themeTint="99"/>
          <w:sz w:val="22"/>
          <w:szCs w:val="22"/>
          <w:u w:val="single"/>
        </w:rPr>
        <w:t xml:space="preserve"> </w:t>
      </w:r>
      <w:r w:rsidRPr="00AD5535">
        <w:rPr>
          <w:b/>
          <w:iCs/>
          <w:color w:val="548DD4" w:themeColor="text2" w:themeTint="99"/>
          <w:sz w:val="22"/>
          <w:szCs w:val="22"/>
          <w:u w:val="single"/>
        </w:rPr>
        <w:t xml:space="preserve">d. intervale </w:t>
      </w:r>
      <w:r w:rsidR="002C59AF" w:rsidRPr="00AD5535">
        <w:rPr>
          <w:b/>
          <w:iCs/>
          <w:color w:val="548DD4" w:themeColor="text2" w:themeTint="99"/>
          <w:sz w:val="22"/>
          <w:szCs w:val="22"/>
          <w:u w:val="single"/>
        </w:rPr>
        <w:t>10</w:t>
      </w:r>
      <w:r w:rsidRPr="00AD5535">
        <w:rPr>
          <w:b/>
          <w:iCs/>
          <w:color w:val="548DD4" w:themeColor="text2" w:themeTint="99"/>
          <w:sz w:val="22"/>
          <w:szCs w:val="22"/>
          <w:u w:val="single"/>
        </w:rPr>
        <w:t xml:space="preserve">.00 – </w:t>
      </w:r>
      <w:r w:rsidR="002C59AF" w:rsidRPr="00AD5535">
        <w:rPr>
          <w:b/>
          <w:iCs/>
          <w:color w:val="548DD4" w:themeColor="text2" w:themeTint="99"/>
          <w:sz w:val="22"/>
          <w:szCs w:val="22"/>
          <w:u w:val="single"/>
        </w:rPr>
        <w:t>10</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DC2850" w:rsidRPr="00DC2850" w:rsidRDefault="008673A7" w:rsidP="00323CE5">
      <w:pPr>
        <w:suppressAutoHyphens/>
        <w:ind w:firstLine="567"/>
        <w:jc w:val="both"/>
        <w:rPr>
          <w:sz w:val="22"/>
          <w:szCs w:val="22"/>
          <w:lang w:val="es-ES_tradnl"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 xml:space="preserve">nurodytus </w:t>
      </w:r>
      <w:r w:rsidRPr="00DC2850">
        <w:rPr>
          <w:sz w:val="22"/>
          <w:szCs w:val="22"/>
          <w:lang w:eastAsia="lt-LT"/>
        </w:rPr>
        <w:t>kvalifikacijos reikalavimus ir reikalaujamus kokybė</w:t>
      </w:r>
      <w:r w:rsidRPr="00DC2850">
        <w:rPr>
          <w:sz w:val="22"/>
          <w:szCs w:val="22"/>
          <w:lang w:val="es-ES_tradnl" w:eastAsia="lt-LT"/>
        </w:rPr>
        <w:t>s vadybos sistemos ir (arba) aplinkos apsaugos vadybos sistemos standartus (</w:t>
      </w:r>
      <w:r w:rsidRPr="00DC2850">
        <w:rPr>
          <w:sz w:val="22"/>
          <w:szCs w:val="22"/>
          <w:lang w:eastAsia="lt-LT"/>
        </w:rPr>
        <w:t>jeigu taikytina)</w:t>
      </w:r>
      <w:r w:rsidRPr="00DC2850">
        <w:rPr>
          <w:sz w:val="22"/>
          <w:szCs w:val="22"/>
          <w:lang w:val="es-ES_tradnl" w:eastAsia="lt-LT"/>
        </w:rPr>
        <w:t>.</w:t>
      </w:r>
    </w:p>
    <w:p w:rsidR="00DC2850" w:rsidRPr="00DC2850" w:rsidRDefault="00DC2850" w:rsidP="00DC2850">
      <w:pPr>
        <w:suppressAutoHyphens/>
        <w:ind w:firstLine="567"/>
        <w:jc w:val="both"/>
        <w:rPr>
          <w:rFonts w:eastAsia="Arial Unicode MS"/>
          <w:color w:val="000000"/>
          <w:sz w:val="22"/>
          <w:szCs w:val="22"/>
          <w:bdr w:val="nil"/>
          <w:lang w:val="en-US" w:eastAsia="lt-LT"/>
        </w:rPr>
      </w:pPr>
      <w:r w:rsidRPr="00DC2850">
        <w:rPr>
          <w:rFonts w:eastAsia="Arial Unicode MS"/>
          <w:sz w:val="22"/>
          <w:szCs w:val="22"/>
          <w:bdr w:val="nil"/>
          <w:lang w:val="es-ES_tradnl" w:eastAsia="lt-LT"/>
        </w:rPr>
        <w:t>11.1.7.</w:t>
      </w:r>
      <w:r w:rsidRPr="00DC2850">
        <w:rPr>
          <w:rFonts w:eastAsia="Arial Unicode MS"/>
          <w:sz w:val="22"/>
          <w:szCs w:val="22"/>
          <w:bdr w:val="nil"/>
          <w:lang w:val="it-IT" w:eastAsia="lt-LT"/>
        </w:rPr>
        <w:t xml:space="preserve"> Perkančioji organizacija iš ekonomiškai naudingiausią pasiūlymą pateikusio tiekėjo reikalaus pateikti vieną (esant poreikiui – kelis) VPĮ 39 straipsnio 3 dalyje ir </w:t>
      </w:r>
      <w:r w:rsidRPr="00DC2850">
        <w:rPr>
          <w:rFonts w:eastAsia="Arial Unicode MS"/>
          <w:sz w:val="22"/>
          <w:szCs w:val="22"/>
          <w:lang w:eastAsia="lt-LT"/>
        </w:rPr>
        <w:t xml:space="preserve">51 straipsnio 12 dalyje </w:t>
      </w:r>
      <w:r w:rsidRPr="00DC2850">
        <w:rPr>
          <w:rFonts w:eastAsia="Arial Unicode MS"/>
          <w:sz w:val="22"/>
          <w:szCs w:val="22"/>
          <w:bdr w:val="nil"/>
          <w:lang w:val="it-IT" w:eastAsia="lt-LT"/>
        </w:rPr>
        <w:t xml:space="preserve">numatytą dokumentą. Perkančioji organizacija bet kuriuo pirkimo procedūros metu turi teisę pareikalauti dalyvių pateikti visus ar dalį dokumentų, nurodytų VPĮ 39 straipsnio 3 dalyje ir </w:t>
      </w:r>
      <w:r w:rsidRPr="00DC2850">
        <w:rPr>
          <w:rFonts w:eastAsia="Arial Unicode MS"/>
          <w:sz w:val="22"/>
          <w:szCs w:val="22"/>
          <w:lang w:eastAsia="lt-LT"/>
        </w:rPr>
        <w:t>51 straipsnio 12 dalyje</w:t>
      </w:r>
      <w:r w:rsidRPr="00DC2850">
        <w:rPr>
          <w:rFonts w:eastAsia="Arial Unicode MS"/>
          <w:sz w:val="22"/>
          <w:szCs w:val="22"/>
          <w:bdr w:val="nil"/>
          <w:lang w:val="it-IT" w:eastAsia="lt-LT"/>
        </w:rPr>
        <w:t xml:space="preserve"> (jei taikytina).</w:t>
      </w:r>
      <w:r w:rsidRPr="00DC2850">
        <w:rPr>
          <w:rFonts w:eastAsia="Arial Unicode MS"/>
          <w:color w:val="000000"/>
          <w:sz w:val="22"/>
          <w:szCs w:val="22"/>
          <w:bdr w:val="nil"/>
          <w:lang w:val="en-US" w:eastAsia="lt-LT"/>
        </w:rPr>
        <w:tab/>
      </w:r>
    </w:p>
    <w:p w:rsidR="00B35758" w:rsidRPr="007A7217" w:rsidRDefault="00B35758" w:rsidP="008673A7">
      <w:pPr>
        <w:suppressAutoHyphens/>
        <w:spacing w:after="40"/>
        <w:ind w:firstLine="567"/>
        <w:jc w:val="both"/>
        <w:rPr>
          <w:color w:val="000000"/>
          <w:sz w:val="22"/>
          <w:szCs w:val="22"/>
          <w:lang w:eastAsia="lt-LT"/>
        </w:rPr>
      </w:pPr>
      <w:r w:rsidRPr="00DC2850">
        <w:rPr>
          <w:color w:val="000000"/>
          <w:sz w:val="22"/>
          <w:szCs w:val="22"/>
          <w:lang w:eastAsia="lt-LT"/>
        </w:rPr>
        <w:t xml:space="preserve">11.2. </w:t>
      </w:r>
      <w:r w:rsidR="005303C0" w:rsidRPr="00DC2850">
        <w:rPr>
          <w:color w:val="000000"/>
          <w:sz w:val="22"/>
          <w:szCs w:val="22"/>
          <w:lang w:eastAsia="lt-LT"/>
        </w:rPr>
        <w:t>Jeigu kandidatas ar dalyvis pateikė</w:t>
      </w:r>
      <w:r w:rsidR="005303C0" w:rsidRPr="005303C0">
        <w:rPr>
          <w:color w:val="000000"/>
          <w:sz w:val="22"/>
          <w:szCs w:val="22"/>
          <w:lang w:eastAsia="lt-LT"/>
        </w:rPr>
        <w:t xml:space="preserve">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organizacijos prašymu nepateikė ar nepatikslino pateiktos netikslios ar neišsamios informacijos dėl </w:t>
      </w:r>
      <w:r w:rsidR="0090382D" w:rsidRPr="0090382D">
        <w:rPr>
          <w:rFonts w:eastAsia="Arial Unicode MS" w:cs="Arial Unicode MS"/>
          <w:color w:val="000000"/>
          <w:sz w:val="22"/>
          <w:szCs w:val="22"/>
          <w:bdr w:val="nil"/>
          <w:lang w:val="en-US" w:eastAsia="en-GB"/>
        </w:rPr>
        <w:t>Nacionalinio saugumo reikalavimų atitikties nustatytų sąlygų nebuvimo</w:t>
      </w:r>
      <w:r w:rsidR="0090382D" w:rsidRPr="0090382D">
        <w:rPr>
          <w:rFonts w:eastAsia="Arial Unicode MS" w:cs="Arial Unicode MS"/>
          <w:color w:val="000000"/>
          <w:sz w:val="22"/>
          <w:szCs w:val="22"/>
          <w:bdr w:val="nil"/>
          <w:lang w:eastAsia="en-GB"/>
        </w:rPr>
        <w:t>.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14.1. Perkančioji organizacija ekonomiškai naudingiausią pasiūlymą išrenka pagal kainos ir kokybės santykį. Ekonomiškai naudingiausiu pasiūlymu laikomas pasiūlymas, kurio ekonominis naudingumas didžiausias.</w:t>
      </w: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C6B3B" w:rsidRPr="00FC6B3B" w:rsidRDefault="00AD1E1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14.3. </w:t>
      </w:r>
      <w:r w:rsidR="00B36EAF" w:rsidRPr="00B36EAF">
        <w:rPr>
          <w:rFonts w:eastAsia="Calibri"/>
          <w:color w:val="000000" w:themeColor="text1"/>
          <w:sz w:val="22"/>
          <w:szCs w:val="22"/>
        </w:rPr>
        <w:t>Ekonomiškai naudingiausias pasiūlymas – tai pasiūlymas, kurio balų suma, apskaičiuota pagal toliau nustatytus pasiūlymų vertinimo kriterijus ir sąlygas, yra didžiausia</w:t>
      </w:r>
      <w:r w:rsidR="00FC6B3B" w:rsidRPr="00FC6B3B">
        <w:rPr>
          <w:rFonts w:eastAsia="Calibri"/>
          <w:color w:val="000000" w:themeColor="text1"/>
          <w:sz w:val="22"/>
          <w:szCs w:val="22"/>
        </w:rPr>
        <w:t>.</w:t>
      </w:r>
    </w:p>
    <w:p w:rsidR="00BF036D" w:rsidRPr="00ED435B" w:rsidRDefault="00BF036D" w:rsidP="00BF036D">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t>14.</w:t>
      </w:r>
      <w:r>
        <w:rPr>
          <w:rFonts w:ascii="Cambria" w:hAnsi="Cambria"/>
          <w:b/>
          <w:sz w:val="22"/>
          <w:szCs w:val="22"/>
        </w:rPr>
        <w:t>4</w:t>
      </w:r>
      <w:r w:rsidRPr="00ED435B">
        <w:rPr>
          <w:rFonts w:ascii="Cambria" w:hAnsi="Cambria"/>
          <w:b/>
          <w:sz w:val="22"/>
          <w:szCs w:val="22"/>
        </w:rPr>
        <w:t>.  1 pirkimo dalies</w:t>
      </w:r>
      <w:r w:rsidRPr="007764FA">
        <w:rPr>
          <w:rFonts w:ascii="Cambria" w:eastAsia="Arial Unicode MS" w:hAnsi="Cambria"/>
          <w:bCs/>
          <w:sz w:val="22"/>
          <w:szCs w:val="22"/>
          <w:bdr w:val="nil"/>
          <w:lang w:eastAsia="ar-SA"/>
        </w:rPr>
        <w:t xml:space="preserve"> </w:t>
      </w:r>
      <w:r>
        <w:rPr>
          <w:rFonts w:ascii="Cambria" w:eastAsia="Arial Unicode MS" w:hAnsi="Cambria"/>
          <w:bCs/>
          <w:sz w:val="22"/>
          <w:szCs w:val="22"/>
          <w:bdr w:val="nil"/>
          <w:lang w:eastAsia="ar-SA"/>
        </w:rPr>
        <w:t>„</w:t>
      </w:r>
      <w:r w:rsidRPr="00BF036D">
        <w:rPr>
          <w:rFonts w:ascii="Cambria" w:hAnsi="Cambria"/>
          <w:b/>
          <w:bCs/>
          <w:sz w:val="22"/>
          <w:szCs w:val="22"/>
        </w:rPr>
        <w:t>Aukščiausios (ekspertinės) kla</w:t>
      </w:r>
      <w:r>
        <w:rPr>
          <w:rFonts w:ascii="Cambria" w:hAnsi="Cambria"/>
          <w:b/>
          <w:bCs/>
          <w:sz w:val="22"/>
          <w:szCs w:val="22"/>
        </w:rPr>
        <w:t>sės ultragarso aparatas“</w:t>
      </w:r>
      <w:r w:rsidRPr="00ED435B">
        <w:rPr>
          <w:rFonts w:ascii="Cambria" w:hAnsi="Cambria"/>
          <w:b/>
          <w:sz w:val="22"/>
          <w:szCs w:val="22"/>
        </w:rPr>
        <w:t xml:space="preserve"> ekonominio vertinimo kriterijai</w:t>
      </w:r>
      <w:r>
        <w:rPr>
          <w:rFonts w:ascii="Cambria" w:hAnsi="Cambria"/>
          <w:b/>
          <w:sz w:val="22"/>
          <w:szCs w:val="22"/>
        </w:rPr>
        <w:t>:</w:t>
      </w:r>
    </w:p>
    <w:p w:rsidR="00EC6F8D" w:rsidRPr="00EC6F8D" w:rsidRDefault="00962785"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14.4.1. </w:t>
      </w:r>
      <w:r w:rsidR="00EC6F8D" w:rsidRPr="00EC6F8D">
        <w:rPr>
          <w:rFonts w:eastAsia="Calibri"/>
          <w:color w:val="000000" w:themeColor="text1"/>
          <w:sz w:val="22"/>
          <w:szCs w:val="22"/>
        </w:rPr>
        <w:t>Numatytų vertinimo kriterijų lyginamieji svoriai:</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EC6F8D">
        <w:rPr>
          <w:rFonts w:eastAsia="Calibri"/>
          <w:color w:val="000000" w:themeColor="text1"/>
          <w:sz w:val="22"/>
          <w:szCs w:val="22"/>
        </w:rPr>
        <w:t>1) Kaina (K) – 70;</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EC6F8D">
        <w:rPr>
          <w:rFonts w:eastAsia="Calibri"/>
          <w:color w:val="000000" w:themeColor="text1"/>
          <w:sz w:val="22"/>
          <w:szCs w:val="22"/>
        </w:rPr>
        <w:t>2) Techniniai pranašumai (T) – 30;</w:t>
      </w: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Vertinimo kriterijai ir jų parametrų lyginamieji svoriai:</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861"/>
        <w:gridCol w:w="2042"/>
        <w:gridCol w:w="1328"/>
        <w:gridCol w:w="2554"/>
      </w:tblGrid>
      <w:tr w:rsidR="00EC6F8D" w:rsidRPr="00EC6F8D" w:rsidTr="007E565C">
        <w:tc>
          <w:tcPr>
            <w:tcW w:w="5728" w:type="dxa"/>
            <w:gridSpan w:val="3"/>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b/>
                <w:bCs/>
                <w:color w:val="000000" w:themeColor="text1"/>
                <w:sz w:val="22"/>
                <w:szCs w:val="22"/>
              </w:rPr>
            </w:pPr>
            <w:r w:rsidRPr="00EC6F8D">
              <w:rPr>
                <w:rFonts w:eastAsia="Calibri"/>
                <w:b/>
                <w:bCs/>
                <w:color w:val="000000" w:themeColor="text1"/>
                <w:sz w:val="22"/>
                <w:szCs w:val="22"/>
              </w:rPr>
              <w:t>Vertinimo kriterijai</w:t>
            </w:r>
          </w:p>
        </w:tc>
        <w:tc>
          <w:tcPr>
            <w:tcW w:w="1328"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Parametro lyginamasis svoris</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hanging="70"/>
              <w:contextualSpacing/>
              <w:jc w:val="center"/>
              <w:rPr>
                <w:rFonts w:eastAsia="Calibri"/>
                <w:b/>
                <w:bCs/>
                <w:color w:val="000000" w:themeColor="text1"/>
                <w:sz w:val="22"/>
                <w:szCs w:val="22"/>
              </w:rPr>
            </w:pPr>
            <w:r w:rsidRPr="00EC6F8D">
              <w:rPr>
                <w:rFonts w:eastAsia="Calibri"/>
                <w:b/>
                <w:bCs/>
                <w:color w:val="000000" w:themeColor="text1"/>
                <w:sz w:val="22"/>
                <w:szCs w:val="22"/>
              </w:rPr>
              <w:t>Lyginamasis svoris ekonominio naudingumo įvertinime</w:t>
            </w:r>
          </w:p>
        </w:tc>
      </w:tr>
      <w:tr w:rsidR="00EC6F8D" w:rsidRPr="00EC6F8D" w:rsidTr="007E565C">
        <w:tc>
          <w:tcPr>
            <w:tcW w:w="7056" w:type="dxa"/>
            <w:gridSpan w:val="4"/>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Kaina (K)</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X=70</w:t>
            </w:r>
          </w:p>
        </w:tc>
      </w:tr>
      <w:tr w:rsidR="00EC6F8D" w:rsidRPr="00EC6F8D" w:rsidTr="007E565C">
        <w:tc>
          <w:tcPr>
            <w:tcW w:w="7056" w:type="dxa"/>
            <w:gridSpan w:val="4"/>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Techniniai pranašumai (T)</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Y=30</w:t>
            </w:r>
          </w:p>
        </w:tc>
      </w:tr>
      <w:tr w:rsidR="00EC6F8D" w:rsidRPr="00EC6F8D" w:rsidTr="007E565C">
        <w:tc>
          <w:tcPr>
            <w:tcW w:w="825"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Nr.</w:t>
            </w:r>
          </w:p>
        </w:tc>
        <w:tc>
          <w:tcPr>
            <w:tcW w:w="2861"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EC6F8D">
              <w:rPr>
                <w:rFonts w:eastAsia="Calibri"/>
                <w:b/>
                <w:bCs/>
                <w:color w:val="000000" w:themeColor="text1"/>
                <w:sz w:val="22"/>
                <w:szCs w:val="22"/>
              </w:rPr>
              <w:t>Parametrai</w:t>
            </w:r>
          </w:p>
        </w:tc>
        <w:tc>
          <w:tcPr>
            <w:tcW w:w="2042"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Vertinimo būdas</w:t>
            </w:r>
          </w:p>
        </w:tc>
        <w:tc>
          <w:tcPr>
            <w:tcW w:w="1328"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p>
        </w:tc>
        <w:tc>
          <w:tcPr>
            <w:tcW w:w="2554"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EC6F8D">
              <w:rPr>
                <w:rFonts w:eastAsia="Calibri"/>
                <w:b/>
                <w:bCs/>
                <w:color w:val="000000" w:themeColor="text1"/>
                <w:sz w:val="22"/>
                <w:szCs w:val="22"/>
              </w:rPr>
              <w:t> </w:t>
            </w:r>
          </w:p>
        </w:tc>
      </w:tr>
      <w:tr w:rsidR="00EC6F8D" w:rsidRPr="00EC6F8D" w:rsidTr="007E565C">
        <w:tc>
          <w:tcPr>
            <w:tcW w:w="825"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T1</w:t>
            </w:r>
          </w:p>
        </w:tc>
        <w:tc>
          <w:tcPr>
            <w:tcW w:w="2861" w:type="dxa"/>
            <w:shd w:val="clear" w:color="auto" w:fill="auto"/>
            <w:vAlign w:val="center"/>
            <w:hideMark/>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Bendrasis dinaminis diapazonas ≥ 390 dB</w:t>
            </w:r>
          </w:p>
        </w:tc>
        <w:tc>
          <w:tcPr>
            <w:tcW w:w="2042"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1</w:t>
            </w:r>
            <w:r w:rsidRPr="00EC6F8D">
              <w:rPr>
                <w:rFonts w:eastAsia="Calibri"/>
                <w:color w:val="000000" w:themeColor="text1"/>
                <w:sz w:val="22"/>
                <w:szCs w:val="22"/>
              </w:rPr>
              <w:t xml:space="preserve"> = 0,05</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T2</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Maksimalus vaizduojamas (skenuojamas) gylis ≥ 60 cm</w:t>
            </w:r>
          </w:p>
        </w:tc>
        <w:tc>
          <w:tcPr>
            <w:tcW w:w="2042"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 xml:space="preserve">2 </w:t>
            </w:r>
            <w:r w:rsidRPr="00EC6F8D">
              <w:rPr>
                <w:rFonts w:eastAsia="Calibri"/>
                <w:color w:val="000000" w:themeColor="text1"/>
                <w:sz w:val="22"/>
                <w:szCs w:val="22"/>
              </w:rPr>
              <w:t>= 0,1</w:t>
            </w:r>
          </w:p>
        </w:tc>
        <w:tc>
          <w:tcPr>
            <w:tcW w:w="2554"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T3</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Komplektuojami davikliai (konveksinis ir linijiniai) pagaminti remiantis monokristaline technologija</w:t>
            </w:r>
          </w:p>
        </w:tc>
        <w:tc>
          <w:tcPr>
            <w:tcW w:w="2042"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 xml:space="preserve">3 </w:t>
            </w:r>
            <w:r w:rsidRPr="00EC6F8D">
              <w:rPr>
                <w:rFonts w:eastAsia="Calibri"/>
                <w:color w:val="000000" w:themeColor="text1"/>
                <w:sz w:val="22"/>
                <w:szCs w:val="22"/>
              </w:rPr>
              <w:t>= 0,1</w:t>
            </w:r>
          </w:p>
        </w:tc>
        <w:tc>
          <w:tcPr>
            <w:tcW w:w="2554"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T4</w:t>
            </w:r>
          </w:p>
        </w:tc>
        <w:tc>
          <w:tcPr>
            <w:tcW w:w="2861" w:type="dxa"/>
            <w:shd w:val="clear" w:color="auto" w:fill="auto"/>
            <w:vAlign w:val="center"/>
            <w:hideMark/>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Komplektuojamo konveksinio daviklio apžiūros kampas (angl. field of view) ≥ 110°</w:t>
            </w:r>
          </w:p>
        </w:tc>
        <w:tc>
          <w:tcPr>
            <w:tcW w:w="2042"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4</w:t>
            </w:r>
            <w:r w:rsidRPr="00EC6F8D">
              <w:rPr>
                <w:rFonts w:eastAsia="Calibri"/>
                <w:color w:val="000000" w:themeColor="text1"/>
                <w:sz w:val="22"/>
                <w:szCs w:val="22"/>
              </w:rPr>
              <w:t xml:space="preserve"> = 0,1</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T5</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Komplektuojamo konveksinio daviklio elementų skaičius ≥ 192</w:t>
            </w:r>
          </w:p>
        </w:tc>
        <w:tc>
          <w:tcPr>
            <w:tcW w:w="2042"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5</w:t>
            </w:r>
            <w:r w:rsidRPr="00EC6F8D">
              <w:rPr>
                <w:rFonts w:eastAsia="Calibri"/>
                <w:color w:val="000000" w:themeColor="text1"/>
                <w:sz w:val="22"/>
                <w:szCs w:val="22"/>
              </w:rPr>
              <w:t xml:space="preserve"> = 0,1</w:t>
            </w:r>
          </w:p>
        </w:tc>
        <w:tc>
          <w:tcPr>
            <w:tcW w:w="2554"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T6</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Komplektuojamo linijinio daviklio Nr. 1 elementų skaičius ≥ 1500</w:t>
            </w:r>
          </w:p>
        </w:tc>
        <w:tc>
          <w:tcPr>
            <w:tcW w:w="2042"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 xml:space="preserve">6 </w:t>
            </w:r>
            <w:r w:rsidRPr="00EC6F8D">
              <w:rPr>
                <w:rFonts w:eastAsia="Calibri"/>
                <w:color w:val="000000" w:themeColor="text1"/>
                <w:sz w:val="22"/>
                <w:szCs w:val="22"/>
              </w:rPr>
              <w:t>= 0,1</w:t>
            </w:r>
          </w:p>
        </w:tc>
        <w:tc>
          <w:tcPr>
            <w:tcW w:w="2554"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T7</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Komplektuojamo linijinio daviklio Nr. 1 dažnio diapazono viršutinė riba ≥ 20 MHz</w:t>
            </w:r>
          </w:p>
        </w:tc>
        <w:tc>
          <w:tcPr>
            <w:tcW w:w="2042"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 xml:space="preserve">7 </w:t>
            </w:r>
            <w:r w:rsidRPr="00EC6F8D">
              <w:rPr>
                <w:rFonts w:eastAsia="Calibri"/>
                <w:color w:val="000000" w:themeColor="text1"/>
                <w:sz w:val="22"/>
                <w:szCs w:val="22"/>
              </w:rPr>
              <w:t>= 0,05</w:t>
            </w:r>
          </w:p>
        </w:tc>
        <w:tc>
          <w:tcPr>
            <w:tcW w:w="2554"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rPr>
          <w:trHeight w:val="1133"/>
        </w:trPr>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T8</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Komplektuojamo linijinio daviklio Nr. 2 dažnio diapazono viršutinė riba ≥ 12 MHz</w:t>
            </w:r>
          </w:p>
        </w:tc>
        <w:tc>
          <w:tcPr>
            <w:tcW w:w="2042"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 xml:space="preserve">8 </w:t>
            </w:r>
            <w:r w:rsidRPr="00EC6F8D">
              <w:rPr>
                <w:rFonts w:eastAsia="Calibri"/>
                <w:color w:val="000000" w:themeColor="text1"/>
                <w:sz w:val="22"/>
                <w:szCs w:val="22"/>
              </w:rPr>
              <w:t>= 0,05</w:t>
            </w:r>
          </w:p>
        </w:tc>
        <w:tc>
          <w:tcPr>
            <w:tcW w:w="2554"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T9</w:t>
            </w:r>
          </w:p>
        </w:tc>
        <w:tc>
          <w:tcPr>
            <w:tcW w:w="2861" w:type="dxa"/>
            <w:shd w:val="clear" w:color="auto" w:fill="auto"/>
            <w:vAlign w:val="center"/>
            <w:hideMark/>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Ultragarsinės sistemos architektūra gebanti apdoroti signalų informaciją ne mažiau kaip 65 GB/s greičiu</w:t>
            </w:r>
          </w:p>
        </w:tc>
        <w:tc>
          <w:tcPr>
            <w:tcW w:w="2042"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9</w:t>
            </w:r>
            <w:r w:rsidRPr="00EC6F8D">
              <w:rPr>
                <w:rFonts w:eastAsia="Calibri"/>
                <w:color w:val="000000" w:themeColor="text1"/>
                <w:sz w:val="22"/>
                <w:szCs w:val="22"/>
              </w:rPr>
              <w:t xml:space="preserve"> = 0,05</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T10</w:t>
            </w:r>
          </w:p>
        </w:tc>
        <w:tc>
          <w:tcPr>
            <w:tcW w:w="2861" w:type="dxa"/>
            <w:shd w:val="clear" w:color="auto" w:fill="auto"/>
            <w:vAlign w:val="center"/>
            <w:hideMark/>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Ultragarsinės sistemos monitoriaus ekranas padengtas stiklu, ≥ 23,8 colio įstrižainės, ne mažesnio kaip 320 cd/m</w:t>
            </w:r>
            <w:r w:rsidRPr="00EC6F8D">
              <w:rPr>
                <w:rFonts w:eastAsia="Calibri"/>
                <w:color w:val="000000" w:themeColor="text1"/>
                <w:sz w:val="22"/>
                <w:szCs w:val="22"/>
                <w:vertAlign w:val="superscript"/>
              </w:rPr>
              <w:t>2</w:t>
            </w:r>
            <w:r w:rsidRPr="00EC6F8D">
              <w:rPr>
                <w:rFonts w:eastAsia="Calibri"/>
                <w:color w:val="000000" w:themeColor="text1"/>
                <w:sz w:val="22"/>
                <w:szCs w:val="22"/>
              </w:rPr>
              <w:t xml:space="preserve"> ryškumo</w:t>
            </w:r>
          </w:p>
        </w:tc>
        <w:tc>
          <w:tcPr>
            <w:tcW w:w="2042"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10</w:t>
            </w:r>
            <w:r w:rsidRPr="00EC6F8D">
              <w:rPr>
                <w:rFonts w:eastAsia="Calibri"/>
                <w:color w:val="000000" w:themeColor="text1"/>
                <w:sz w:val="22"/>
                <w:szCs w:val="22"/>
              </w:rPr>
              <w:t xml:space="preserve"> = 0,1</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T11</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Programinė įranga kepenų riebalingumo vertinimui, hepatorenalinio indekso apskaičiavimas</w:t>
            </w:r>
          </w:p>
        </w:tc>
        <w:tc>
          <w:tcPr>
            <w:tcW w:w="2042"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 xml:space="preserve">11 </w:t>
            </w:r>
            <w:r w:rsidRPr="00EC6F8D">
              <w:rPr>
                <w:rFonts w:eastAsia="Calibri"/>
                <w:color w:val="000000" w:themeColor="text1"/>
                <w:sz w:val="22"/>
                <w:szCs w:val="22"/>
              </w:rPr>
              <w:t>= 0,05</w:t>
            </w:r>
          </w:p>
        </w:tc>
        <w:tc>
          <w:tcPr>
            <w:tcW w:w="2554"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T12</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Specializuota programa itin mažo srauto mikro kraujagyslėms tirti, kurios kadrų dažnis ne mažesnis kaip 60 kadrų per sekundę, o mažiausia kraujo srauto aptikimo riba - ne daugiau kaip 0,3 cm/s.</w:t>
            </w:r>
          </w:p>
        </w:tc>
        <w:tc>
          <w:tcPr>
            <w:tcW w:w="2042"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 xml:space="preserve">12 </w:t>
            </w:r>
            <w:r w:rsidRPr="00EC6F8D">
              <w:rPr>
                <w:rFonts w:eastAsia="Calibri"/>
                <w:color w:val="000000" w:themeColor="text1"/>
                <w:sz w:val="22"/>
                <w:szCs w:val="22"/>
              </w:rPr>
              <w:t>= 0,1</w:t>
            </w:r>
          </w:p>
        </w:tc>
        <w:tc>
          <w:tcPr>
            <w:tcW w:w="2554"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r w:rsidR="00EC6F8D" w:rsidRPr="00EC6F8D" w:rsidTr="007E565C">
        <w:tc>
          <w:tcPr>
            <w:tcW w:w="825" w:type="dxa"/>
            <w:shd w:val="clear" w:color="auto" w:fill="auto"/>
            <w:vAlign w:val="center"/>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T13</w:t>
            </w:r>
          </w:p>
        </w:tc>
        <w:tc>
          <w:tcPr>
            <w:tcW w:w="2861"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EC6F8D">
              <w:rPr>
                <w:rFonts w:eastAsia="Calibri"/>
                <w:color w:val="000000" w:themeColor="text1"/>
                <w:sz w:val="22"/>
                <w:szCs w:val="22"/>
              </w:rPr>
              <w:t>Ultragarso bangomis sukeliamos tiriamų paviršinių struktūrų elastografijos režimas („share wave elastography“</w:t>
            </w:r>
          </w:p>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color w:val="000000" w:themeColor="text1"/>
                <w:sz w:val="22"/>
                <w:szCs w:val="22"/>
              </w:rPr>
            </w:pPr>
            <w:r w:rsidRPr="00EC6F8D">
              <w:rPr>
                <w:rFonts w:eastAsia="Calibri"/>
                <w:color w:val="000000" w:themeColor="text1"/>
                <w:sz w:val="22"/>
                <w:szCs w:val="22"/>
              </w:rPr>
              <w:t>arba lygiavertis)</w:t>
            </w:r>
          </w:p>
        </w:tc>
        <w:tc>
          <w:tcPr>
            <w:tcW w:w="2042"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Statinis:</w:t>
            </w:r>
            <w:r w:rsidRPr="00EC6F8D">
              <w:rPr>
                <w:rFonts w:eastAsia="Calibri"/>
                <w:color w:val="000000" w:themeColor="text1"/>
                <w:sz w:val="22"/>
                <w:szCs w:val="22"/>
              </w:rPr>
              <w:br/>
              <w:t>(yra/nėra)</w:t>
            </w:r>
          </w:p>
        </w:tc>
        <w:tc>
          <w:tcPr>
            <w:tcW w:w="1328"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L</w:t>
            </w:r>
            <w:r w:rsidRPr="00EC6F8D">
              <w:rPr>
                <w:rFonts w:eastAsia="Calibri"/>
                <w:color w:val="000000" w:themeColor="text1"/>
                <w:sz w:val="22"/>
                <w:szCs w:val="22"/>
                <w:vertAlign w:val="subscript"/>
              </w:rPr>
              <w:t xml:space="preserve">13 </w:t>
            </w:r>
            <w:r w:rsidRPr="00EC6F8D">
              <w:rPr>
                <w:rFonts w:eastAsia="Calibri"/>
                <w:color w:val="000000" w:themeColor="text1"/>
                <w:sz w:val="22"/>
                <w:szCs w:val="22"/>
              </w:rPr>
              <w:t>= 0,05</w:t>
            </w:r>
          </w:p>
        </w:tc>
        <w:tc>
          <w:tcPr>
            <w:tcW w:w="2554" w:type="dxa"/>
            <w:shd w:val="clear" w:color="auto" w:fill="auto"/>
            <w:vAlign w:val="center"/>
          </w:tcPr>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Įrašyti parametro vertę:</w:t>
            </w:r>
          </w:p>
          <w:p w:rsidR="00EC6F8D" w:rsidRPr="00EC6F8D" w:rsidRDefault="00EC6F8D" w:rsidP="0001170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EC6F8D">
              <w:rPr>
                <w:rFonts w:eastAsia="Calibri"/>
                <w:color w:val="000000" w:themeColor="text1"/>
                <w:sz w:val="22"/>
                <w:szCs w:val="22"/>
              </w:rPr>
              <w:t>yra / nėra</w:t>
            </w:r>
          </w:p>
        </w:tc>
      </w:tr>
    </w:tbl>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Pr="00EC6F8D" w:rsidRDefault="007E565C"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14.4.2. </w:t>
      </w:r>
      <w:r w:rsidR="00EC6F8D" w:rsidRPr="00EC6F8D">
        <w:rPr>
          <w:rFonts w:eastAsia="Calibri"/>
          <w:color w:val="000000" w:themeColor="text1"/>
          <w:sz w:val="22"/>
          <w:szCs w:val="22"/>
        </w:rPr>
        <w:t>Pasiūlymo ekonominio naudingumo (kainos ir kokybės santykio) apskaičiavimo tvarka (formulė) yra pateikiama žemiau:</w:t>
      </w:r>
    </w:p>
    <w:p w:rsid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1. Pasiūlymo ekonominis naudingumas (E) apskaičiuojamas sudedant tiekėjo pasiūlymo kainos (K) ir techninių pranašumų (T) balus:</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EC6F8D">
        <w:rPr>
          <w:rFonts w:eastAsia="Calibri"/>
          <w:color w:val="000000" w:themeColor="text1"/>
          <w:sz w:val="22"/>
          <w:szCs w:val="22"/>
        </w:rPr>
        <w:t>E = K + T</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2. Pasiūlymo kainos (K) balai apskaičiuojami mažiausios pasiūlytos kainos (Kmin) ir vertinamo pasiūlymo kainos (Kv) santykį padauginant iš kainos lyginamojo svorio (X):</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EC6F8D">
        <w:rPr>
          <w:rFonts w:eastAsia="Calibri"/>
          <w:noProof/>
          <w:color w:val="000000" w:themeColor="text1"/>
          <w:sz w:val="22"/>
          <w:szCs w:val="22"/>
          <w:lang w:eastAsia="lt-LT"/>
        </w:rPr>
        <w:drawing>
          <wp:inline distT="0" distB="0" distL="0" distR="0" wp14:anchorId="24FCA731" wp14:editId="0BA6C710">
            <wp:extent cx="920198" cy="368990"/>
            <wp:effectExtent l="0" t="0" r="0" b="0"/>
            <wp:docPr id="16"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pic:cNvPr>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0198" cy="368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Pr="00EC6F8D" w:rsidRDefault="00535AEA"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pt-BR"/>
        </w:rPr>
      </w:pPr>
      <w:r>
        <w:rPr>
          <w:rFonts w:eastAsia="Calibri"/>
          <w:color w:val="000000" w:themeColor="text1"/>
          <w:sz w:val="22"/>
          <w:szCs w:val="22"/>
          <w:lang w:val="pt-BR"/>
        </w:rPr>
        <w:t>14.4.</w:t>
      </w:r>
      <w:r w:rsidR="00EC6F8D" w:rsidRPr="00EC6F8D">
        <w:rPr>
          <w:rFonts w:eastAsia="Calibri"/>
          <w:color w:val="000000" w:themeColor="text1"/>
          <w:sz w:val="22"/>
          <w:szCs w:val="22"/>
          <w:lang w:val="pt-BR"/>
        </w:rPr>
        <w:t>3. Siūlomo objekto T</w:t>
      </w:r>
      <w:r w:rsidR="00EC6F8D" w:rsidRPr="00EC6F8D">
        <w:rPr>
          <w:rFonts w:eastAsia="Calibri"/>
          <w:color w:val="000000" w:themeColor="text1"/>
          <w:sz w:val="22"/>
          <w:szCs w:val="22"/>
          <w:vertAlign w:val="subscript"/>
          <w:lang w:val="pt-BR"/>
        </w:rPr>
        <w:t>i</w:t>
      </w:r>
      <w:r w:rsidR="00EC6F8D" w:rsidRPr="00EC6F8D">
        <w:rPr>
          <w:rFonts w:eastAsia="Calibri"/>
          <w:color w:val="000000" w:themeColor="text1"/>
          <w:sz w:val="22"/>
          <w:szCs w:val="22"/>
          <w:lang w:val="pt-BR"/>
        </w:rPr>
        <w:t xml:space="preserve"> techninis parametras aprašomas statiniu vertinimo būdu ir neturi skaitinių išraiškų (yra arba nėra), todėl parametro įvertinimas apskaičiuojamas pagal formulę:</w:t>
      </w: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pt-BR"/>
        </w:rPr>
      </w:pPr>
      <w:r w:rsidRPr="00EC6F8D">
        <w:rPr>
          <w:rFonts w:eastAsia="Calibri"/>
          <w:color w:val="000000" w:themeColor="text1"/>
          <w:sz w:val="22"/>
          <w:szCs w:val="22"/>
          <w:lang w:val="pt-BR"/>
        </w:rPr>
        <w:t xml:space="preserve">Jei siūlomas objektas turi nurodytą pranašumą: </w:t>
      </w:r>
      <w:r w:rsidRPr="00EC6F8D">
        <w:rPr>
          <w:rFonts w:eastAsia="Calibri"/>
          <w:i/>
          <w:color w:val="000000" w:themeColor="text1"/>
          <w:sz w:val="22"/>
          <w:szCs w:val="22"/>
          <w:lang w:val="pt-BR"/>
        </w:rPr>
        <w:t>T</w:t>
      </w:r>
      <w:r w:rsidRPr="00EC6F8D">
        <w:rPr>
          <w:rFonts w:eastAsia="Calibri"/>
          <w:i/>
          <w:color w:val="000000" w:themeColor="text1"/>
          <w:sz w:val="22"/>
          <w:szCs w:val="22"/>
          <w:vertAlign w:val="subscript"/>
          <w:lang w:val="pt-BR"/>
        </w:rPr>
        <w:t>i</w:t>
      </w:r>
      <w:r w:rsidRPr="00EC6F8D">
        <w:rPr>
          <w:rFonts w:eastAsia="Calibri"/>
          <w:i/>
          <w:color w:val="000000" w:themeColor="text1"/>
          <w:sz w:val="22"/>
          <w:szCs w:val="22"/>
          <w:lang w:val="pt-BR"/>
        </w:rPr>
        <w:t xml:space="preserve"> = L</w:t>
      </w:r>
      <w:r w:rsidRPr="00EC6F8D">
        <w:rPr>
          <w:rFonts w:eastAsia="Calibri"/>
          <w:i/>
          <w:color w:val="000000" w:themeColor="text1"/>
          <w:sz w:val="22"/>
          <w:szCs w:val="22"/>
          <w:vertAlign w:val="subscript"/>
          <w:lang w:val="pt-BR"/>
        </w:rPr>
        <w:t>i</w:t>
      </w:r>
      <w:r w:rsidRPr="00EC6F8D">
        <w:rPr>
          <w:rFonts w:eastAsia="Calibri"/>
          <w:i/>
          <w:color w:val="000000" w:themeColor="text1"/>
          <w:sz w:val="22"/>
          <w:szCs w:val="22"/>
          <w:lang w:val="pt-BR"/>
        </w:rPr>
        <w:t>;</w:t>
      </w: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i/>
          <w:color w:val="000000" w:themeColor="text1"/>
          <w:sz w:val="22"/>
          <w:szCs w:val="22"/>
          <w:lang w:val="it-IT"/>
        </w:rPr>
      </w:pPr>
      <w:r w:rsidRPr="00EC6F8D">
        <w:rPr>
          <w:rFonts w:eastAsia="Calibri"/>
          <w:color w:val="000000" w:themeColor="text1"/>
          <w:sz w:val="22"/>
          <w:szCs w:val="22"/>
          <w:lang w:val="it-IT"/>
        </w:rPr>
        <w:t xml:space="preserve">Jei siūlomas objektas neturi nurodyto pranašumo: </w:t>
      </w:r>
      <w:r w:rsidRPr="00EC6F8D">
        <w:rPr>
          <w:rFonts w:eastAsia="Calibri"/>
          <w:i/>
          <w:color w:val="000000" w:themeColor="text1"/>
          <w:sz w:val="22"/>
          <w:szCs w:val="22"/>
          <w:lang w:val="it-IT"/>
        </w:rPr>
        <w:t>T</w:t>
      </w:r>
      <w:r w:rsidRPr="00EC6F8D">
        <w:rPr>
          <w:rFonts w:eastAsia="Calibri"/>
          <w:i/>
          <w:color w:val="000000" w:themeColor="text1"/>
          <w:sz w:val="22"/>
          <w:szCs w:val="22"/>
          <w:vertAlign w:val="subscript"/>
          <w:lang w:val="it-IT"/>
        </w:rPr>
        <w:t>i</w:t>
      </w:r>
      <w:r w:rsidRPr="00EC6F8D">
        <w:rPr>
          <w:rFonts w:eastAsia="Calibri"/>
          <w:i/>
          <w:color w:val="000000" w:themeColor="text1"/>
          <w:sz w:val="22"/>
          <w:szCs w:val="22"/>
          <w:lang w:val="it-IT"/>
        </w:rPr>
        <w:t xml:space="preserve"> = L</w:t>
      </w:r>
      <w:r w:rsidRPr="00EC6F8D">
        <w:rPr>
          <w:rFonts w:eastAsia="Calibri"/>
          <w:i/>
          <w:color w:val="000000" w:themeColor="text1"/>
          <w:sz w:val="22"/>
          <w:szCs w:val="22"/>
          <w:vertAlign w:val="subscript"/>
          <w:lang w:val="it-IT"/>
        </w:rPr>
        <w:t>i</w:t>
      </w:r>
      <w:r w:rsidRPr="00EC6F8D">
        <w:rPr>
          <w:rFonts w:eastAsia="Calibri"/>
          <w:i/>
          <w:color w:val="000000" w:themeColor="text1"/>
          <w:sz w:val="22"/>
          <w:szCs w:val="22"/>
          <w:lang w:val="it-IT"/>
        </w:rPr>
        <w:t>= 0;</w:t>
      </w: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it-IT"/>
        </w:rPr>
      </w:pPr>
      <w:r w:rsidRPr="00EC6F8D">
        <w:rPr>
          <w:rFonts w:eastAsia="Calibri"/>
          <w:color w:val="000000" w:themeColor="text1"/>
          <w:sz w:val="22"/>
          <w:szCs w:val="22"/>
          <w:lang w:val="it-IT"/>
        </w:rPr>
        <w:t>Techninių pranašumų (T) balai apskaičiuojami visų techninių kriterijų parametrų įvertinimų sumą padauginant iš techninių pranašumų lyginamojo svorio (Y):</w:t>
      </w:r>
    </w:p>
    <w:p w:rsidR="00EC6F8D" w:rsidRPr="00187253"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m:oMathPara>
        <m:oMath>
          <m:r>
            <w:rPr>
              <w:rFonts w:ascii="Cambria Math" w:eastAsia="Calibri" w:hAnsi="Cambria Math"/>
              <w:color w:val="000000" w:themeColor="text1"/>
              <w:sz w:val="22"/>
              <w:szCs w:val="22"/>
            </w:rPr>
            <m:t xml:space="preserve">T= </m:t>
          </m:r>
          <m:d>
            <m:dPr>
              <m:ctrlPr>
                <w:rPr>
                  <w:rFonts w:ascii="Cambria Math" w:eastAsia="Calibri" w:hAnsi="Cambria Math"/>
                  <w:i/>
                  <w:color w:val="000000" w:themeColor="text1"/>
                  <w:sz w:val="22"/>
                  <w:szCs w:val="22"/>
                </w:rPr>
              </m:ctrlPr>
            </m:dPr>
            <m:e>
              <m:nary>
                <m:naryPr>
                  <m:chr m:val="∑"/>
                  <m:grow m:val="1"/>
                  <m:ctrlPr>
                    <w:rPr>
                      <w:rFonts w:ascii="Cambria Math" w:eastAsia="Calibri" w:hAnsi="Cambria Math"/>
                      <w:color w:val="000000" w:themeColor="text1"/>
                      <w:sz w:val="22"/>
                      <w:szCs w:val="22"/>
                    </w:rPr>
                  </m:ctrlPr>
                </m:naryPr>
                <m:sub>
                  <m:r>
                    <w:rPr>
                      <w:rFonts w:ascii="Cambria Math" w:eastAsia="Calibri" w:hAnsi="Cambria Math"/>
                      <w:color w:val="000000" w:themeColor="text1"/>
                      <w:sz w:val="22"/>
                      <w:szCs w:val="22"/>
                    </w:rPr>
                    <m:t>i=1</m:t>
                  </m:r>
                </m:sub>
                <m:sup>
                  <m:r>
                    <w:rPr>
                      <w:rFonts w:ascii="Cambria Math" w:eastAsia="Calibri" w:hAnsi="Cambria Math"/>
                      <w:color w:val="000000" w:themeColor="text1"/>
                      <w:sz w:val="22"/>
                      <w:szCs w:val="22"/>
                    </w:rPr>
                    <m:t>13</m:t>
                  </m:r>
                </m:sup>
                <m:e>
                  <m:sSub>
                    <m:sSubPr>
                      <m:ctrlPr>
                        <w:rPr>
                          <w:rFonts w:ascii="Cambria Math" w:eastAsia="Calibri" w:hAnsi="Cambria Math"/>
                          <w:i/>
                          <w:color w:val="000000" w:themeColor="text1"/>
                          <w:sz w:val="22"/>
                          <w:szCs w:val="22"/>
                        </w:rPr>
                      </m:ctrlPr>
                    </m:sSubPr>
                    <m:e>
                      <m:r>
                        <w:rPr>
                          <w:rFonts w:ascii="Cambria Math" w:eastAsia="Calibri" w:hAnsi="Cambria Math"/>
                          <w:color w:val="000000" w:themeColor="text1"/>
                          <w:sz w:val="22"/>
                          <w:szCs w:val="22"/>
                        </w:rPr>
                        <m:t>T</m:t>
                      </m:r>
                    </m:e>
                    <m:sub>
                      <m:r>
                        <w:rPr>
                          <w:rFonts w:ascii="Cambria Math" w:eastAsia="Calibri" w:hAnsi="Cambria Math"/>
                          <w:color w:val="000000" w:themeColor="text1"/>
                          <w:sz w:val="22"/>
                          <w:szCs w:val="22"/>
                        </w:rPr>
                        <m:t>i</m:t>
                      </m:r>
                    </m:sub>
                  </m:sSub>
                </m:e>
              </m:nary>
            </m:e>
          </m:d>
          <m:r>
            <w:rPr>
              <w:rFonts w:ascii="Cambria Math" w:eastAsia="Calibri" w:hAnsi="Cambria Math"/>
              <w:color w:val="000000" w:themeColor="text1"/>
              <w:sz w:val="22"/>
              <w:szCs w:val="22"/>
            </w:rPr>
            <m:t>×Y</m:t>
          </m:r>
        </m:oMath>
      </m:oMathPara>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Laimėjusiu pasiūlymu bus pripažintas visus pirkimo dokumentuose nustatytus reikalavimus atitinkantis pasiūlymas, kurio ekonominis naudingumas (E) yra didžiausias.</w:t>
      </w: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 xml:space="preserve">Tais atvejais, kai kelių dalyvių pasiūlymų ekonominis naudingumas (E) yra vienodas, nustatant pasiūlymų eilę, pirmesnis į šią eilę įrašomas dalyvis, kurio pasiūlymas pateiktas anksčiausiai. </w:t>
      </w:r>
    </w:p>
    <w:p w:rsidR="00BF036D" w:rsidRDefault="00BF036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35AEA" w:rsidRPr="00ED435B" w:rsidRDefault="00535AEA" w:rsidP="00535AEA">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t>14.</w:t>
      </w:r>
      <w:r>
        <w:rPr>
          <w:rFonts w:ascii="Cambria" w:hAnsi="Cambria"/>
          <w:b/>
          <w:sz w:val="22"/>
          <w:szCs w:val="22"/>
        </w:rPr>
        <w:t>5.  2</w:t>
      </w:r>
      <w:r w:rsidRPr="00ED435B">
        <w:rPr>
          <w:rFonts w:ascii="Cambria" w:hAnsi="Cambria"/>
          <w:b/>
          <w:sz w:val="22"/>
          <w:szCs w:val="22"/>
        </w:rPr>
        <w:t xml:space="preserve"> pirkimo dalies</w:t>
      </w:r>
      <w:r w:rsidRPr="007764FA">
        <w:rPr>
          <w:rFonts w:ascii="Cambria" w:eastAsia="Arial Unicode MS" w:hAnsi="Cambria"/>
          <w:bCs/>
          <w:sz w:val="22"/>
          <w:szCs w:val="22"/>
          <w:bdr w:val="nil"/>
          <w:lang w:eastAsia="ar-SA"/>
        </w:rPr>
        <w:t xml:space="preserve"> </w:t>
      </w:r>
      <w:r>
        <w:rPr>
          <w:rFonts w:ascii="Cambria" w:eastAsia="Arial Unicode MS" w:hAnsi="Cambria"/>
          <w:bCs/>
          <w:sz w:val="22"/>
          <w:szCs w:val="22"/>
          <w:bdr w:val="nil"/>
          <w:lang w:eastAsia="ar-SA"/>
        </w:rPr>
        <w:t>„</w:t>
      </w:r>
      <w:r w:rsidRPr="00535AEA">
        <w:rPr>
          <w:rFonts w:ascii="Cambria" w:hAnsi="Cambria"/>
          <w:b/>
          <w:bCs/>
          <w:sz w:val="22"/>
          <w:szCs w:val="22"/>
        </w:rPr>
        <w:t>Portatyvinis ultragarso aparatas</w:t>
      </w:r>
      <w:r>
        <w:rPr>
          <w:rFonts w:ascii="Cambria" w:hAnsi="Cambria"/>
          <w:b/>
          <w:bCs/>
          <w:sz w:val="22"/>
          <w:szCs w:val="22"/>
        </w:rPr>
        <w:t>“</w:t>
      </w:r>
      <w:r w:rsidRPr="00ED435B">
        <w:rPr>
          <w:rFonts w:ascii="Cambria" w:hAnsi="Cambria"/>
          <w:b/>
          <w:sz w:val="22"/>
          <w:szCs w:val="22"/>
        </w:rPr>
        <w:t xml:space="preserve"> ekonominio vertinimo kriterijai</w:t>
      </w:r>
      <w:r>
        <w:rPr>
          <w:rFonts w:ascii="Cambria" w:hAnsi="Cambria"/>
          <w:b/>
          <w:sz w:val="22"/>
          <w:szCs w:val="22"/>
        </w:rPr>
        <w:t>:</w:t>
      </w:r>
    </w:p>
    <w:p w:rsidR="0052258D" w:rsidRPr="0052258D" w:rsidRDefault="00535AEA"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14.5.1.</w:t>
      </w:r>
      <w:r w:rsidR="0052258D" w:rsidRPr="0052258D">
        <w:rPr>
          <w:noProof/>
          <w:sz w:val="22"/>
          <w:szCs w:val="22"/>
        </w:rPr>
        <w:t xml:space="preserve"> </w:t>
      </w:r>
      <w:r w:rsidR="0052258D" w:rsidRPr="0052258D">
        <w:rPr>
          <w:rFonts w:eastAsia="Calibri"/>
          <w:color w:val="000000" w:themeColor="text1"/>
          <w:sz w:val="22"/>
          <w:szCs w:val="22"/>
        </w:rPr>
        <w:t>Numatytų vertinimo kriterijų lyginamieji svoriai:</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2258D">
        <w:rPr>
          <w:rFonts w:eastAsia="Calibri"/>
          <w:color w:val="000000" w:themeColor="text1"/>
          <w:sz w:val="22"/>
          <w:szCs w:val="22"/>
        </w:rPr>
        <w:t>1) Kaina (K) – 70;</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2258D">
        <w:rPr>
          <w:rFonts w:eastAsia="Calibri"/>
          <w:color w:val="000000" w:themeColor="text1"/>
          <w:sz w:val="22"/>
          <w:szCs w:val="22"/>
        </w:rPr>
        <w:t>2) Techniniai pranašumai (T) – 30;</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Vertinimo kriterijai ir jų parametrų lyginamieji svoriai: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305"/>
        <w:gridCol w:w="1749"/>
        <w:gridCol w:w="1797"/>
        <w:gridCol w:w="3006"/>
      </w:tblGrid>
      <w:tr w:rsidR="0052258D" w:rsidRPr="0052258D" w:rsidTr="00EC457E">
        <w:tc>
          <w:tcPr>
            <w:tcW w:w="4836" w:type="dxa"/>
            <w:gridSpan w:val="3"/>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52258D">
              <w:rPr>
                <w:rFonts w:eastAsia="Calibri"/>
                <w:b/>
                <w:bCs/>
                <w:color w:val="000000" w:themeColor="text1"/>
                <w:sz w:val="22"/>
                <w:szCs w:val="22"/>
              </w:rPr>
              <w:t>Vertinimo kriterijai</w:t>
            </w:r>
          </w:p>
        </w:tc>
        <w:tc>
          <w:tcPr>
            <w:tcW w:w="1797"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8"/>
              <w:contextualSpacing/>
              <w:jc w:val="center"/>
              <w:rPr>
                <w:rFonts w:eastAsia="Calibri"/>
                <w:b/>
                <w:bCs/>
                <w:color w:val="000000" w:themeColor="text1"/>
                <w:sz w:val="22"/>
                <w:szCs w:val="22"/>
              </w:rPr>
            </w:pPr>
            <w:r w:rsidRPr="0052258D">
              <w:rPr>
                <w:rFonts w:eastAsia="Calibri"/>
                <w:b/>
                <w:bCs/>
                <w:color w:val="000000" w:themeColor="text1"/>
                <w:sz w:val="22"/>
                <w:szCs w:val="22"/>
              </w:rPr>
              <w:t>Parametro lyginamasis svoris</w:t>
            </w:r>
          </w:p>
        </w:tc>
        <w:tc>
          <w:tcPr>
            <w:tcW w:w="3006"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52258D">
              <w:rPr>
                <w:rFonts w:eastAsia="Calibri"/>
                <w:b/>
                <w:bCs/>
                <w:color w:val="000000" w:themeColor="text1"/>
                <w:sz w:val="22"/>
                <w:szCs w:val="22"/>
              </w:rPr>
              <w:t>Lyginamasis svoris ekonominio naudingumo įvertinime</w:t>
            </w:r>
          </w:p>
        </w:tc>
      </w:tr>
      <w:tr w:rsidR="0052258D" w:rsidRPr="0052258D" w:rsidTr="00EC457E">
        <w:tc>
          <w:tcPr>
            <w:tcW w:w="6633" w:type="dxa"/>
            <w:gridSpan w:val="4"/>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both"/>
              <w:rPr>
                <w:rFonts w:eastAsia="Calibri"/>
                <w:b/>
                <w:bCs/>
                <w:color w:val="000000" w:themeColor="text1"/>
                <w:sz w:val="22"/>
                <w:szCs w:val="22"/>
              </w:rPr>
            </w:pPr>
            <w:r w:rsidRPr="0052258D">
              <w:rPr>
                <w:rFonts w:eastAsia="Calibri"/>
                <w:b/>
                <w:bCs/>
                <w:color w:val="000000" w:themeColor="text1"/>
                <w:sz w:val="22"/>
                <w:szCs w:val="22"/>
              </w:rPr>
              <w:t>Kaina (K)</w:t>
            </w:r>
          </w:p>
        </w:tc>
        <w:tc>
          <w:tcPr>
            <w:tcW w:w="3006"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52258D">
              <w:rPr>
                <w:rFonts w:eastAsia="Calibri"/>
                <w:b/>
                <w:bCs/>
                <w:color w:val="000000" w:themeColor="text1"/>
                <w:sz w:val="22"/>
                <w:szCs w:val="22"/>
              </w:rPr>
              <w:t>X=70</w:t>
            </w:r>
          </w:p>
        </w:tc>
      </w:tr>
      <w:tr w:rsidR="0052258D" w:rsidRPr="0052258D" w:rsidTr="00EC457E">
        <w:tc>
          <w:tcPr>
            <w:tcW w:w="6633" w:type="dxa"/>
            <w:gridSpan w:val="4"/>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both"/>
              <w:rPr>
                <w:rFonts w:eastAsia="Calibri"/>
                <w:b/>
                <w:bCs/>
                <w:color w:val="000000" w:themeColor="text1"/>
                <w:sz w:val="22"/>
                <w:szCs w:val="22"/>
              </w:rPr>
            </w:pPr>
            <w:r w:rsidRPr="0052258D">
              <w:rPr>
                <w:rFonts w:eastAsia="Calibri"/>
                <w:b/>
                <w:bCs/>
                <w:color w:val="000000" w:themeColor="text1"/>
                <w:sz w:val="22"/>
                <w:szCs w:val="22"/>
              </w:rPr>
              <w:t>Techniniai pranašumai (T)</w:t>
            </w:r>
          </w:p>
        </w:tc>
        <w:tc>
          <w:tcPr>
            <w:tcW w:w="3006"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52258D">
              <w:rPr>
                <w:rFonts w:eastAsia="Calibri"/>
                <w:b/>
                <w:bCs/>
                <w:color w:val="000000" w:themeColor="text1"/>
                <w:sz w:val="22"/>
                <w:szCs w:val="22"/>
              </w:rPr>
              <w:t>Y=30</w:t>
            </w:r>
          </w:p>
        </w:tc>
      </w:tr>
      <w:tr w:rsidR="0052258D" w:rsidRPr="0052258D" w:rsidTr="00EC457E">
        <w:tc>
          <w:tcPr>
            <w:tcW w:w="782"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center"/>
              <w:rPr>
                <w:rFonts w:eastAsia="Calibri"/>
                <w:b/>
                <w:bCs/>
                <w:color w:val="000000" w:themeColor="text1"/>
                <w:sz w:val="22"/>
                <w:szCs w:val="22"/>
              </w:rPr>
            </w:pPr>
            <w:r w:rsidRPr="0052258D">
              <w:rPr>
                <w:rFonts w:eastAsia="Calibri"/>
                <w:b/>
                <w:bCs/>
                <w:color w:val="000000" w:themeColor="text1"/>
                <w:sz w:val="22"/>
                <w:szCs w:val="22"/>
              </w:rPr>
              <w:t>Nr.</w:t>
            </w:r>
          </w:p>
        </w:tc>
        <w:tc>
          <w:tcPr>
            <w:tcW w:w="2305"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52258D">
              <w:rPr>
                <w:rFonts w:eastAsia="Calibri"/>
                <w:b/>
                <w:bCs/>
                <w:color w:val="000000" w:themeColor="text1"/>
                <w:sz w:val="22"/>
                <w:szCs w:val="22"/>
              </w:rPr>
              <w:t>Parametrai</w:t>
            </w:r>
          </w:p>
        </w:tc>
        <w:tc>
          <w:tcPr>
            <w:tcW w:w="1749"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52258D">
              <w:rPr>
                <w:rFonts w:eastAsia="Calibri"/>
                <w:b/>
                <w:bCs/>
                <w:color w:val="000000" w:themeColor="text1"/>
                <w:sz w:val="22"/>
                <w:szCs w:val="22"/>
              </w:rPr>
              <w:t>Vertinimo būdas</w:t>
            </w:r>
          </w:p>
        </w:tc>
        <w:tc>
          <w:tcPr>
            <w:tcW w:w="1797"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p>
        </w:tc>
        <w:tc>
          <w:tcPr>
            <w:tcW w:w="3006" w:type="dxa"/>
            <w:shd w:val="clear" w:color="auto" w:fill="auto"/>
            <w:vAlign w:val="center"/>
            <w:hideMark/>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52258D">
              <w:rPr>
                <w:rFonts w:eastAsia="Calibri"/>
                <w:b/>
                <w:bCs/>
                <w:color w:val="000000" w:themeColor="text1"/>
                <w:sz w:val="22"/>
                <w:szCs w:val="22"/>
              </w:rPr>
              <w:t> </w:t>
            </w:r>
          </w:p>
        </w:tc>
      </w:tr>
      <w:tr w:rsidR="0052258D" w:rsidRPr="0052258D" w:rsidTr="00EC457E">
        <w:tc>
          <w:tcPr>
            <w:tcW w:w="782"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center"/>
              <w:rPr>
                <w:rFonts w:eastAsia="Calibri"/>
                <w:color w:val="000000" w:themeColor="text1"/>
                <w:sz w:val="22"/>
                <w:szCs w:val="22"/>
              </w:rPr>
            </w:pPr>
            <w:r w:rsidRPr="0052258D">
              <w:rPr>
                <w:rFonts w:eastAsia="Calibri"/>
                <w:color w:val="000000" w:themeColor="text1"/>
                <w:sz w:val="22"/>
                <w:szCs w:val="22"/>
              </w:rPr>
              <w:t>T1</w:t>
            </w:r>
          </w:p>
        </w:tc>
        <w:tc>
          <w:tcPr>
            <w:tcW w:w="2305"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52258D">
              <w:rPr>
                <w:rFonts w:eastAsia="Calibri"/>
                <w:color w:val="000000" w:themeColor="text1"/>
                <w:sz w:val="22"/>
                <w:szCs w:val="22"/>
              </w:rPr>
              <w:t>eFAST tyrimo protokolas</w:t>
            </w:r>
          </w:p>
        </w:tc>
        <w:tc>
          <w:tcPr>
            <w:tcW w:w="1749"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Statinis:</w:t>
            </w:r>
            <w:r w:rsidRPr="0052258D">
              <w:rPr>
                <w:rFonts w:eastAsia="Calibri"/>
                <w:color w:val="000000" w:themeColor="text1"/>
                <w:sz w:val="22"/>
                <w:szCs w:val="22"/>
              </w:rPr>
              <w:br/>
              <w:t>(yra/nėra)</w:t>
            </w:r>
          </w:p>
        </w:tc>
        <w:tc>
          <w:tcPr>
            <w:tcW w:w="1797"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8"/>
              <w:contextualSpacing/>
              <w:jc w:val="center"/>
              <w:rPr>
                <w:rFonts w:eastAsia="Calibri"/>
                <w:color w:val="000000" w:themeColor="text1"/>
                <w:sz w:val="22"/>
                <w:szCs w:val="22"/>
              </w:rPr>
            </w:pPr>
            <w:r w:rsidRPr="0052258D">
              <w:rPr>
                <w:rFonts w:eastAsia="Calibri"/>
                <w:color w:val="000000" w:themeColor="text1"/>
                <w:sz w:val="22"/>
                <w:szCs w:val="22"/>
              </w:rPr>
              <w:t>L</w:t>
            </w:r>
            <w:r w:rsidRPr="0052258D">
              <w:rPr>
                <w:rFonts w:eastAsia="Calibri"/>
                <w:color w:val="000000" w:themeColor="text1"/>
                <w:sz w:val="22"/>
                <w:szCs w:val="22"/>
                <w:vertAlign w:val="subscript"/>
              </w:rPr>
              <w:t xml:space="preserve">1 </w:t>
            </w:r>
            <w:r w:rsidRPr="0052258D">
              <w:rPr>
                <w:rFonts w:eastAsia="Calibri"/>
                <w:color w:val="000000" w:themeColor="text1"/>
                <w:sz w:val="22"/>
                <w:szCs w:val="22"/>
              </w:rPr>
              <w:t>= 0,4</w:t>
            </w:r>
          </w:p>
        </w:tc>
        <w:tc>
          <w:tcPr>
            <w:tcW w:w="3006" w:type="dxa"/>
            <w:shd w:val="clear" w:color="auto" w:fill="auto"/>
            <w:vAlign w:val="center"/>
          </w:tcPr>
          <w:p w:rsidR="0052258D" w:rsidRPr="0052258D" w:rsidRDefault="0052258D" w:rsidP="00EC457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Įrašyti parametro vertę:</w:t>
            </w:r>
          </w:p>
          <w:p w:rsidR="0052258D" w:rsidRPr="0052258D" w:rsidRDefault="0052258D" w:rsidP="00EC457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yra / nėra</w:t>
            </w:r>
          </w:p>
        </w:tc>
      </w:tr>
      <w:tr w:rsidR="0052258D" w:rsidRPr="0052258D" w:rsidTr="00EC457E">
        <w:tc>
          <w:tcPr>
            <w:tcW w:w="782"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center"/>
              <w:rPr>
                <w:rFonts w:eastAsia="Calibri"/>
                <w:color w:val="000000" w:themeColor="text1"/>
                <w:sz w:val="22"/>
                <w:szCs w:val="22"/>
              </w:rPr>
            </w:pPr>
            <w:r w:rsidRPr="0052258D">
              <w:rPr>
                <w:rFonts w:eastAsia="Calibri"/>
                <w:color w:val="000000" w:themeColor="text1"/>
                <w:sz w:val="22"/>
                <w:szCs w:val="22"/>
              </w:rPr>
              <w:t>T2</w:t>
            </w:r>
          </w:p>
        </w:tc>
        <w:tc>
          <w:tcPr>
            <w:tcW w:w="2305"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52258D">
              <w:rPr>
                <w:rFonts w:eastAsia="Calibri"/>
                <w:color w:val="000000" w:themeColor="text1"/>
                <w:sz w:val="22"/>
                <w:szCs w:val="22"/>
              </w:rPr>
              <w:t>DVT (angl. deep vein thrombosis) tyrimo protokolas</w:t>
            </w:r>
          </w:p>
        </w:tc>
        <w:tc>
          <w:tcPr>
            <w:tcW w:w="1749"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Statinis:</w:t>
            </w:r>
            <w:r w:rsidRPr="0052258D">
              <w:rPr>
                <w:rFonts w:eastAsia="Calibri"/>
                <w:color w:val="000000" w:themeColor="text1"/>
                <w:sz w:val="22"/>
                <w:szCs w:val="22"/>
              </w:rPr>
              <w:br/>
              <w:t>(yra/nėra)</w:t>
            </w:r>
          </w:p>
        </w:tc>
        <w:tc>
          <w:tcPr>
            <w:tcW w:w="1797"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8"/>
              <w:contextualSpacing/>
              <w:jc w:val="center"/>
              <w:rPr>
                <w:rFonts w:eastAsia="Calibri"/>
                <w:color w:val="000000" w:themeColor="text1"/>
                <w:sz w:val="22"/>
                <w:szCs w:val="22"/>
              </w:rPr>
            </w:pPr>
            <w:r w:rsidRPr="0052258D">
              <w:rPr>
                <w:rFonts w:eastAsia="Calibri"/>
                <w:color w:val="000000" w:themeColor="text1"/>
                <w:sz w:val="22"/>
                <w:szCs w:val="22"/>
              </w:rPr>
              <w:t>L</w:t>
            </w:r>
            <w:r w:rsidRPr="0052258D">
              <w:rPr>
                <w:rFonts w:eastAsia="Calibri"/>
                <w:color w:val="000000" w:themeColor="text1"/>
                <w:sz w:val="22"/>
                <w:szCs w:val="22"/>
                <w:vertAlign w:val="subscript"/>
              </w:rPr>
              <w:t xml:space="preserve">2 </w:t>
            </w:r>
            <w:r w:rsidRPr="0052258D">
              <w:rPr>
                <w:rFonts w:eastAsia="Calibri"/>
                <w:color w:val="000000" w:themeColor="text1"/>
                <w:sz w:val="22"/>
                <w:szCs w:val="22"/>
              </w:rPr>
              <w:t>= 0,3</w:t>
            </w:r>
          </w:p>
        </w:tc>
        <w:tc>
          <w:tcPr>
            <w:tcW w:w="3006" w:type="dxa"/>
            <w:shd w:val="clear" w:color="auto" w:fill="auto"/>
            <w:vAlign w:val="center"/>
          </w:tcPr>
          <w:p w:rsidR="0052258D" w:rsidRPr="0052258D" w:rsidRDefault="0052258D" w:rsidP="00EC457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Įrašyti parametro vertę:</w:t>
            </w:r>
          </w:p>
          <w:p w:rsidR="0052258D" w:rsidRPr="0052258D" w:rsidRDefault="0052258D" w:rsidP="00EC457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yra / nėra</w:t>
            </w:r>
          </w:p>
        </w:tc>
      </w:tr>
      <w:tr w:rsidR="0052258D" w:rsidRPr="0052258D" w:rsidTr="002B3FF2">
        <w:trPr>
          <w:trHeight w:val="876"/>
        </w:trPr>
        <w:tc>
          <w:tcPr>
            <w:tcW w:w="782"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center"/>
              <w:rPr>
                <w:rFonts w:eastAsia="Calibri"/>
                <w:color w:val="000000" w:themeColor="text1"/>
                <w:sz w:val="22"/>
                <w:szCs w:val="22"/>
              </w:rPr>
            </w:pPr>
            <w:r w:rsidRPr="0052258D">
              <w:rPr>
                <w:rFonts w:eastAsia="Calibri"/>
                <w:color w:val="000000" w:themeColor="text1"/>
                <w:sz w:val="22"/>
                <w:szCs w:val="22"/>
              </w:rPr>
              <w:t>T3</w:t>
            </w:r>
          </w:p>
        </w:tc>
        <w:tc>
          <w:tcPr>
            <w:tcW w:w="2305"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eastAsia="Calibri"/>
                <w:color w:val="000000" w:themeColor="text1"/>
                <w:sz w:val="22"/>
                <w:szCs w:val="22"/>
              </w:rPr>
            </w:pPr>
            <w:r w:rsidRPr="0052258D">
              <w:rPr>
                <w:rFonts w:eastAsia="Calibri"/>
                <w:color w:val="000000" w:themeColor="text1"/>
                <w:sz w:val="22"/>
                <w:szCs w:val="22"/>
              </w:rPr>
              <w:t xml:space="preserve">Diagnostinio vaizdo ekrano įstrižainė </w:t>
            </w:r>
            <w:r w:rsidRPr="0052258D">
              <w:rPr>
                <w:rFonts w:eastAsia="Calibri"/>
                <w:color w:val="000000" w:themeColor="text1"/>
                <w:sz w:val="22"/>
                <w:szCs w:val="22"/>
                <w:lang w:val="en-US"/>
              </w:rPr>
              <w:t>ne mažesnė kaip 50 cm</w:t>
            </w:r>
          </w:p>
        </w:tc>
        <w:tc>
          <w:tcPr>
            <w:tcW w:w="1749"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Statinis:</w:t>
            </w:r>
            <w:r w:rsidRPr="0052258D">
              <w:rPr>
                <w:rFonts w:eastAsia="Calibri"/>
                <w:color w:val="000000" w:themeColor="text1"/>
                <w:sz w:val="22"/>
                <w:szCs w:val="22"/>
              </w:rPr>
              <w:br/>
              <w:t>(yra/nėra)</w:t>
            </w:r>
          </w:p>
        </w:tc>
        <w:tc>
          <w:tcPr>
            <w:tcW w:w="1797" w:type="dxa"/>
            <w:shd w:val="clear" w:color="auto" w:fill="auto"/>
            <w:vAlign w:val="center"/>
          </w:tcPr>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8"/>
              <w:contextualSpacing/>
              <w:jc w:val="center"/>
              <w:rPr>
                <w:rFonts w:eastAsia="Calibri"/>
                <w:color w:val="000000" w:themeColor="text1"/>
                <w:sz w:val="22"/>
                <w:szCs w:val="22"/>
              </w:rPr>
            </w:pPr>
            <w:r w:rsidRPr="0052258D">
              <w:rPr>
                <w:rFonts w:eastAsia="Calibri"/>
                <w:color w:val="000000" w:themeColor="text1"/>
                <w:sz w:val="22"/>
                <w:szCs w:val="22"/>
              </w:rPr>
              <w:t>L</w:t>
            </w:r>
            <w:r w:rsidRPr="0052258D">
              <w:rPr>
                <w:rFonts w:eastAsia="Calibri"/>
                <w:color w:val="000000" w:themeColor="text1"/>
                <w:sz w:val="22"/>
                <w:szCs w:val="22"/>
                <w:vertAlign w:val="subscript"/>
              </w:rPr>
              <w:t xml:space="preserve">3 </w:t>
            </w:r>
            <w:r w:rsidRPr="0052258D">
              <w:rPr>
                <w:rFonts w:eastAsia="Calibri"/>
                <w:color w:val="000000" w:themeColor="text1"/>
                <w:sz w:val="22"/>
                <w:szCs w:val="22"/>
              </w:rPr>
              <w:t>= 0,3</w:t>
            </w:r>
          </w:p>
        </w:tc>
        <w:tc>
          <w:tcPr>
            <w:tcW w:w="3006" w:type="dxa"/>
            <w:shd w:val="clear" w:color="auto" w:fill="auto"/>
            <w:vAlign w:val="center"/>
          </w:tcPr>
          <w:p w:rsidR="0052258D" w:rsidRPr="0052258D" w:rsidRDefault="0052258D" w:rsidP="00EC457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Įrašyti parametro vertę:</w:t>
            </w:r>
          </w:p>
          <w:p w:rsidR="0052258D" w:rsidRPr="0052258D" w:rsidRDefault="0052258D" w:rsidP="00EC457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color w:val="000000" w:themeColor="text1"/>
                <w:sz w:val="22"/>
                <w:szCs w:val="22"/>
              </w:rPr>
            </w:pPr>
            <w:r w:rsidRPr="0052258D">
              <w:rPr>
                <w:rFonts w:eastAsia="Calibri"/>
                <w:color w:val="000000" w:themeColor="text1"/>
                <w:sz w:val="22"/>
                <w:szCs w:val="22"/>
              </w:rPr>
              <w:t>yra / nėra</w:t>
            </w:r>
          </w:p>
        </w:tc>
      </w:tr>
    </w:tbl>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52258D" w:rsidRDefault="00EC457E"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14.5.2. </w:t>
      </w:r>
      <w:r w:rsidR="0052258D" w:rsidRPr="0052258D">
        <w:rPr>
          <w:rFonts w:eastAsia="Calibri"/>
          <w:color w:val="000000" w:themeColor="text1"/>
          <w:sz w:val="22"/>
          <w:szCs w:val="22"/>
        </w:rPr>
        <w:t>Pasiūlymo ekonominio naudingumo (kainos ir kokybės santykio) apskaičiavimo tvarka (formulė) yra pateikiama žemiau:</w:t>
      </w:r>
    </w:p>
    <w:p w:rsid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1. Pasiūlymo ekonominis naudingumas (E) apskaičiuojamas sudedant tiekėjo pasiūlymo kainos (K) ir techninių pranašumų (T) balus:</w:t>
      </w:r>
    </w:p>
    <w:p w:rsidR="00187253" w:rsidRPr="0052258D"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Default="005225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52258D">
        <w:rPr>
          <w:rFonts w:eastAsia="Calibri"/>
          <w:color w:val="000000" w:themeColor="text1"/>
          <w:sz w:val="22"/>
          <w:szCs w:val="22"/>
        </w:rPr>
        <w:t>E = K + T</w:t>
      </w:r>
    </w:p>
    <w:p w:rsidR="00187253" w:rsidRPr="0052258D"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2. Pasiūlymo kainos (K) balai apskaičiuojami mažiausios pasiūlytos kainos (Kmin) ir vertinamo pasiūlymo kainos (Kv) santykį padauginant iš kainos lyginamojo svorio (X):</w:t>
      </w:r>
    </w:p>
    <w:p w:rsidR="00187253" w:rsidRPr="0052258D"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52258D" w:rsidRDefault="005225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52258D">
        <w:rPr>
          <w:rFonts w:eastAsia="Calibri"/>
          <w:noProof/>
          <w:color w:val="000000" w:themeColor="text1"/>
          <w:sz w:val="22"/>
          <w:szCs w:val="22"/>
          <w:lang w:eastAsia="lt-LT"/>
        </w:rPr>
        <w:drawing>
          <wp:inline distT="0" distB="0" distL="0" distR="0" wp14:anchorId="152BC989" wp14:editId="4BDF5839">
            <wp:extent cx="920198" cy="368990"/>
            <wp:effectExtent l="0" t="0" r="0" b="0"/>
            <wp:docPr id="1"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pic:cNvPr>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0198" cy="368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87253"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pt-BR"/>
        </w:rPr>
      </w:pPr>
    </w:p>
    <w:p w:rsidR="0052258D" w:rsidRPr="0052258D" w:rsidRDefault="00EC457E"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pt-BR"/>
        </w:rPr>
      </w:pPr>
      <w:r>
        <w:rPr>
          <w:rFonts w:eastAsia="Calibri"/>
          <w:color w:val="000000" w:themeColor="text1"/>
          <w:sz w:val="22"/>
          <w:szCs w:val="22"/>
          <w:lang w:val="pt-BR"/>
        </w:rPr>
        <w:t>14.5.</w:t>
      </w:r>
      <w:r w:rsidR="0052258D" w:rsidRPr="0052258D">
        <w:rPr>
          <w:rFonts w:eastAsia="Calibri"/>
          <w:color w:val="000000" w:themeColor="text1"/>
          <w:sz w:val="22"/>
          <w:szCs w:val="22"/>
          <w:lang w:val="pt-BR"/>
        </w:rPr>
        <w:t>3. Siūlomo objekto T</w:t>
      </w:r>
      <w:r w:rsidR="0052258D" w:rsidRPr="0052258D">
        <w:rPr>
          <w:rFonts w:eastAsia="Calibri"/>
          <w:color w:val="000000" w:themeColor="text1"/>
          <w:sz w:val="22"/>
          <w:szCs w:val="22"/>
          <w:vertAlign w:val="subscript"/>
          <w:lang w:val="pt-BR"/>
        </w:rPr>
        <w:t>i</w:t>
      </w:r>
      <w:r w:rsidR="0052258D" w:rsidRPr="0052258D">
        <w:rPr>
          <w:rFonts w:eastAsia="Calibri"/>
          <w:color w:val="000000" w:themeColor="text1"/>
          <w:sz w:val="22"/>
          <w:szCs w:val="22"/>
          <w:lang w:val="pt-BR"/>
        </w:rPr>
        <w:t xml:space="preserve"> techninis parametras aprašomas statiniu vertinimo būdu ir neturi skaitinių išraiškų (yra arba nėra), todėl parametro įvertinimas apskaičiuojamas pagal formulę:</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pt-BR"/>
        </w:rPr>
      </w:pPr>
      <w:r w:rsidRPr="0052258D">
        <w:rPr>
          <w:rFonts w:eastAsia="Calibri"/>
          <w:color w:val="000000" w:themeColor="text1"/>
          <w:sz w:val="22"/>
          <w:szCs w:val="22"/>
          <w:lang w:val="pt-BR"/>
        </w:rPr>
        <w:t xml:space="preserve">Jei siūlomas objektas turi nurodytą pranašumą: </w:t>
      </w:r>
      <w:r w:rsidRPr="0052258D">
        <w:rPr>
          <w:rFonts w:eastAsia="Calibri"/>
          <w:i/>
          <w:color w:val="000000" w:themeColor="text1"/>
          <w:sz w:val="22"/>
          <w:szCs w:val="22"/>
          <w:lang w:val="pt-BR"/>
        </w:rPr>
        <w:t>T</w:t>
      </w:r>
      <w:r w:rsidRPr="0052258D">
        <w:rPr>
          <w:rFonts w:eastAsia="Calibri"/>
          <w:i/>
          <w:color w:val="000000" w:themeColor="text1"/>
          <w:sz w:val="22"/>
          <w:szCs w:val="22"/>
          <w:vertAlign w:val="subscript"/>
          <w:lang w:val="pt-BR"/>
        </w:rPr>
        <w:t>i</w:t>
      </w:r>
      <w:r w:rsidRPr="0052258D">
        <w:rPr>
          <w:rFonts w:eastAsia="Calibri"/>
          <w:i/>
          <w:color w:val="000000" w:themeColor="text1"/>
          <w:sz w:val="22"/>
          <w:szCs w:val="22"/>
          <w:lang w:val="pt-BR"/>
        </w:rPr>
        <w:t xml:space="preserve"> = L</w:t>
      </w:r>
      <w:r w:rsidRPr="0052258D">
        <w:rPr>
          <w:rFonts w:eastAsia="Calibri"/>
          <w:i/>
          <w:color w:val="000000" w:themeColor="text1"/>
          <w:sz w:val="22"/>
          <w:szCs w:val="22"/>
          <w:vertAlign w:val="subscript"/>
          <w:lang w:val="pt-BR"/>
        </w:rPr>
        <w:t>i</w:t>
      </w:r>
      <w:r w:rsidRPr="0052258D">
        <w:rPr>
          <w:rFonts w:eastAsia="Calibri"/>
          <w:i/>
          <w:color w:val="000000" w:themeColor="text1"/>
          <w:sz w:val="22"/>
          <w:szCs w:val="22"/>
          <w:lang w:val="pt-BR"/>
        </w:rPr>
        <w:t>;</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i/>
          <w:color w:val="000000" w:themeColor="text1"/>
          <w:sz w:val="22"/>
          <w:szCs w:val="22"/>
          <w:lang w:val="it-IT"/>
        </w:rPr>
      </w:pPr>
      <w:r w:rsidRPr="0052258D">
        <w:rPr>
          <w:rFonts w:eastAsia="Calibri"/>
          <w:color w:val="000000" w:themeColor="text1"/>
          <w:sz w:val="22"/>
          <w:szCs w:val="22"/>
          <w:lang w:val="it-IT"/>
        </w:rPr>
        <w:t xml:space="preserve">Jei siūlomas objektas neturi nurodyto pranašumo: </w:t>
      </w:r>
      <w:r w:rsidRPr="0052258D">
        <w:rPr>
          <w:rFonts w:eastAsia="Calibri"/>
          <w:i/>
          <w:color w:val="000000" w:themeColor="text1"/>
          <w:sz w:val="22"/>
          <w:szCs w:val="22"/>
          <w:lang w:val="it-IT"/>
        </w:rPr>
        <w:t>T</w:t>
      </w:r>
      <w:r w:rsidRPr="0052258D">
        <w:rPr>
          <w:rFonts w:eastAsia="Calibri"/>
          <w:i/>
          <w:color w:val="000000" w:themeColor="text1"/>
          <w:sz w:val="22"/>
          <w:szCs w:val="22"/>
          <w:vertAlign w:val="subscript"/>
          <w:lang w:val="it-IT"/>
        </w:rPr>
        <w:t>i</w:t>
      </w:r>
      <w:r w:rsidRPr="0052258D">
        <w:rPr>
          <w:rFonts w:eastAsia="Calibri"/>
          <w:i/>
          <w:color w:val="000000" w:themeColor="text1"/>
          <w:sz w:val="22"/>
          <w:szCs w:val="22"/>
          <w:lang w:val="it-IT"/>
        </w:rPr>
        <w:t xml:space="preserve"> = L</w:t>
      </w:r>
      <w:r w:rsidRPr="0052258D">
        <w:rPr>
          <w:rFonts w:eastAsia="Calibri"/>
          <w:i/>
          <w:color w:val="000000" w:themeColor="text1"/>
          <w:sz w:val="22"/>
          <w:szCs w:val="22"/>
          <w:vertAlign w:val="subscript"/>
          <w:lang w:val="it-IT"/>
        </w:rPr>
        <w:t>i</w:t>
      </w:r>
      <w:r w:rsidRPr="0052258D">
        <w:rPr>
          <w:rFonts w:eastAsia="Calibri"/>
          <w:i/>
          <w:color w:val="000000" w:themeColor="text1"/>
          <w:sz w:val="22"/>
          <w:szCs w:val="22"/>
          <w:lang w:val="it-IT"/>
        </w:rPr>
        <w:t>= 0;</w:t>
      </w:r>
    </w:p>
    <w:p w:rsid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it-IT"/>
        </w:rPr>
      </w:pPr>
      <w:r w:rsidRPr="0052258D">
        <w:rPr>
          <w:rFonts w:eastAsia="Calibri"/>
          <w:color w:val="000000" w:themeColor="text1"/>
          <w:sz w:val="22"/>
          <w:szCs w:val="22"/>
          <w:lang w:val="it-IT"/>
        </w:rPr>
        <w:t>Techninių pranašumų (T) balai apskaičiuojami visų techninių kriterijų parametrų įvertinimų sumą padauginant iš techninių pranašumų lyginamojo svorio (Y):</w:t>
      </w:r>
    </w:p>
    <w:p w:rsidR="00187253" w:rsidRPr="0052258D"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it-IT"/>
        </w:rPr>
      </w:pPr>
    </w:p>
    <w:p w:rsidR="0052258D" w:rsidRPr="00187253"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m:oMathPara>
        <m:oMath>
          <m:r>
            <w:rPr>
              <w:rFonts w:ascii="Cambria Math" w:eastAsia="Calibri" w:hAnsi="Cambria Math"/>
              <w:color w:val="000000" w:themeColor="text1"/>
              <w:sz w:val="22"/>
              <w:szCs w:val="22"/>
            </w:rPr>
            <m:t xml:space="preserve">T= </m:t>
          </m:r>
          <m:d>
            <m:dPr>
              <m:ctrlPr>
                <w:rPr>
                  <w:rFonts w:ascii="Cambria Math" w:eastAsia="Calibri" w:hAnsi="Cambria Math"/>
                  <w:i/>
                  <w:color w:val="000000" w:themeColor="text1"/>
                  <w:sz w:val="22"/>
                  <w:szCs w:val="22"/>
                </w:rPr>
              </m:ctrlPr>
            </m:dPr>
            <m:e>
              <m:nary>
                <m:naryPr>
                  <m:chr m:val="∑"/>
                  <m:grow m:val="1"/>
                  <m:ctrlPr>
                    <w:rPr>
                      <w:rFonts w:ascii="Cambria Math" w:eastAsia="Calibri" w:hAnsi="Cambria Math"/>
                      <w:color w:val="000000" w:themeColor="text1"/>
                      <w:sz w:val="22"/>
                      <w:szCs w:val="22"/>
                    </w:rPr>
                  </m:ctrlPr>
                </m:naryPr>
                <m:sub>
                  <m:r>
                    <w:rPr>
                      <w:rFonts w:ascii="Cambria Math" w:eastAsia="Calibri" w:hAnsi="Cambria Math"/>
                      <w:color w:val="000000" w:themeColor="text1"/>
                      <w:sz w:val="22"/>
                      <w:szCs w:val="22"/>
                    </w:rPr>
                    <m:t>i=1</m:t>
                  </m:r>
                </m:sub>
                <m:sup>
                  <m:r>
                    <w:rPr>
                      <w:rFonts w:ascii="Cambria Math" w:eastAsia="Calibri" w:hAnsi="Cambria Math"/>
                      <w:color w:val="000000" w:themeColor="text1"/>
                      <w:sz w:val="22"/>
                      <w:szCs w:val="22"/>
                    </w:rPr>
                    <m:t>3</m:t>
                  </m:r>
                </m:sup>
                <m:e>
                  <m:sSub>
                    <m:sSubPr>
                      <m:ctrlPr>
                        <w:rPr>
                          <w:rFonts w:ascii="Cambria Math" w:eastAsia="Calibri" w:hAnsi="Cambria Math"/>
                          <w:i/>
                          <w:color w:val="000000" w:themeColor="text1"/>
                          <w:sz w:val="22"/>
                          <w:szCs w:val="22"/>
                        </w:rPr>
                      </m:ctrlPr>
                    </m:sSubPr>
                    <m:e>
                      <m:r>
                        <w:rPr>
                          <w:rFonts w:ascii="Cambria Math" w:eastAsia="Calibri" w:hAnsi="Cambria Math"/>
                          <w:color w:val="000000" w:themeColor="text1"/>
                          <w:sz w:val="22"/>
                          <w:szCs w:val="22"/>
                        </w:rPr>
                        <m:t>T</m:t>
                      </m:r>
                    </m:e>
                    <m:sub>
                      <m:r>
                        <w:rPr>
                          <w:rFonts w:ascii="Cambria Math" w:eastAsia="Calibri" w:hAnsi="Cambria Math"/>
                          <w:color w:val="000000" w:themeColor="text1"/>
                          <w:sz w:val="22"/>
                          <w:szCs w:val="22"/>
                        </w:rPr>
                        <m:t>i</m:t>
                      </m:r>
                    </m:sub>
                  </m:sSub>
                </m:e>
              </m:nary>
            </m:e>
          </m:d>
          <m:r>
            <w:rPr>
              <w:rFonts w:ascii="Cambria Math" w:eastAsia="Calibri" w:hAnsi="Cambria Math"/>
              <w:color w:val="000000" w:themeColor="text1"/>
              <w:sz w:val="22"/>
              <w:szCs w:val="22"/>
            </w:rPr>
            <m:t>×Y</m:t>
          </m:r>
        </m:oMath>
      </m:oMathPara>
    </w:p>
    <w:p w:rsidR="00187253" w:rsidRPr="0052258D"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Laimėjusiu pasiūlymu bus pripažintas visus pirkimo dokumentuose nustatytus reikalavimus atitinkantis pasiūlymas, kurio ekonominis naudingumas (E) yra didžiausias.</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 xml:space="preserve">Tais atvejais, kai kelių dalyvių pasiūlymų ekonominis naudingumas (E) yra vienodas, nustatant pasiūlymų eilę, pirmesnis į šią eilę įrašomas dalyvis, kurio pasiūlymas pateiktas anksčiausiai. </w:t>
      </w:r>
    </w:p>
    <w:p w:rsidR="00BF036D" w:rsidRDefault="00BF036D" w:rsidP="00535AE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Laimėjusiu pasiūlymu pripažįstamas pasiūlymas esantis pasiūlymų eilės pirmoje vietoje Viešųjų pirkimų įstatymo bei šių pirkimo dokumentų nustatyta tvarka. Jei pirkimas vykdomas dalimis, laimėtojas nustatomas kiekvienai pirkimo daliai atskirai.</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3025B9">
        <w:rPr>
          <w:color w:val="000000"/>
          <w:sz w:val="22"/>
          <w:szCs w:val="22"/>
          <w:lang w:eastAsia="lt-LT"/>
        </w:rPr>
        <w:t>Ultragarso</w:t>
      </w:r>
      <w:r w:rsidR="00B61FCC">
        <w:rPr>
          <w:color w:val="000000"/>
          <w:sz w:val="22"/>
          <w:szCs w:val="22"/>
          <w:lang w:eastAsia="lt-LT"/>
        </w:rPr>
        <w:t xml:space="preserve"> aparatai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0AF" w:rsidRDefault="006640AF" w:rsidP="00D348FD">
      <w:r>
        <w:separator/>
      </w:r>
    </w:p>
  </w:endnote>
  <w:endnote w:type="continuationSeparator" w:id="0">
    <w:p w:rsidR="006640AF" w:rsidRDefault="006640A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0AF" w:rsidRDefault="006640AF">
    <w:pPr>
      <w:pStyle w:val="Footer"/>
      <w:jc w:val="right"/>
    </w:pPr>
  </w:p>
  <w:p w:rsidR="006640AF" w:rsidRDefault="006640A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0AF" w:rsidRDefault="006640AF">
    <w:pPr>
      <w:pStyle w:val="Footer"/>
      <w:jc w:val="right"/>
    </w:pPr>
  </w:p>
  <w:p w:rsidR="006640AF" w:rsidRDefault="00664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0AF" w:rsidRDefault="006640AF" w:rsidP="00D348FD">
      <w:r>
        <w:separator/>
      </w:r>
    </w:p>
  </w:footnote>
  <w:footnote w:type="continuationSeparator" w:id="0">
    <w:p w:rsidR="006640AF" w:rsidRDefault="006640AF" w:rsidP="00D348FD">
      <w:r>
        <w:continuationSeparator/>
      </w:r>
    </w:p>
  </w:footnote>
  <w:footnote w:id="1">
    <w:p w:rsidR="006640AF" w:rsidRPr="00C54A7B" w:rsidRDefault="006640A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640AF" w:rsidRPr="00C54A7B" w:rsidRDefault="006640AF" w:rsidP="00C54A7B">
      <w:pPr>
        <w:pStyle w:val="FootnoteText"/>
        <w:numPr>
          <w:ilvl w:val="0"/>
          <w:numId w:val="31"/>
        </w:numPr>
        <w:rPr>
          <w:rFonts w:eastAsia="Yu Mincho"/>
          <w:i/>
          <w:iCs/>
        </w:rPr>
      </w:pPr>
      <w:r w:rsidRPr="00C54A7B">
        <w:rPr>
          <w:rFonts w:eastAsia="Yu Mincho"/>
          <w:i/>
          <w:iCs/>
        </w:rPr>
        <w:t xml:space="preserve">priesaikos deklaracija; </w:t>
      </w:r>
    </w:p>
    <w:p w:rsidR="006640AF" w:rsidRDefault="006640A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EC"/>
    <w:rsid w:val="00023BFD"/>
    <w:rsid w:val="000246E8"/>
    <w:rsid w:val="00024B95"/>
    <w:rsid w:val="00035661"/>
    <w:rsid w:val="00036299"/>
    <w:rsid w:val="00036AA2"/>
    <w:rsid w:val="00037AE6"/>
    <w:rsid w:val="0004206C"/>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4E80"/>
    <w:rsid w:val="000A607B"/>
    <w:rsid w:val="000E4AD1"/>
    <w:rsid w:val="000E69FA"/>
    <w:rsid w:val="000F27B7"/>
    <w:rsid w:val="000F47D7"/>
    <w:rsid w:val="000F5073"/>
    <w:rsid w:val="000F594A"/>
    <w:rsid w:val="00105854"/>
    <w:rsid w:val="001134F3"/>
    <w:rsid w:val="00121503"/>
    <w:rsid w:val="001248B2"/>
    <w:rsid w:val="001309EE"/>
    <w:rsid w:val="00135D44"/>
    <w:rsid w:val="00145AAB"/>
    <w:rsid w:val="001601E7"/>
    <w:rsid w:val="00172554"/>
    <w:rsid w:val="00172A3D"/>
    <w:rsid w:val="001740CF"/>
    <w:rsid w:val="00187253"/>
    <w:rsid w:val="001A033D"/>
    <w:rsid w:val="001A4824"/>
    <w:rsid w:val="001A6875"/>
    <w:rsid w:val="001A6DA0"/>
    <w:rsid w:val="001B1C41"/>
    <w:rsid w:val="001B29E3"/>
    <w:rsid w:val="001B66C0"/>
    <w:rsid w:val="001D178E"/>
    <w:rsid w:val="001D3322"/>
    <w:rsid w:val="001D5C9B"/>
    <w:rsid w:val="001F37E0"/>
    <w:rsid w:val="001F45FB"/>
    <w:rsid w:val="001F4F6D"/>
    <w:rsid w:val="00201315"/>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3FF2"/>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25B9"/>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6BDE"/>
    <w:rsid w:val="0037766A"/>
    <w:rsid w:val="003833EA"/>
    <w:rsid w:val="003907D9"/>
    <w:rsid w:val="003909BC"/>
    <w:rsid w:val="0039333C"/>
    <w:rsid w:val="003935C0"/>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15F40"/>
    <w:rsid w:val="00423FC4"/>
    <w:rsid w:val="0043688F"/>
    <w:rsid w:val="00444E13"/>
    <w:rsid w:val="004473B7"/>
    <w:rsid w:val="00457516"/>
    <w:rsid w:val="0046028A"/>
    <w:rsid w:val="004619B9"/>
    <w:rsid w:val="00470506"/>
    <w:rsid w:val="00470F5C"/>
    <w:rsid w:val="00472364"/>
    <w:rsid w:val="00483CF8"/>
    <w:rsid w:val="00487D4B"/>
    <w:rsid w:val="00490661"/>
    <w:rsid w:val="00491619"/>
    <w:rsid w:val="00495506"/>
    <w:rsid w:val="00496057"/>
    <w:rsid w:val="004B4397"/>
    <w:rsid w:val="004D5120"/>
    <w:rsid w:val="004D6DE9"/>
    <w:rsid w:val="004E1A39"/>
    <w:rsid w:val="004E2008"/>
    <w:rsid w:val="004E5EF9"/>
    <w:rsid w:val="004E65B4"/>
    <w:rsid w:val="004F0AFB"/>
    <w:rsid w:val="004F0E0B"/>
    <w:rsid w:val="004F46B0"/>
    <w:rsid w:val="004F5B6E"/>
    <w:rsid w:val="004F6C23"/>
    <w:rsid w:val="00501F62"/>
    <w:rsid w:val="0050265B"/>
    <w:rsid w:val="00507CDC"/>
    <w:rsid w:val="005135E8"/>
    <w:rsid w:val="005172DB"/>
    <w:rsid w:val="0052258D"/>
    <w:rsid w:val="005303C0"/>
    <w:rsid w:val="00531BCD"/>
    <w:rsid w:val="00533750"/>
    <w:rsid w:val="00534894"/>
    <w:rsid w:val="00535AEA"/>
    <w:rsid w:val="0054327A"/>
    <w:rsid w:val="005440E8"/>
    <w:rsid w:val="005465C4"/>
    <w:rsid w:val="00547A4E"/>
    <w:rsid w:val="00551DA7"/>
    <w:rsid w:val="005568D4"/>
    <w:rsid w:val="0057124D"/>
    <w:rsid w:val="00574FFF"/>
    <w:rsid w:val="00581CE1"/>
    <w:rsid w:val="00582AEF"/>
    <w:rsid w:val="0059362C"/>
    <w:rsid w:val="00595E4D"/>
    <w:rsid w:val="005A67AC"/>
    <w:rsid w:val="005C2D32"/>
    <w:rsid w:val="005D474B"/>
    <w:rsid w:val="005D6D2B"/>
    <w:rsid w:val="005E6556"/>
    <w:rsid w:val="005E6B75"/>
    <w:rsid w:val="005F42BF"/>
    <w:rsid w:val="005F6A2A"/>
    <w:rsid w:val="006048E5"/>
    <w:rsid w:val="0060712E"/>
    <w:rsid w:val="00614540"/>
    <w:rsid w:val="0062424E"/>
    <w:rsid w:val="00630E3D"/>
    <w:rsid w:val="00631949"/>
    <w:rsid w:val="00660934"/>
    <w:rsid w:val="006640AF"/>
    <w:rsid w:val="006674AF"/>
    <w:rsid w:val="00670BBC"/>
    <w:rsid w:val="0067568F"/>
    <w:rsid w:val="00676354"/>
    <w:rsid w:val="0067693D"/>
    <w:rsid w:val="00676AA3"/>
    <w:rsid w:val="0067777C"/>
    <w:rsid w:val="00683987"/>
    <w:rsid w:val="00686478"/>
    <w:rsid w:val="00693E23"/>
    <w:rsid w:val="0069713A"/>
    <w:rsid w:val="006A03D3"/>
    <w:rsid w:val="006A1757"/>
    <w:rsid w:val="006B02B6"/>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70BE"/>
    <w:rsid w:val="00762E5A"/>
    <w:rsid w:val="00763166"/>
    <w:rsid w:val="00765157"/>
    <w:rsid w:val="00765365"/>
    <w:rsid w:val="007669AF"/>
    <w:rsid w:val="007678A8"/>
    <w:rsid w:val="007739AB"/>
    <w:rsid w:val="00775A4D"/>
    <w:rsid w:val="00783153"/>
    <w:rsid w:val="007847A5"/>
    <w:rsid w:val="00786027"/>
    <w:rsid w:val="007918BF"/>
    <w:rsid w:val="00794FD4"/>
    <w:rsid w:val="007976C4"/>
    <w:rsid w:val="007A2250"/>
    <w:rsid w:val="007A7217"/>
    <w:rsid w:val="007B3746"/>
    <w:rsid w:val="007B7B9A"/>
    <w:rsid w:val="007B7CBF"/>
    <w:rsid w:val="007C37DB"/>
    <w:rsid w:val="007C52DC"/>
    <w:rsid w:val="007D7A6A"/>
    <w:rsid w:val="007D7C9B"/>
    <w:rsid w:val="007E22A6"/>
    <w:rsid w:val="007E565C"/>
    <w:rsid w:val="007E6CCC"/>
    <w:rsid w:val="007F6970"/>
    <w:rsid w:val="00801168"/>
    <w:rsid w:val="00804D13"/>
    <w:rsid w:val="00804EDD"/>
    <w:rsid w:val="008051C4"/>
    <w:rsid w:val="0080629D"/>
    <w:rsid w:val="00812B6E"/>
    <w:rsid w:val="008150C0"/>
    <w:rsid w:val="00815B5D"/>
    <w:rsid w:val="00817B08"/>
    <w:rsid w:val="00820D86"/>
    <w:rsid w:val="00821BCB"/>
    <w:rsid w:val="00823F14"/>
    <w:rsid w:val="00831E77"/>
    <w:rsid w:val="00832CC1"/>
    <w:rsid w:val="00833845"/>
    <w:rsid w:val="00835113"/>
    <w:rsid w:val="00837416"/>
    <w:rsid w:val="00856B92"/>
    <w:rsid w:val="00864B9D"/>
    <w:rsid w:val="008673A7"/>
    <w:rsid w:val="00871F43"/>
    <w:rsid w:val="008765C5"/>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382D"/>
    <w:rsid w:val="00904BFD"/>
    <w:rsid w:val="00906D38"/>
    <w:rsid w:val="00910244"/>
    <w:rsid w:val="0091452A"/>
    <w:rsid w:val="00920F8A"/>
    <w:rsid w:val="009219BB"/>
    <w:rsid w:val="009234AC"/>
    <w:rsid w:val="00931A0D"/>
    <w:rsid w:val="00931A21"/>
    <w:rsid w:val="00933D63"/>
    <w:rsid w:val="009361A8"/>
    <w:rsid w:val="00954D7C"/>
    <w:rsid w:val="00957318"/>
    <w:rsid w:val="00957403"/>
    <w:rsid w:val="00962785"/>
    <w:rsid w:val="00965A2E"/>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5535"/>
    <w:rsid w:val="00AD600E"/>
    <w:rsid w:val="00AE0A6E"/>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6EAF"/>
    <w:rsid w:val="00B37424"/>
    <w:rsid w:val="00B44CD6"/>
    <w:rsid w:val="00B511F6"/>
    <w:rsid w:val="00B546C8"/>
    <w:rsid w:val="00B56AF6"/>
    <w:rsid w:val="00B61FCC"/>
    <w:rsid w:val="00B62F74"/>
    <w:rsid w:val="00B77C5A"/>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3121"/>
    <w:rsid w:val="00BE4222"/>
    <w:rsid w:val="00BE6A62"/>
    <w:rsid w:val="00BE6A9E"/>
    <w:rsid w:val="00BF036D"/>
    <w:rsid w:val="00BF5A05"/>
    <w:rsid w:val="00BF720D"/>
    <w:rsid w:val="00C11343"/>
    <w:rsid w:val="00C12D7D"/>
    <w:rsid w:val="00C24E1A"/>
    <w:rsid w:val="00C270E1"/>
    <w:rsid w:val="00C27A7A"/>
    <w:rsid w:val="00C3786B"/>
    <w:rsid w:val="00C45CD6"/>
    <w:rsid w:val="00C474D6"/>
    <w:rsid w:val="00C5073F"/>
    <w:rsid w:val="00C51729"/>
    <w:rsid w:val="00C53EE1"/>
    <w:rsid w:val="00C54A7B"/>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1912"/>
    <w:rsid w:val="00CB6926"/>
    <w:rsid w:val="00CC1F5E"/>
    <w:rsid w:val="00CD0B31"/>
    <w:rsid w:val="00CD39F0"/>
    <w:rsid w:val="00CD4C39"/>
    <w:rsid w:val="00CF3E36"/>
    <w:rsid w:val="00CF3EC0"/>
    <w:rsid w:val="00D00821"/>
    <w:rsid w:val="00D348FD"/>
    <w:rsid w:val="00D425CA"/>
    <w:rsid w:val="00D46F8C"/>
    <w:rsid w:val="00D50C4E"/>
    <w:rsid w:val="00D63C69"/>
    <w:rsid w:val="00D723B1"/>
    <w:rsid w:val="00D76892"/>
    <w:rsid w:val="00D77C80"/>
    <w:rsid w:val="00D84289"/>
    <w:rsid w:val="00D85E8C"/>
    <w:rsid w:val="00D87B13"/>
    <w:rsid w:val="00D90942"/>
    <w:rsid w:val="00D91603"/>
    <w:rsid w:val="00D923DE"/>
    <w:rsid w:val="00D97318"/>
    <w:rsid w:val="00DA4111"/>
    <w:rsid w:val="00DA5861"/>
    <w:rsid w:val="00DB49F1"/>
    <w:rsid w:val="00DC2850"/>
    <w:rsid w:val="00DC3731"/>
    <w:rsid w:val="00DC7725"/>
    <w:rsid w:val="00DD3701"/>
    <w:rsid w:val="00DD4507"/>
    <w:rsid w:val="00DD47E5"/>
    <w:rsid w:val="00DE0292"/>
    <w:rsid w:val="00DE046C"/>
    <w:rsid w:val="00DE2154"/>
    <w:rsid w:val="00DE2E0C"/>
    <w:rsid w:val="00DE7E7B"/>
    <w:rsid w:val="00DF3130"/>
    <w:rsid w:val="00DF3824"/>
    <w:rsid w:val="00E039E1"/>
    <w:rsid w:val="00E05285"/>
    <w:rsid w:val="00E061EA"/>
    <w:rsid w:val="00E06947"/>
    <w:rsid w:val="00E127FF"/>
    <w:rsid w:val="00E145A7"/>
    <w:rsid w:val="00E17DFB"/>
    <w:rsid w:val="00E22DBF"/>
    <w:rsid w:val="00E24F58"/>
    <w:rsid w:val="00E27E51"/>
    <w:rsid w:val="00E3259F"/>
    <w:rsid w:val="00E36083"/>
    <w:rsid w:val="00E43192"/>
    <w:rsid w:val="00E55BF7"/>
    <w:rsid w:val="00E718B5"/>
    <w:rsid w:val="00E72387"/>
    <w:rsid w:val="00E81F10"/>
    <w:rsid w:val="00E849FA"/>
    <w:rsid w:val="00E85C9D"/>
    <w:rsid w:val="00E91015"/>
    <w:rsid w:val="00EA5D7A"/>
    <w:rsid w:val="00EB0348"/>
    <w:rsid w:val="00EC1E1C"/>
    <w:rsid w:val="00EC457E"/>
    <w:rsid w:val="00EC48B0"/>
    <w:rsid w:val="00EC6F8D"/>
    <w:rsid w:val="00ED182D"/>
    <w:rsid w:val="00EE10D4"/>
    <w:rsid w:val="00EE306B"/>
    <w:rsid w:val="00EE65D6"/>
    <w:rsid w:val="00EE66C5"/>
    <w:rsid w:val="00EE6F70"/>
    <w:rsid w:val="00EE7391"/>
    <w:rsid w:val="00EF1D3A"/>
    <w:rsid w:val="00EF229B"/>
    <w:rsid w:val="00EF6757"/>
    <w:rsid w:val="00F04522"/>
    <w:rsid w:val="00F07907"/>
    <w:rsid w:val="00F105E0"/>
    <w:rsid w:val="00F14F4B"/>
    <w:rsid w:val="00F16AB4"/>
    <w:rsid w:val="00F23BA1"/>
    <w:rsid w:val="00F33445"/>
    <w:rsid w:val="00F34FCA"/>
    <w:rsid w:val="00F4064F"/>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EA"/>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4E3E865-EFC7-4EC0-AEB0-292D9907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21</Pages>
  <Words>46852</Words>
  <Characters>26706</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146</cp:revision>
  <cp:lastPrinted>2025-07-17T07:49:00Z</cp:lastPrinted>
  <dcterms:created xsi:type="dcterms:W3CDTF">2023-02-01T12:53:00Z</dcterms:created>
  <dcterms:modified xsi:type="dcterms:W3CDTF">2025-09-25T11:55:00Z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