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B8FF" w14:textId="744A0715" w:rsidR="00371CF4" w:rsidRPr="00C911E2" w:rsidRDefault="00371CF4" w:rsidP="00D55BE7">
      <w:pPr>
        <w:rPr>
          <w:rFonts w:ascii="Times New Roman" w:hAnsi="Times New Roman" w:cs="Times New Roman"/>
          <w:lang w:val="lt-LT"/>
        </w:rPr>
      </w:pPr>
      <w:r w:rsidRPr="00C911E2">
        <w:rPr>
          <w:rFonts w:ascii="Times New Roman" w:hAnsi="Times New Roman" w:cs="Times New Roman"/>
          <w:lang w:val="lt-LT"/>
        </w:rPr>
        <w:t>Suinteresuotiems tiekėjams</w:t>
      </w:r>
      <w:r w:rsidRPr="00C911E2">
        <w:rPr>
          <w:rFonts w:ascii="Times New Roman" w:hAnsi="Times New Roman" w:cs="Times New Roman"/>
          <w:lang w:val="lt-LT"/>
        </w:rPr>
        <w:tab/>
      </w:r>
      <w:r w:rsidRPr="00C911E2">
        <w:rPr>
          <w:rFonts w:ascii="Times New Roman" w:hAnsi="Times New Roman" w:cs="Times New Roman"/>
          <w:lang w:val="lt-LT"/>
        </w:rPr>
        <w:tab/>
      </w:r>
      <w:r w:rsidRPr="00C911E2">
        <w:rPr>
          <w:rFonts w:ascii="Times New Roman" w:hAnsi="Times New Roman" w:cs="Times New Roman"/>
          <w:lang w:val="lt-LT"/>
        </w:rPr>
        <w:tab/>
      </w:r>
      <w:r w:rsidRPr="00C911E2">
        <w:rPr>
          <w:rFonts w:ascii="Times New Roman" w:hAnsi="Times New Roman" w:cs="Times New Roman"/>
          <w:lang w:val="lt-LT"/>
        </w:rPr>
        <w:tab/>
      </w:r>
      <w:r w:rsidRPr="00C911E2">
        <w:rPr>
          <w:rFonts w:ascii="Times New Roman" w:hAnsi="Times New Roman" w:cs="Times New Roman"/>
          <w:lang w:val="lt-LT"/>
        </w:rPr>
        <w:tab/>
      </w:r>
      <w:r w:rsidRPr="00C911E2">
        <w:rPr>
          <w:rFonts w:ascii="Times New Roman" w:hAnsi="Times New Roman" w:cs="Times New Roman"/>
          <w:lang w:val="lt-LT"/>
        </w:rPr>
        <w:tab/>
      </w:r>
      <w:r w:rsidRPr="00C911E2">
        <w:rPr>
          <w:rFonts w:ascii="Times New Roman" w:hAnsi="Times New Roman" w:cs="Times New Roman"/>
          <w:lang w:val="lt-LT"/>
        </w:rPr>
        <w:tab/>
        <w:t xml:space="preserve">Pirkimo Nr. </w:t>
      </w:r>
      <w:r w:rsidRPr="00371CF4">
        <w:rPr>
          <w:rFonts w:ascii="Times New Roman" w:hAnsi="Times New Roman" w:cs="Times New Roman"/>
          <w:lang w:val="lt-LT"/>
        </w:rPr>
        <w:t>4516892</w:t>
      </w:r>
    </w:p>
    <w:p w14:paraId="3F660B51" w14:textId="7C1B329E" w:rsidR="00371CF4" w:rsidRPr="00C911E2" w:rsidRDefault="00371CF4" w:rsidP="00371CF4">
      <w:pPr>
        <w:rPr>
          <w:rFonts w:ascii="Times New Roman" w:hAnsi="Times New Roman" w:cs="Times New Roman"/>
          <w:lang w:val="lt-LT"/>
        </w:rPr>
      </w:pPr>
      <w:r w:rsidRPr="00C911E2">
        <w:rPr>
          <w:rFonts w:ascii="Times New Roman" w:hAnsi="Times New Roman" w:cs="Times New Roman"/>
          <w:lang w:val="lt-LT"/>
        </w:rPr>
        <w:t>DĖL PIRKIMO SĄLYGŲ PAAIŠKINIMO</w:t>
      </w:r>
      <w:r w:rsidR="009C2B87">
        <w:rPr>
          <w:rFonts w:ascii="Times New Roman" w:hAnsi="Times New Roman" w:cs="Times New Roman"/>
          <w:lang w:val="lt-LT"/>
        </w:rPr>
        <w:t xml:space="preserve"> IR PASIŪLYMŲ PATEIKIMO TERMINO PRATĘSIMO</w:t>
      </w:r>
    </w:p>
    <w:tbl>
      <w:tblPr>
        <w:tblStyle w:val="TableGrid"/>
        <w:tblW w:w="0" w:type="auto"/>
        <w:tblLook w:val="04A0" w:firstRow="1" w:lastRow="0" w:firstColumn="1" w:lastColumn="0" w:noHBand="0" w:noVBand="1"/>
      </w:tblPr>
      <w:tblGrid>
        <w:gridCol w:w="4675"/>
        <w:gridCol w:w="5243"/>
      </w:tblGrid>
      <w:tr w:rsidR="00AE7F9E" w:rsidRPr="00371CF4" w14:paraId="32480B96" w14:textId="77777777" w:rsidTr="00315773">
        <w:tc>
          <w:tcPr>
            <w:tcW w:w="4675" w:type="dxa"/>
            <w:shd w:val="clear" w:color="auto" w:fill="8EAADB" w:themeFill="accent1" w:themeFillTint="99"/>
          </w:tcPr>
          <w:p w14:paraId="630AB703" w14:textId="77777777" w:rsidR="00AE7F9E" w:rsidRPr="00371CF4" w:rsidRDefault="004B73AE" w:rsidP="009C2B87">
            <w:pPr>
              <w:jc w:val="center"/>
              <w:rPr>
                <w:rFonts w:ascii="Times New Roman" w:hAnsi="Times New Roman" w:cs="Times New Roman"/>
                <w:lang w:val="lt-LT"/>
              </w:rPr>
            </w:pPr>
            <w:r w:rsidRPr="00371CF4">
              <w:rPr>
                <w:rFonts w:ascii="Times New Roman" w:hAnsi="Times New Roman" w:cs="Times New Roman"/>
                <w:lang w:val="lt-LT"/>
              </w:rPr>
              <w:t>Pirkimo dokumentų 8 priedas Sutarties projektas</w:t>
            </w:r>
          </w:p>
          <w:p w14:paraId="47D41D36" w14:textId="7EF933C3" w:rsidR="004B73AE" w:rsidRPr="00371CF4" w:rsidRDefault="004B73AE" w:rsidP="009C2B87">
            <w:pPr>
              <w:jc w:val="center"/>
              <w:rPr>
                <w:rFonts w:ascii="Times New Roman" w:hAnsi="Times New Roman" w:cs="Times New Roman"/>
                <w:lang w:val="lt-LT"/>
              </w:rPr>
            </w:pPr>
            <w:r w:rsidRPr="00371CF4">
              <w:rPr>
                <w:rFonts w:ascii="Times New Roman" w:hAnsi="Times New Roman" w:cs="Times New Roman"/>
                <w:lang w:val="lt-LT"/>
              </w:rPr>
              <w:t>BUVO</w:t>
            </w:r>
          </w:p>
        </w:tc>
        <w:tc>
          <w:tcPr>
            <w:tcW w:w="5243" w:type="dxa"/>
            <w:shd w:val="clear" w:color="auto" w:fill="8EAADB" w:themeFill="accent1" w:themeFillTint="99"/>
          </w:tcPr>
          <w:p w14:paraId="2F718D57" w14:textId="2F6BED31" w:rsidR="00AE7F9E" w:rsidRPr="00371CF4" w:rsidRDefault="009C2B87" w:rsidP="009C2B87">
            <w:pPr>
              <w:jc w:val="center"/>
              <w:rPr>
                <w:rFonts w:ascii="Times New Roman" w:hAnsi="Times New Roman" w:cs="Times New Roman"/>
                <w:lang w:val="lt-LT"/>
              </w:rPr>
            </w:pPr>
            <w:r w:rsidRPr="00371CF4">
              <w:rPr>
                <w:rFonts w:ascii="Times New Roman" w:hAnsi="Times New Roman" w:cs="Times New Roman"/>
                <w:lang w:val="lt-LT"/>
              </w:rPr>
              <w:t>PAKOREGUOTA</w:t>
            </w:r>
          </w:p>
        </w:tc>
      </w:tr>
      <w:tr w:rsidR="00AE7F9E" w:rsidRPr="00371CF4" w14:paraId="0BB25C35" w14:textId="77777777" w:rsidTr="00315773">
        <w:tc>
          <w:tcPr>
            <w:tcW w:w="4675" w:type="dxa"/>
          </w:tcPr>
          <w:p w14:paraId="10F15030" w14:textId="31474306" w:rsidR="00AE7F9E" w:rsidRPr="00371CF4" w:rsidRDefault="00AE7F9E">
            <w:pPr>
              <w:rPr>
                <w:rFonts w:ascii="Times New Roman" w:hAnsi="Times New Roman" w:cs="Times New Roman"/>
                <w:lang w:val="lt-LT"/>
              </w:rPr>
            </w:pPr>
            <w:r w:rsidRPr="00371CF4">
              <w:rPr>
                <w:rFonts w:ascii="Times New Roman" w:hAnsi="Times New Roman" w:cs="Times New Roman"/>
                <w:lang w:val="lt-LT"/>
              </w:rPr>
              <w:t>1.3.</w:t>
            </w:r>
            <w:r w:rsidRPr="00371CF4">
              <w:rPr>
                <w:rFonts w:ascii="Times New Roman" w:hAnsi="Times New Roman" w:cs="Times New Roman"/>
                <w:lang w:val="lt-LT"/>
              </w:rPr>
              <w:tab/>
              <w:t xml:space="preserve">Šiai Sutarčiai taikoma fiksuotos kainos kainodara. Į Darbų kainą įtrauktos visos su įrangos bei kitų medžiagų pristatymu ir perdavimu susijusios Rangovo išlaidos (įskaitant sąskaitos pateikimą per SABIS), taip pat kaštai susiję su Darbų užbaigimu (jų pridavimu) (jeigu privaloma) bei visi susiję mokesčiai, įskaitant PVM. </w:t>
            </w:r>
            <w:r w:rsidRPr="00371CF4">
              <w:rPr>
                <w:rFonts w:ascii="Times New Roman" w:hAnsi="Times New Roman" w:cs="Times New Roman"/>
                <w:strike/>
                <w:lang w:val="lt-LT"/>
              </w:rPr>
              <w:t>Taip pat tiekėjas privalo padengti kaštus arba įsigyti elektroninį statybų žurnalą visam Darbų vykdymo laikotarpiui</w:t>
            </w:r>
            <w:r w:rsidRPr="00371CF4">
              <w:rPr>
                <w:rFonts w:ascii="Times New Roman" w:hAnsi="Times New Roman" w:cs="Times New Roman"/>
                <w:lang w:val="lt-LT"/>
              </w:rPr>
              <w:t xml:space="preserve"> (Perkančioji organizacija dėl to neturėtų patirti sąnaudų).  Šioms pirkimo sąlygoms galioja 2017-06-28 VPT direktoriaus patvirtintų "Kainodaros taisyklių nustatymo metodikos" 33 p.</w:t>
            </w:r>
          </w:p>
        </w:tc>
        <w:tc>
          <w:tcPr>
            <w:tcW w:w="5243" w:type="dxa"/>
          </w:tcPr>
          <w:p w14:paraId="149DFAFC" w14:textId="388F4E92" w:rsidR="00AE7F9E" w:rsidRPr="00371CF4" w:rsidRDefault="004B73AE">
            <w:pPr>
              <w:rPr>
                <w:rFonts w:ascii="Times New Roman" w:hAnsi="Times New Roman" w:cs="Times New Roman"/>
                <w:lang w:val="lt-LT"/>
              </w:rPr>
            </w:pPr>
            <w:r w:rsidRPr="00371CF4">
              <w:rPr>
                <w:rFonts w:ascii="Times New Roman" w:hAnsi="Times New Roman" w:cs="Times New Roman"/>
                <w:lang w:val="lt-LT"/>
              </w:rPr>
              <w:t>1.3.</w:t>
            </w:r>
            <w:r w:rsidRPr="00371CF4">
              <w:rPr>
                <w:rFonts w:ascii="Times New Roman" w:hAnsi="Times New Roman" w:cs="Times New Roman"/>
                <w:lang w:val="lt-LT"/>
              </w:rPr>
              <w:tab/>
              <w:t>Šiai Sutarčiai taikoma fiksuotos kainos kainodara. Į Darbų kainą įtrauktos visos su įrangos bei kitų medžiagų pristatymu ir perdavimu susijusios Rangovo išlaidos (įskaitant sąskaitos pateikimą per SABIS), taip pat kaštai susiję su Darbų užbaigimu (jų pridavimu) (jeigu privaloma) bei visi susiję mokesčiai, įskaitant PVM. (Perkančioji organizacija dėl to neturėtų patirti sąnaudų).  Šioms pirkimo sąlygoms galioja 2017-06-28 VPT direktoriaus patvirtintų "Kainodaros taisyklių nustatymo metodikos" 33 p.</w:t>
            </w:r>
          </w:p>
        </w:tc>
      </w:tr>
      <w:tr w:rsidR="00AE7F9E" w:rsidRPr="00371CF4" w14:paraId="1DF78CA1" w14:textId="77777777" w:rsidTr="00315773">
        <w:tc>
          <w:tcPr>
            <w:tcW w:w="4675" w:type="dxa"/>
          </w:tcPr>
          <w:p w14:paraId="54881BBE" w14:textId="6B7C108F" w:rsidR="00AE7F9E" w:rsidRPr="00371CF4" w:rsidRDefault="00AE7F9E" w:rsidP="00355765">
            <w:pPr>
              <w:pStyle w:val="ListParagraph"/>
              <w:spacing w:line="240" w:lineRule="auto"/>
              <w:ind w:left="0"/>
              <w:jc w:val="both"/>
              <w:rPr>
                <w:rFonts w:ascii="Times New Roman" w:hAnsi="Times New Roman" w:cs="Times New Roman"/>
                <w:lang w:val="lt-LT"/>
              </w:rPr>
            </w:pPr>
            <w:r w:rsidRPr="00371CF4">
              <w:rPr>
                <w:rFonts w:ascii="Times New Roman" w:hAnsi="Times New Roman" w:cs="Times New Roman"/>
                <w:lang w:val="lt-LT"/>
              </w:rPr>
              <w:t xml:space="preserve">6.4. 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w:t>
            </w:r>
            <w:r w:rsidRPr="00371CF4">
              <w:rPr>
                <w:rFonts w:ascii="Times New Roman" w:hAnsi="Times New Roman" w:cs="Times New Roman"/>
                <w:strike/>
                <w:lang w:val="lt-LT"/>
              </w:rPr>
              <w:t>4.21</w:t>
            </w:r>
            <w:r w:rsidRPr="00371CF4">
              <w:rPr>
                <w:rFonts w:ascii="Times New Roman" w:hAnsi="Times New Roman" w:cs="Times New Roman"/>
                <w:lang w:val="lt-LT"/>
              </w:rPr>
              <w:t xml:space="preserve"> punktuose) metu.</w:t>
            </w:r>
          </w:p>
        </w:tc>
        <w:tc>
          <w:tcPr>
            <w:tcW w:w="5243" w:type="dxa"/>
          </w:tcPr>
          <w:p w14:paraId="049D3499" w14:textId="7F5E9B63" w:rsidR="00AE7F9E" w:rsidRPr="00371CF4" w:rsidRDefault="00AE7F9E" w:rsidP="00355765">
            <w:pPr>
              <w:pStyle w:val="ListParagraph"/>
              <w:numPr>
                <w:ilvl w:val="1"/>
                <w:numId w:val="1"/>
              </w:numPr>
              <w:spacing w:line="240" w:lineRule="auto"/>
              <w:ind w:left="37" w:firstLine="0"/>
              <w:jc w:val="both"/>
              <w:rPr>
                <w:rFonts w:ascii="Times New Roman" w:hAnsi="Times New Roman" w:cs="Times New Roman"/>
                <w:lang w:val="lt-LT"/>
              </w:rPr>
            </w:pPr>
            <w:r w:rsidRPr="00371CF4">
              <w:rPr>
                <w:rFonts w:ascii="Times New Roman" w:hAnsi="Times New Roman" w:cs="Times New Roman"/>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punktuose) metu.</w:t>
            </w:r>
          </w:p>
        </w:tc>
      </w:tr>
      <w:tr w:rsidR="00AE7F9E" w:rsidRPr="00371CF4" w14:paraId="786F315F" w14:textId="77777777" w:rsidTr="00315773">
        <w:tc>
          <w:tcPr>
            <w:tcW w:w="4675" w:type="dxa"/>
          </w:tcPr>
          <w:p w14:paraId="3CDAB50F" w14:textId="119437DC" w:rsidR="00AE7F9E" w:rsidRPr="00371CF4" w:rsidRDefault="00AE7F9E" w:rsidP="00355765">
            <w:pPr>
              <w:pStyle w:val="ListParagraph"/>
              <w:spacing w:line="240" w:lineRule="auto"/>
              <w:ind w:left="0"/>
              <w:jc w:val="both"/>
              <w:rPr>
                <w:rFonts w:ascii="Times New Roman" w:hAnsi="Times New Roman" w:cs="Times New Roman"/>
                <w:lang w:val="lt-LT"/>
              </w:rPr>
            </w:pPr>
            <w:r w:rsidRPr="00371CF4">
              <w:rPr>
                <w:rFonts w:ascii="Times New Roman" w:hAnsi="Times New Roman" w:cs="Times New Roman"/>
                <w:lang w:val="lt-LT"/>
              </w:rPr>
              <w:t xml:space="preserve">6.11. Rangovas nepateikia per Sutarties </w:t>
            </w:r>
            <w:r w:rsidRPr="00371CF4">
              <w:rPr>
                <w:rFonts w:ascii="Times New Roman" w:hAnsi="Times New Roman" w:cs="Times New Roman"/>
                <w:strike/>
                <w:lang w:val="lt-LT"/>
              </w:rPr>
              <w:t>4.19.</w:t>
            </w:r>
            <w:r w:rsidRPr="00371CF4">
              <w:rPr>
                <w:rFonts w:ascii="Times New Roman" w:hAnsi="Times New Roman" w:cs="Times New Roman"/>
                <w:lang w:val="lt-LT"/>
              </w:rPr>
              <w:t xml:space="preserve"> nustatytą terminą </w:t>
            </w:r>
            <w:r w:rsidRPr="00371CF4">
              <w:rPr>
                <w:rStyle w:val="normaltextrun"/>
                <w:rFonts w:ascii="Times New Roman" w:hAnsi="Times New Roman" w:cs="Times New Roman"/>
                <w:color w:val="000000"/>
                <w:shd w:val="clear" w:color="auto" w:fill="FFFFFF"/>
                <w:lang w:val="lt-LT"/>
              </w:rPr>
              <w:t xml:space="preserve">Gamybinio projekto. </w:t>
            </w:r>
            <w:r w:rsidRPr="00371CF4">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tc>
        <w:tc>
          <w:tcPr>
            <w:tcW w:w="5243" w:type="dxa"/>
          </w:tcPr>
          <w:p w14:paraId="5CF31BB8" w14:textId="30E0455A" w:rsidR="00371CF4" w:rsidRPr="00371CF4" w:rsidRDefault="00371CF4" w:rsidP="00371CF4">
            <w:pPr>
              <w:pStyle w:val="ListParagraph"/>
              <w:spacing w:line="240" w:lineRule="auto"/>
              <w:ind w:left="37"/>
              <w:jc w:val="both"/>
              <w:rPr>
                <w:rFonts w:ascii="Times New Roman" w:hAnsi="Times New Roman" w:cs="Times New Roman"/>
                <w:lang w:val="lt-LT"/>
              </w:rPr>
            </w:pPr>
            <w:r w:rsidRPr="00371CF4">
              <w:rPr>
                <w:rFonts w:ascii="Times New Roman" w:hAnsi="Times New Roman" w:cs="Times New Roman"/>
                <w:lang w:val="lt-LT"/>
              </w:rPr>
              <w:t xml:space="preserve">6.11. Rangovas nepateikia per Sutarties 4.20 nustatytą terminą </w:t>
            </w:r>
            <w:r w:rsidRPr="00371CF4">
              <w:rPr>
                <w:rStyle w:val="normaltextrun"/>
                <w:rFonts w:ascii="Times New Roman" w:hAnsi="Times New Roman" w:cs="Times New Roman"/>
                <w:color w:val="000000"/>
                <w:shd w:val="clear" w:color="auto" w:fill="FFFFFF"/>
                <w:lang w:val="lt-LT"/>
              </w:rPr>
              <w:t xml:space="preserve">Gamybinio projekto. </w:t>
            </w:r>
            <w:r w:rsidRPr="00371CF4">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p w14:paraId="2D60DF9C" w14:textId="77777777" w:rsidR="00AE7F9E" w:rsidRPr="00371CF4" w:rsidRDefault="00AE7F9E">
            <w:pPr>
              <w:rPr>
                <w:rFonts w:ascii="Times New Roman" w:hAnsi="Times New Roman" w:cs="Times New Roman"/>
                <w:lang w:val="lt-LT"/>
              </w:rPr>
            </w:pPr>
          </w:p>
        </w:tc>
      </w:tr>
      <w:tr w:rsidR="00AE7F9E" w:rsidRPr="00371CF4" w14:paraId="5916064F" w14:textId="77777777" w:rsidTr="009C2B87">
        <w:trPr>
          <w:trHeight w:val="2624"/>
        </w:trPr>
        <w:tc>
          <w:tcPr>
            <w:tcW w:w="4675" w:type="dxa"/>
          </w:tcPr>
          <w:p w14:paraId="5CC5F136" w14:textId="7E2FBAC6" w:rsidR="00AE7F9E" w:rsidRPr="00371CF4" w:rsidRDefault="00371CF4" w:rsidP="00355765">
            <w:pPr>
              <w:tabs>
                <w:tab w:val="left" w:pos="851"/>
              </w:tabs>
              <w:jc w:val="both"/>
              <w:rPr>
                <w:rFonts w:ascii="Times New Roman" w:hAnsi="Times New Roman" w:cs="Times New Roman"/>
                <w:lang w:val="lt-LT"/>
              </w:rPr>
            </w:pPr>
            <w:r w:rsidRPr="00371CF4">
              <w:rPr>
                <w:rFonts w:ascii="Times New Roman" w:hAnsi="Times New Roman" w:cs="Times New Roman"/>
                <w:lang w:val="lt-LT"/>
              </w:rPr>
              <w:t xml:space="preserve">4.20. Rangovas Darbus vykdo pagal grafiką, nurodytą Veiklų sąraše. Darbų vykdymo metu neprieštaraujant Užsakovui grafikas gali būti koreguojamas keičiant </w:t>
            </w:r>
            <w:r w:rsidRPr="00371CF4">
              <w:rPr>
                <w:rFonts w:ascii="Times New Roman" w:hAnsi="Times New Roman" w:cs="Times New Roman"/>
                <w:spacing w:val="-2"/>
                <w:lang w:val="lt-LT"/>
              </w:rPr>
              <w:t xml:space="preserve">Darbų vykdymo seką, bet nekeičiant </w:t>
            </w:r>
            <w:r w:rsidRPr="00371CF4">
              <w:rPr>
                <w:rFonts w:ascii="Times New Roman" w:hAnsi="Times New Roman" w:cs="Times New Roman"/>
                <w:lang w:val="lt-LT"/>
              </w:rPr>
              <w:t xml:space="preserve">Darbų atlikimo termino. </w:t>
            </w:r>
            <w:r w:rsidRPr="00371CF4">
              <w:rPr>
                <w:rFonts w:ascii="Times New Roman" w:hAnsi="Times New Roman" w:cs="Times New Roman"/>
                <w:bCs/>
                <w:lang w:val="lt-LT"/>
              </w:rPr>
              <w:t xml:space="preserve">Veiklų sąrašą Rangovas įsipareigoja pateikti kaip per 5 d. d. nuo sutarties pasirašymo dienos. Veiklų sąraše privalo atsispindėti Darbų grupės (etapai) bei terminai, nurodytos kiekvienos veiklos sumos. </w:t>
            </w:r>
          </w:p>
        </w:tc>
        <w:tc>
          <w:tcPr>
            <w:tcW w:w="5243" w:type="dxa"/>
          </w:tcPr>
          <w:p w14:paraId="30C38D71" w14:textId="081D458E" w:rsidR="00AE7F9E" w:rsidRPr="00371CF4" w:rsidRDefault="00371CF4" w:rsidP="00355765">
            <w:pPr>
              <w:tabs>
                <w:tab w:val="left" w:pos="851"/>
              </w:tabs>
              <w:jc w:val="both"/>
              <w:rPr>
                <w:rFonts w:ascii="Times New Roman" w:hAnsi="Times New Roman" w:cs="Times New Roman"/>
                <w:lang w:val="lt-LT"/>
              </w:rPr>
            </w:pPr>
            <w:r w:rsidRPr="00371CF4">
              <w:rPr>
                <w:rFonts w:ascii="Times New Roman" w:hAnsi="Times New Roman" w:cs="Times New Roman"/>
                <w:lang w:val="lt-LT"/>
              </w:rPr>
              <w:t xml:space="preserve">4.20. Rangovas Darbus vykdo pagal darbų grafiką, nurodytą Veiklų sąraše </w:t>
            </w:r>
            <w:r w:rsidRPr="00371CF4">
              <w:rPr>
                <w:rFonts w:ascii="Times New Roman" w:hAnsi="Times New Roman" w:cs="Times New Roman"/>
                <w:u w:val="single"/>
                <w:lang w:val="lt-LT"/>
              </w:rPr>
              <w:t>ir suderintą su Užsakovu</w:t>
            </w:r>
            <w:r w:rsidRPr="00371CF4">
              <w:rPr>
                <w:rFonts w:ascii="Times New Roman" w:hAnsi="Times New Roman" w:cs="Times New Roman"/>
                <w:lang w:val="lt-LT"/>
              </w:rPr>
              <w:t xml:space="preserve">. Darbų vykdymo metu neprieštaraujant Užsakovui grafikas gali būti koreguojamas keičiant </w:t>
            </w:r>
            <w:r w:rsidRPr="00371CF4">
              <w:rPr>
                <w:rFonts w:ascii="Times New Roman" w:hAnsi="Times New Roman" w:cs="Times New Roman"/>
                <w:spacing w:val="-2"/>
                <w:lang w:val="lt-LT"/>
              </w:rPr>
              <w:t xml:space="preserve">Darbų vykdymo seką, bet nekeičiant </w:t>
            </w:r>
            <w:r w:rsidRPr="00371CF4">
              <w:rPr>
                <w:rFonts w:ascii="Times New Roman" w:hAnsi="Times New Roman" w:cs="Times New Roman"/>
                <w:lang w:val="lt-LT"/>
              </w:rPr>
              <w:t xml:space="preserve">Darbų atlikimo termino. </w:t>
            </w:r>
            <w:bookmarkStart w:id="0" w:name="_Hlk199327984"/>
            <w:bookmarkStart w:id="1" w:name="_Hlk90849300"/>
            <w:r w:rsidRPr="00371CF4">
              <w:rPr>
                <w:rFonts w:ascii="Times New Roman" w:hAnsi="Times New Roman" w:cs="Times New Roman"/>
                <w:bCs/>
                <w:lang w:val="lt-LT"/>
              </w:rPr>
              <w:t xml:space="preserve">Veiklų sąrašą Rangovas įsipareigoja pateikti per 5 d. d. nuo sutarties pasirašymo dienos. </w:t>
            </w:r>
            <w:bookmarkEnd w:id="0"/>
            <w:r w:rsidRPr="00371CF4">
              <w:rPr>
                <w:rFonts w:ascii="Times New Roman" w:hAnsi="Times New Roman" w:cs="Times New Roman"/>
                <w:bCs/>
                <w:lang w:val="lt-LT"/>
              </w:rPr>
              <w:t xml:space="preserve">Veiklų </w:t>
            </w:r>
            <w:bookmarkStart w:id="2" w:name="_Hlk199328077"/>
            <w:r w:rsidRPr="00371CF4">
              <w:rPr>
                <w:rFonts w:ascii="Times New Roman" w:hAnsi="Times New Roman" w:cs="Times New Roman"/>
                <w:bCs/>
                <w:lang w:val="lt-LT"/>
              </w:rPr>
              <w:t>sąraše privalo atsispindėti Darbų grupės (etapai) bei terminai, nurodytos kiekvienos veiklos sumos</w:t>
            </w:r>
            <w:bookmarkEnd w:id="1"/>
            <w:r w:rsidRPr="00371CF4">
              <w:rPr>
                <w:rFonts w:ascii="Times New Roman" w:hAnsi="Times New Roman" w:cs="Times New Roman"/>
                <w:bCs/>
                <w:lang w:val="lt-LT"/>
              </w:rPr>
              <w:t xml:space="preserve">. </w:t>
            </w:r>
            <w:bookmarkEnd w:id="2"/>
          </w:p>
        </w:tc>
      </w:tr>
      <w:tr w:rsidR="009C2B87" w:rsidRPr="00371CF4" w14:paraId="397C68C6" w14:textId="77777777" w:rsidTr="009C2B87">
        <w:tc>
          <w:tcPr>
            <w:tcW w:w="9918" w:type="dxa"/>
            <w:gridSpan w:val="2"/>
            <w:shd w:val="clear" w:color="auto" w:fill="8EAADB" w:themeFill="accent1" w:themeFillTint="99"/>
          </w:tcPr>
          <w:p w14:paraId="75E3A6A1" w14:textId="0582C7DD" w:rsidR="009C2B87" w:rsidRPr="009C2B87" w:rsidRDefault="009C2B87" w:rsidP="009C2B87">
            <w:pPr>
              <w:tabs>
                <w:tab w:val="left" w:pos="851"/>
              </w:tabs>
              <w:jc w:val="center"/>
              <w:rPr>
                <w:rFonts w:ascii="Times New Roman" w:hAnsi="Times New Roman" w:cs="Times New Roman"/>
                <w:b/>
                <w:bCs/>
                <w:lang w:val="lt-LT"/>
              </w:rPr>
            </w:pPr>
            <w:r w:rsidRPr="009C2B87">
              <w:rPr>
                <w:rFonts w:ascii="Times New Roman" w:hAnsi="Times New Roman" w:cs="Times New Roman"/>
                <w:b/>
                <w:bCs/>
                <w:lang w:val="lt-LT"/>
              </w:rPr>
              <w:t>Dėl pasiūlymų pateikimo termino</w:t>
            </w:r>
          </w:p>
        </w:tc>
      </w:tr>
      <w:tr w:rsidR="009C2B87" w:rsidRPr="00371CF4" w14:paraId="095C559B" w14:textId="77777777" w:rsidTr="00C25F35">
        <w:tc>
          <w:tcPr>
            <w:tcW w:w="9918" w:type="dxa"/>
            <w:gridSpan w:val="2"/>
          </w:tcPr>
          <w:p w14:paraId="0C3932BE" w14:textId="6FFB9F78" w:rsidR="009C2B87" w:rsidRPr="00371CF4" w:rsidRDefault="009C2B87" w:rsidP="00371CF4">
            <w:pPr>
              <w:tabs>
                <w:tab w:val="left" w:pos="851"/>
              </w:tabs>
              <w:jc w:val="both"/>
              <w:rPr>
                <w:rFonts w:ascii="Times New Roman" w:hAnsi="Times New Roman" w:cs="Times New Roman"/>
                <w:lang w:val="lt-LT"/>
              </w:rPr>
            </w:pPr>
            <w:r>
              <w:rPr>
                <w:rFonts w:ascii="Times New Roman" w:hAnsi="Times New Roman" w:cs="Times New Roman"/>
                <w:lang w:val="lt-LT"/>
              </w:rPr>
              <w:t>Pasiūlymų pateikimo terminas pratęsiamas iki 2025 m. spalio 3 d.  9 val.</w:t>
            </w:r>
          </w:p>
        </w:tc>
      </w:tr>
      <w:tr w:rsidR="00AB0D4A" w:rsidRPr="00371CF4" w14:paraId="2EEF1384" w14:textId="77777777" w:rsidTr="00AB0D4A">
        <w:tc>
          <w:tcPr>
            <w:tcW w:w="9918" w:type="dxa"/>
            <w:gridSpan w:val="2"/>
            <w:shd w:val="clear" w:color="auto" w:fill="8EAADB" w:themeFill="accent1" w:themeFillTint="99"/>
          </w:tcPr>
          <w:p w14:paraId="31C35DB7" w14:textId="69B83E98" w:rsidR="00AB0D4A" w:rsidRPr="00AB0D4A" w:rsidRDefault="00AB0D4A" w:rsidP="00AB0D4A">
            <w:pPr>
              <w:tabs>
                <w:tab w:val="left" w:pos="851"/>
              </w:tabs>
              <w:jc w:val="center"/>
              <w:rPr>
                <w:rFonts w:ascii="Times New Roman" w:hAnsi="Times New Roman" w:cs="Times New Roman"/>
                <w:b/>
                <w:bCs/>
                <w:lang w:val="lt-LT"/>
              </w:rPr>
            </w:pPr>
            <w:r w:rsidRPr="00AB0D4A">
              <w:rPr>
                <w:rFonts w:ascii="Times New Roman" w:hAnsi="Times New Roman" w:cs="Times New Roman"/>
                <w:b/>
                <w:bCs/>
                <w:lang w:val="lt-LT"/>
              </w:rPr>
              <w:t>Dėl prašymo paaiškinti dokumentus</w:t>
            </w:r>
          </w:p>
        </w:tc>
      </w:tr>
      <w:tr w:rsidR="00AB0D4A" w:rsidRPr="00371CF4" w14:paraId="41BE9E68" w14:textId="77777777" w:rsidTr="00AB0D4A">
        <w:tc>
          <w:tcPr>
            <w:tcW w:w="9918" w:type="dxa"/>
            <w:gridSpan w:val="2"/>
            <w:shd w:val="clear" w:color="auto" w:fill="FFFFFF" w:themeFill="background1"/>
          </w:tcPr>
          <w:p w14:paraId="0B972DA4" w14:textId="092AAF33" w:rsidR="00AB0D4A" w:rsidRDefault="00AB0D4A" w:rsidP="00371CF4">
            <w:pPr>
              <w:tabs>
                <w:tab w:val="left" w:pos="851"/>
              </w:tabs>
              <w:jc w:val="both"/>
              <w:rPr>
                <w:rFonts w:ascii="Times New Roman" w:hAnsi="Times New Roman" w:cs="Times New Roman"/>
                <w:lang w:val="lt-LT"/>
              </w:rPr>
            </w:pPr>
            <w:r>
              <w:rPr>
                <w:rFonts w:ascii="Times New Roman" w:hAnsi="Times New Roman" w:cs="Times New Roman"/>
                <w:lang w:val="lt-LT"/>
              </w:rPr>
              <w:t>Prašymo paaiškinti dokumentus terminas nukeliamas į 2025 m. rugsėjo 26 d.</w:t>
            </w:r>
          </w:p>
        </w:tc>
      </w:tr>
      <w:tr w:rsidR="00355765" w:rsidRPr="00371CF4" w14:paraId="621D0E10" w14:textId="77777777" w:rsidTr="00355765">
        <w:tc>
          <w:tcPr>
            <w:tcW w:w="9918" w:type="dxa"/>
            <w:gridSpan w:val="2"/>
            <w:shd w:val="clear" w:color="auto" w:fill="8EAADB" w:themeFill="accent1" w:themeFillTint="99"/>
          </w:tcPr>
          <w:p w14:paraId="020A59A0" w14:textId="4E84AB53" w:rsidR="00355765" w:rsidRPr="00355765" w:rsidRDefault="00355765" w:rsidP="00355765">
            <w:pPr>
              <w:tabs>
                <w:tab w:val="left" w:pos="851"/>
              </w:tabs>
              <w:jc w:val="center"/>
              <w:rPr>
                <w:rFonts w:ascii="Times New Roman" w:hAnsi="Times New Roman" w:cs="Times New Roman"/>
                <w:b/>
                <w:bCs/>
                <w:lang w:val="lt-LT"/>
              </w:rPr>
            </w:pPr>
            <w:r w:rsidRPr="00355765">
              <w:rPr>
                <w:rFonts w:ascii="Times New Roman" w:hAnsi="Times New Roman" w:cs="Times New Roman"/>
                <w:b/>
                <w:bCs/>
                <w:lang w:val="lt-LT"/>
              </w:rPr>
              <w:t>Pirkimo dokumentai</w:t>
            </w:r>
          </w:p>
        </w:tc>
      </w:tr>
      <w:tr w:rsidR="00355765" w:rsidRPr="00371CF4" w14:paraId="43C2FFEE" w14:textId="77777777" w:rsidTr="00355765">
        <w:trPr>
          <w:trHeight w:val="100"/>
        </w:trPr>
        <w:tc>
          <w:tcPr>
            <w:tcW w:w="9918" w:type="dxa"/>
            <w:gridSpan w:val="2"/>
            <w:shd w:val="clear" w:color="auto" w:fill="FFFFFF" w:themeFill="background1"/>
          </w:tcPr>
          <w:p w14:paraId="2482AA10" w14:textId="1D0FB9FB" w:rsidR="00355765" w:rsidRDefault="00355765" w:rsidP="00371CF4">
            <w:pPr>
              <w:tabs>
                <w:tab w:val="left" w:pos="851"/>
              </w:tabs>
              <w:jc w:val="both"/>
              <w:rPr>
                <w:rFonts w:ascii="Times New Roman" w:hAnsi="Times New Roman" w:cs="Times New Roman"/>
                <w:lang w:val="lt-LT"/>
              </w:rPr>
            </w:pPr>
            <w:r>
              <w:rPr>
                <w:rFonts w:ascii="Times New Roman" w:hAnsi="Times New Roman" w:cs="Times New Roman"/>
                <w:lang w:val="lt-LT"/>
              </w:rPr>
              <w:t>Pridedama 2 specialiųjų pirkimo sąlygų versija</w:t>
            </w:r>
          </w:p>
        </w:tc>
      </w:tr>
    </w:tbl>
    <w:p w14:paraId="5BAC6E5B" w14:textId="77777777" w:rsidR="00AE7F9E" w:rsidRPr="00371CF4" w:rsidRDefault="00AE7F9E">
      <w:pPr>
        <w:rPr>
          <w:rFonts w:ascii="Times New Roman" w:hAnsi="Times New Roman" w:cs="Times New Roman"/>
          <w:lang w:val="lt-LT"/>
        </w:rPr>
      </w:pPr>
    </w:p>
    <w:sectPr w:rsidR="00AE7F9E" w:rsidRPr="00371CF4" w:rsidSect="00315773">
      <w:pgSz w:w="12240" w:h="15840"/>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9E"/>
    <w:rsid w:val="002B352C"/>
    <w:rsid w:val="00315773"/>
    <w:rsid w:val="00355765"/>
    <w:rsid w:val="00371CF4"/>
    <w:rsid w:val="004B73AE"/>
    <w:rsid w:val="009C2B87"/>
    <w:rsid w:val="00AB0D4A"/>
    <w:rsid w:val="00AE7F9E"/>
    <w:rsid w:val="00E83656"/>
    <w:rsid w:val="00F409A3"/>
    <w:rsid w:val="00F9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3293"/>
  <w15:chartTrackingRefBased/>
  <w15:docId w15:val="{47C2BFCF-E236-439C-9AFB-2D1C23FE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AE7F9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AE7F9E"/>
    <w:pPr>
      <w:spacing w:line="276" w:lineRule="auto"/>
      <w:ind w:left="720"/>
      <w:contextualSpacing/>
    </w:pPr>
  </w:style>
  <w:style w:type="character" w:customStyle="1" w:styleId="normaltextrun">
    <w:name w:val="normaltextrun"/>
    <w:rsid w:val="00AE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4</cp:revision>
  <dcterms:created xsi:type="dcterms:W3CDTF">2025-09-25T12:03:00Z</dcterms:created>
  <dcterms:modified xsi:type="dcterms:W3CDTF">2025-09-25T14:22:00Z</dcterms:modified>
</cp:coreProperties>
</file>