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B54" w14:textId="574C289E" w:rsidR="0011058D" w:rsidRPr="00F3587B" w:rsidRDefault="0011058D" w:rsidP="0011058D">
      <w:pPr>
        <w:keepNext/>
        <w:keepLines/>
        <w:spacing w:before="120" w:after="0" w:line="240" w:lineRule="auto"/>
        <w:ind w:left="5103"/>
        <w:outlineLvl w:val="1"/>
        <w:rPr>
          <w:rFonts w:ascii="Trebuchet MS" w:eastAsia="Calibri" w:hAnsi="Trebuchet MS" w:cstheme="minorHAnsi"/>
          <w:color w:val="0070C0"/>
          <w:sz w:val="20"/>
          <w:szCs w:val="20"/>
          <w:lang w:eastAsia="lt-LT"/>
        </w:rPr>
      </w:pPr>
      <w:bookmarkStart w:id="0" w:name="_Ref38539939"/>
      <w:bookmarkStart w:id="1" w:name="_Ref38541068"/>
      <w:bookmarkStart w:id="2" w:name="_Ref38885053"/>
      <w:bookmarkStart w:id="3" w:name="_Ref38899023"/>
      <w:bookmarkStart w:id="4" w:name="_Toc126333940"/>
      <w:r w:rsidRPr="00F3587B">
        <w:rPr>
          <w:rFonts w:ascii="Trebuchet MS" w:eastAsia="Calibri" w:hAnsi="Trebuchet MS" w:cstheme="minorHAnsi"/>
          <w:color w:val="0070C0"/>
          <w:sz w:val="20"/>
          <w:szCs w:val="20"/>
          <w:lang w:eastAsia="lt-LT"/>
        </w:rPr>
        <w:t>Pirkimo sąlygų 2 priedas „</w:t>
      </w:r>
      <w:r w:rsidR="00C90038" w:rsidRPr="00C90038">
        <w:rPr>
          <w:rFonts w:ascii="Trebuchet MS" w:eastAsia="Calibri" w:hAnsi="Trebuchet MS" w:cstheme="minorHAnsi"/>
          <w:b/>
          <w:color w:val="0070C0"/>
          <w:sz w:val="20"/>
          <w:szCs w:val="20"/>
          <w:lang w:eastAsia="lt-LT"/>
        </w:rPr>
        <w:t>Duomenų saugos ir informacijos konfidencialumo reikalavimai</w:t>
      </w:r>
      <w:r w:rsidRPr="00F3587B">
        <w:rPr>
          <w:rFonts w:ascii="Trebuchet MS" w:eastAsia="Calibri" w:hAnsi="Trebuchet MS" w:cstheme="minorHAnsi"/>
          <w:color w:val="0070C0"/>
          <w:sz w:val="20"/>
          <w:szCs w:val="20"/>
          <w:lang w:eastAsia="lt-LT"/>
        </w:rPr>
        <w:t>“</w:t>
      </w:r>
      <w:bookmarkEnd w:id="0"/>
      <w:bookmarkEnd w:id="1"/>
      <w:bookmarkEnd w:id="2"/>
      <w:bookmarkEnd w:id="3"/>
      <w:bookmarkEnd w:id="4"/>
    </w:p>
    <w:p w14:paraId="06AB7238" w14:textId="77777777" w:rsidR="009D65CE" w:rsidRPr="00F3587B" w:rsidRDefault="009D65CE" w:rsidP="009D65CE">
      <w:pPr>
        <w:numPr>
          <w:ilvl w:val="1"/>
          <w:numId w:val="0"/>
        </w:numPr>
        <w:spacing w:after="240" w:line="276" w:lineRule="auto"/>
        <w:jc w:val="center"/>
        <w:rPr>
          <w:rFonts w:ascii="Trebuchet MS" w:eastAsiaTheme="minorEastAsia" w:hAnsi="Trebuchet MS"/>
          <w:caps/>
          <w:color w:val="404040" w:themeColor="text1" w:themeTint="BF"/>
          <w:spacing w:val="20"/>
          <w:lang w:eastAsia="lt-LT"/>
        </w:rPr>
      </w:pPr>
    </w:p>
    <w:p w14:paraId="38038929" w14:textId="41A47F72" w:rsidR="00C90038" w:rsidRDefault="00C90038" w:rsidP="00C90038">
      <w:pPr>
        <w:pStyle w:val="Sraopastraipa"/>
        <w:ind w:right="113"/>
        <w:rPr>
          <w:rFonts w:ascii="Trebuchet MS" w:eastAsiaTheme="minorEastAsia" w:hAnsi="Trebuchet MS" w:cstheme="minorBidi"/>
          <w:b/>
          <w:caps/>
          <w:color w:val="404040" w:themeColor="text1" w:themeTint="BF"/>
          <w:spacing w:val="20"/>
          <w:sz w:val="22"/>
          <w:szCs w:val="22"/>
          <w:lang w:eastAsia="lt-LT"/>
        </w:rPr>
      </w:pPr>
      <w:r w:rsidRPr="00C90038">
        <w:rPr>
          <w:rFonts w:ascii="Trebuchet MS" w:eastAsiaTheme="minorEastAsia" w:hAnsi="Trebuchet MS" w:cstheme="minorBidi"/>
          <w:b/>
          <w:caps/>
          <w:color w:val="404040" w:themeColor="text1" w:themeTint="BF"/>
          <w:spacing w:val="20"/>
          <w:sz w:val="22"/>
          <w:szCs w:val="22"/>
          <w:lang w:eastAsia="lt-LT"/>
        </w:rPr>
        <w:t xml:space="preserve">Duomenų saugos ir informacijos konfidencialumo reikalavimai </w:t>
      </w:r>
    </w:p>
    <w:p w14:paraId="5EBA1CF7" w14:textId="24F626CB" w:rsidR="00C90038" w:rsidRDefault="00C90038" w:rsidP="00C90038">
      <w:pPr>
        <w:pStyle w:val="Sraopastraipa"/>
        <w:ind w:right="113"/>
        <w:rPr>
          <w:rFonts w:ascii="Trebuchet MS" w:hAnsi="Trebuchet MS"/>
          <w:b/>
          <w:sz w:val="22"/>
          <w:szCs w:val="22"/>
        </w:rPr>
      </w:pPr>
    </w:p>
    <w:p w14:paraId="123B0547" w14:textId="77777777" w:rsidR="00C90038" w:rsidRPr="00C90038" w:rsidRDefault="00C90038" w:rsidP="00C90038">
      <w:pPr>
        <w:pStyle w:val="Sraopastraipa"/>
        <w:ind w:right="113"/>
        <w:rPr>
          <w:rFonts w:ascii="Trebuchet MS" w:hAnsi="Trebuchet MS"/>
          <w:b/>
          <w:sz w:val="22"/>
          <w:szCs w:val="22"/>
        </w:rPr>
      </w:pPr>
      <w:bookmarkStart w:id="5" w:name="_GoBack"/>
      <w:bookmarkEnd w:id="5"/>
    </w:p>
    <w:p w14:paraId="29DCB963" w14:textId="62C4CD46" w:rsidR="00C90038" w:rsidRPr="00C90038"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C90038">
        <w:rPr>
          <w:rFonts w:ascii="Trebuchet MS" w:hAnsi="Trebuchet MS"/>
          <w:sz w:val="22"/>
          <w:szCs w:val="22"/>
        </w:rPr>
        <w:t xml:space="preserve">Paslaugų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 </w:t>
      </w:r>
    </w:p>
    <w:p w14:paraId="13C0D49F"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67A9A071"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717CF03B"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6118F7D3" w14:textId="77777777" w:rsidR="00C90038"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5964DA">
        <w:rPr>
          <w:rFonts w:ascii="Trebuchet MS" w:hAnsi="Trebuchet MS"/>
          <w:sz w:val="22"/>
          <w:szCs w:val="22"/>
        </w:rPr>
        <w:t xml:space="preserve">Tiekėjas turi užtikrinti ir garantuoti, kad Tiekėjo darbuotojai, kurie atliks Paslaugas, bus supažindinti su Informaciniu pranešimu apie paslaugų / prekių teikėjų darbuotojų asmens duomenų tvarkymą (su pranešimo forma galima susipažinti čia: </w:t>
      </w:r>
      <w:hyperlink r:id="rId5" w:history="1">
        <w:r w:rsidRPr="005964DA">
          <w:rPr>
            <w:rFonts w:ascii="Trebuchet MS" w:hAnsi="Trebuchet MS"/>
            <w:sz w:val="22"/>
            <w:szCs w:val="22"/>
          </w:rPr>
          <w:t>https://www.vmi.lt/evmi/documents/20142/837401/PASLAUGU+PREKIU+TEIKEJU+DARBUOTOJU+ASMENS+DUOMENU+TVARKYMAS.pdf</w:t>
        </w:r>
      </w:hyperlink>
      <w:r w:rsidRPr="005964DA">
        <w:rPr>
          <w:rFonts w:ascii="Trebuchet MS" w:hAnsi="Trebuchet MS"/>
          <w:sz w:val="22"/>
          <w:szCs w:val="22"/>
        </w:rPr>
        <w:t xml:space="preserve"> ). Supažindinimas privalo būti atliktas iki Paslaugų teikimo pradžios.</w:t>
      </w:r>
      <w:r>
        <w:rPr>
          <w:rFonts w:ascii="Trebuchet MS" w:hAnsi="Trebuchet MS"/>
          <w:sz w:val="22"/>
          <w:szCs w:val="22"/>
        </w:rPr>
        <w:t xml:space="preserve"> </w:t>
      </w:r>
    </w:p>
    <w:p w14:paraId="15E8452D"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0AB29BEE"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w:t>
      </w:r>
    </w:p>
    <w:p w14:paraId="01149F01"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 xml:space="preserve">TIEKĖJAS privalo pagrįstai nedelsdamas, ir jei įmanoma, praėjus ne mažiau kaip 24 valandoms nuo galimo informacijos saugumo incidento nustatymo, apie įvykusį ar galimai įvykusį informacijos saugos incidentą informuoti UŽSAKOVĄ el. paštu </w:t>
      </w:r>
      <w:hyperlink r:id="rId6" w:history="1">
        <w:r w:rsidRPr="00726BC2">
          <w:rPr>
            <w:rStyle w:val="Hipersaitas"/>
            <w:rFonts w:ascii="Trebuchet MS" w:hAnsi="Trebuchet MS"/>
            <w:sz w:val="22"/>
            <w:szCs w:val="22"/>
          </w:rPr>
          <w:t>duomenu_sauga@vmi.lt</w:t>
        </w:r>
      </w:hyperlink>
      <w:r w:rsidRPr="00726BC2">
        <w:rPr>
          <w:rFonts w:ascii="Trebuchet MS" w:hAnsi="Trebuchet MS"/>
          <w:sz w:val="22"/>
          <w:szCs w:val="22"/>
        </w:rPr>
        <w:t xml:space="preserve">. </w:t>
      </w:r>
    </w:p>
    <w:p w14:paraId="0F249CEB" w14:textId="77777777" w:rsidR="00C90038" w:rsidRPr="00726BC2" w:rsidRDefault="00C90038" w:rsidP="00C90038">
      <w:pPr>
        <w:pStyle w:val="Sraopastraipa"/>
        <w:numPr>
          <w:ilvl w:val="2"/>
          <w:numId w:val="4"/>
        </w:numPr>
        <w:tabs>
          <w:tab w:val="left" w:pos="567"/>
          <w:tab w:val="left" w:pos="851"/>
          <w:tab w:val="left" w:pos="1134"/>
        </w:tabs>
        <w:ind w:left="0" w:firstLine="567"/>
        <w:jc w:val="both"/>
        <w:rPr>
          <w:rFonts w:ascii="Trebuchet MS" w:hAnsi="Trebuchet MS"/>
          <w:sz w:val="22"/>
          <w:szCs w:val="22"/>
        </w:rPr>
      </w:pPr>
      <w:r w:rsidRPr="00726BC2">
        <w:rPr>
          <w:rFonts w:ascii="Trebuchet MS" w:hAnsi="Trebuchet MS"/>
          <w:sz w:val="22"/>
          <w:szCs w:val="22"/>
        </w:rPr>
        <w:t>TIEKĖJAS SUTARTIES vykdymui privalo turėti informacijos saugos specialistą (-</w:t>
      </w:r>
      <w:proofErr w:type="spellStart"/>
      <w:r w:rsidRPr="00726BC2">
        <w:rPr>
          <w:rFonts w:ascii="Trebuchet MS" w:hAnsi="Trebuchet MS"/>
          <w:sz w:val="22"/>
          <w:szCs w:val="22"/>
        </w:rPr>
        <w:t>us</w:t>
      </w:r>
      <w:proofErr w:type="spellEnd"/>
      <w:r w:rsidRPr="00726BC2">
        <w:rPr>
          <w:rFonts w:ascii="Trebuchet MS" w:hAnsi="Trebuchet MS"/>
          <w:sz w:val="22"/>
          <w:szCs w:val="22"/>
        </w:rPr>
        <w:t>), kuris (-</w:t>
      </w:r>
      <w:proofErr w:type="spellStart"/>
      <w:r w:rsidRPr="00726BC2">
        <w:rPr>
          <w:rFonts w:ascii="Trebuchet MS" w:hAnsi="Trebuchet MS"/>
          <w:sz w:val="22"/>
          <w:szCs w:val="22"/>
        </w:rPr>
        <w:t>ie</w:t>
      </w:r>
      <w:proofErr w:type="spellEnd"/>
      <w:r w:rsidRPr="00726BC2">
        <w:rPr>
          <w:rFonts w:ascii="Trebuchet MS" w:hAnsi="Trebuchet MS"/>
          <w:sz w:val="22"/>
          <w:szCs w:val="22"/>
        </w:rPr>
        <w:t>) privalo vertinti atitinkamus projekto metu TIEKĖJO priimamus sprendimus dėl informacijos saugos užtikrinimo.</w:t>
      </w:r>
    </w:p>
    <w:p w14:paraId="0AA495A7" w14:textId="77777777" w:rsidR="00C90038" w:rsidRPr="005964DA" w:rsidRDefault="00C90038" w:rsidP="00C90038">
      <w:pPr>
        <w:pStyle w:val="Sraopastraipa"/>
        <w:numPr>
          <w:ilvl w:val="2"/>
          <w:numId w:val="4"/>
        </w:numPr>
        <w:tabs>
          <w:tab w:val="left" w:pos="567"/>
          <w:tab w:val="left" w:pos="851"/>
          <w:tab w:val="left" w:pos="1418"/>
        </w:tabs>
        <w:ind w:left="0" w:firstLine="567"/>
        <w:jc w:val="both"/>
        <w:rPr>
          <w:rFonts w:ascii="Trebuchet MS" w:hAnsi="Trebuchet MS"/>
          <w:sz w:val="22"/>
          <w:szCs w:val="22"/>
        </w:rPr>
      </w:pPr>
      <w:r w:rsidRPr="00726BC2">
        <w:rPr>
          <w:rFonts w:ascii="Trebuchet MS" w:hAnsi="Trebuchet MS"/>
          <w:sz w:val="22"/>
          <w:szCs w:val="22"/>
        </w:rPr>
        <w:t>Visi informacijos saugumo reikalavimai, taikomi TIEKĖJUI, yra taikomi ir jo subrangovams.</w:t>
      </w:r>
      <w:r w:rsidRPr="00FF0C5A">
        <w:rPr>
          <w:rFonts w:ascii="Trebuchet MS" w:hAnsi="Trebuchet MS"/>
        </w:rPr>
        <w:t xml:space="preserve"> </w:t>
      </w:r>
    </w:p>
    <w:p w14:paraId="670DE213" w14:textId="77777777" w:rsidR="00C90038" w:rsidRDefault="00C90038" w:rsidP="00C90038">
      <w:pPr>
        <w:pStyle w:val="Sraopastraipa"/>
        <w:numPr>
          <w:ilvl w:val="2"/>
          <w:numId w:val="4"/>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Testavimas negali būti vykdomas su realiais duomenimis, išskyrus būtinus atvejus, suderintus su Pirkėju, kurių metu naudojamos organizacinės ir techninės duomenų saugumo priemonės, užtikrinančios realių duomenų saugumą. Prieš pradedant testavimą su realiais </w:t>
      </w:r>
      <w:r w:rsidRPr="00134BCA">
        <w:rPr>
          <w:rFonts w:ascii="Trebuchet MS" w:hAnsi="Trebuchet MS"/>
          <w:sz w:val="22"/>
          <w:szCs w:val="22"/>
        </w:rPr>
        <w:lastRenderedPageBreak/>
        <w:t xml:space="preserve">duomenimis Tiekėjas turės pasirašyti Pirkėjo Duomenų  tvarkymo sutartį, kurioje yra aprašytos organizacinės ir techninės duomenų saugumo priemonės. </w:t>
      </w:r>
    </w:p>
    <w:p w14:paraId="1AA6D027" w14:textId="77777777" w:rsidR="00C90038" w:rsidRDefault="00C90038" w:rsidP="00C90038">
      <w:pPr>
        <w:pStyle w:val="Sraopastraipa"/>
        <w:numPr>
          <w:ilvl w:val="2"/>
          <w:numId w:val="4"/>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 xml:space="preserve">PASLAUGOS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 </w:t>
      </w:r>
    </w:p>
    <w:p w14:paraId="0C8C30DA" w14:textId="77777777" w:rsidR="00C90038" w:rsidRPr="00134BCA" w:rsidRDefault="00C90038" w:rsidP="00C90038">
      <w:pPr>
        <w:pStyle w:val="Sraopastraipa"/>
        <w:numPr>
          <w:ilvl w:val="2"/>
          <w:numId w:val="4"/>
        </w:numPr>
        <w:tabs>
          <w:tab w:val="left" w:pos="567"/>
          <w:tab w:val="left" w:pos="851"/>
          <w:tab w:val="left" w:pos="1418"/>
        </w:tabs>
        <w:ind w:left="0" w:firstLine="567"/>
        <w:jc w:val="both"/>
        <w:rPr>
          <w:rFonts w:ascii="Trebuchet MS" w:hAnsi="Trebuchet MS"/>
          <w:sz w:val="22"/>
          <w:szCs w:val="22"/>
        </w:rPr>
      </w:pPr>
      <w:r w:rsidRPr="00134BCA">
        <w:rPr>
          <w:rFonts w:ascii="Trebuchet MS" w:hAnsi="Trebuchet MS"/>
          <w:sz w:val="22"/>
          <w:szCs w:val="22"/>
        </w:rPr>
        <w:t>TIEKĖJO darbuotojams draudžiama savavališkai atlikti diegimus bei kitokius konfigūravimo darbus.</w:t>
      </w:r>
    </w:p>
    <w:p w14:paraId="3A23C0A1" w14:textId="08A1B35D" w:rsidR="00C90038" w:rsidRDefault="00C90038" w:rsidP="008E192D">
      <w:pPr>
        <w:pBdr>
          <w:bottom w:val="single" w:sz="4" w:space="1" w:color="auto"/>
        </w:pBdr>
        <w:tabs>
          <w:tab w:val="left" w:pos="6379"/>
        </w:tabs>
        <w:ind w:left="3544" w:right="3684"/>
        <w:jc w:val="center"/>
        <w:rPr>
          <w:rFonts w:ascii="Trebuchet MS" w:hAnsi="Trebuchet MS"/>
        </w:rPr>
      </w:pPr>
    </w:p>
    <w:p w14:paraId="3E6AA637" w14:textId="77777777" w:rsidR="00C90038" w:rsidRPr="00F3587B" w:rsidRDefault="00C90038" w:rsidP="008E192D">
      <w:pPr>
        <w:pBdr>
          <w:bottom w:val="single" w:sz="4" w:space="1" w:color="auto"/>
        </w:pBdr>
        <w:tabs>
          <w:tab w:val="left" w:pos="6379"/>
        </w:tabs>
        <w:ind w:left="3544" w:right="3684"/>
        <w:jc w:val="center"/>
        <w:rPr>
          <w:rFonts w:ascii="Trebuchet MS" w:hAnsi="Trebuchet MS"/>
        </w:rPr>
      </w:pPr>
    </w:p>
    <w:sectPr w:rsidR="00C90038" w:rsidRPr="00F3587B" w:rsidSect="001105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07F4E07"/>
    <w:multiLevelType w:val="multilevel"/>
    <w:tmpl w:val="66067014"/>
    <w:lvl w:ilvl="0">
      <w:start w:val="1"/>
      <w:numFmt w:val="decimal"/>
      <w:lvlText w:val="%1."/>
      <w:lvlJc w:val="left"/>
      <w:pPr>
        <w:ind w:left="1321" w:hanging="360"/>
      </w:pPr>
    </w:lvl>
    <w:lvl w:ilvl="1">
      <w:start w:val="1"/>
      <w:numFmt w:val="decimal"/>
      <w:isLgl/>
      <w:lvlText w:val="%1.%2."/>
      <w:lvlJc w:val="left"/>
      <w:pPr>
        <w:ind w:left="1681" w:hanging="720"/>
      </w:pPr>
      <w:rPr>
        <w:rFonts w:hint="default"/>
      </w:rPr>
    </w:lvl>
    <w:lvl w:ilvl="2">
      <w:start w:val="1"/>
      <w:numFmt w:val="decimal"/>
      <w:isLgl/>
      <w:lvlText w:val="%3."/>
      <w:lvlJc w:val="left"/>
      <w:pPr>
        <w:ind w:left="1681" w:hanging="720"/>
      </w:pPr>
      <w:rPr>
        <w:rFonts w:ascii="Trebuchet MS" w:eastAsiaTheme="minorHAnsi" w:hAnsi="Trebuchet MS" w:cstheme="minorBidi"/>
      </w:rPr>
    </w:lvl>
    <w:lvl w:ilvl="3">
      <w:start w:val="1"/>
      <w:numFmt w:val="decimal"/>
      <w:isLgl/>
      <w:lvlText w:val="%1.%2.%3.%4."/>
      <w:lvlJc w:val="left"/>
      <w:pPr>
        <w:ind w:left="2041" w:hanging="1080"/>
      </w:pPr>
      <w:rPr>
        <w:rFonts w:hint="default"/>
      </w:rPr>
    </w:lvl>
    <w:lvl w:ilvl="4">
      <w:start w:val="1"/>
      <w:numFmt w:val="decimal"/>
      <w:isLgl/>
      <w:lvlText w:val="%1.%2.%3.%4.%5."/>
      <w:lvlJc w:val="left"/>
      <w:pPr>
        <w:ind w:left="2041" w:hanging="1080"/>
      </w:pPr>
      <w:rPr>
        <w:rFonts w:hint="default"/>
      </w:rPr>
    </w:lvl>
    <w:lvl w:ilvl="5">
      <w:start w:val="1"/>
      <w:numFmt w:val="decimal"/>
      <w:isLgl/>
      <w:lvlText w:val="%1.%2.%3.%4.%5.%6."/>
      <w:lvlJc w:val="left"/>
      <w:pPr>
        <w:ind w:left="2401" w:hanging="144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761" w:hanging="1800"/>
      </w:pPr>
      <w:rPr>
        <w:rFonts w:hint="default"/>
      </w:rPr>
    </w:lvl>
    <w:lvl w:ilvl="8">
      <w:start w:val="1"/>
      <w:numFmt w:val="decimal"/>
      <w:isLgl/>
      <w:lvlText w:val="%1.%2.%3.%4.%5.%6.%7.%8.%9."/>
      <w:lvlJc w:val="left"/>
      <w:pPr>
        <w:ind w:left="2761" w:hanging="1800"/>
      </w:pPr>
      <w:rPr>
        <w:rFonts w:hint="default"/>
      </w:rPr>
    </w:lvl>
  </w:abstractNum>
  <w:abstractNum w:abstractNumId="2"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99"/>
    <w:rsid w:val="000E5CD2"/>
    <w:rsid w:val="0011058D"/>
    <w:rsid w:val="00204D78"/>
    <w:rsid w:val="0048535F"/>
    <w:rsid w:val="0050215D"/>
    <w:rsid w:val="006340DB"/>
    <w:rsid w:val="006B2FDF"/>
    <w:rsid w:val="006C6F94"/>
    <w:rsid w:val="007E65D5"/>
    <w:rsid w:val="00841F5C"/>
    <w:rsid w:val="008E192D"/>
    <w:rsid w:val="0091200A"/>
    <w:rsid w:val="00940162"/>
    <w:rsid w:val="009D65CE"/>
    <w:rsid w:val="00C26699"/>
    <w:rsid w:val="00C90038"/>
    <w:rsid w:val="00D11C94"/>
    <w:rsid w:val="00EF2399"/>
    <w:rsid w:val="00F3587B"/>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styleId="Neapdorotaspaminjimas">
    <w:name w:val="Unresolved Mention"/>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_sauga@vmi.lt" TargetMode="External"/><Relationship Id="rId5" Type="http://schemas.openxmlformats.org/officeDocument/2006/relationships/hyperlink" Target="https://www.vmi.lt/evmi/documents/20142/837401/PASLAUGU+PREKIU+TEIKEJU+DARBUOTOJU+ASMENS+DUOMENU+TVARKYM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3391</Words>
  <Characters>1934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16</cp:revision>
  <dcterms:created xsi:type="dcterms:W3CDTF">2025-07-23T12:44:00Z</dcterms:created>
  <dcterms:modified xsi:type="dcterms:W3CDTF">2025-09-24T06:47:00Z</dcterms:modified>
</cp:coreProperties>
</file>