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57F9AD96"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3608A3">
        <w:rPr>
          <w:rFonts w:ascii="Times New Roman" w:hAnsi="Times New Roman" w:cs="Times New Roman"/>
          <w:color w:val="auto"/>
          <w:sz w:val="22"/>
          <w:szCs w:val="22"/>
          <w:lang w:val="lt-LT"/>
        </w:rPr>
        <w:t>rugsėjo</w:t>
      </w:r>
      <w:r w:rsidR="00F32988">
        <w:rPr>
          <w:rFonts w:ascii="Times New Roman" w:hAnsi="Times New Roman" w:cs="Times New Roman"/>
          <w:color w:val="auto"/>
          <w:sz w:val="22"/>
          <w:szCs w:val="22"/>
          <w:lang w:val="lt-LT"/>
        </w:rPr>
        <w:t xml:space="preserve"> </w:t>
      </w:r>
      <w:r w:rsidR="003608A3">
        <w:rPr>
          <w:rFonts w:ascii="Times New Roman" w:hAnsi="Times New Roman" w:cs="Times New Roman"/>
          <w:color w:val="auto"/>
          <w:sz w:val="22"/>
          <w:szCs w:val="22"/>
          <w:lang w:val="lt-LT"/>
        </w:rPr>
        <w:t>25</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2B6CB9D3" w:rsidR="006B51E6" w:rsidRPr="00CA449C" w:rsidRDefault="0034466E" w:rsidP="00415A17">
      <w:pPr>
        <w:pStyle w:val="Heading"/>
        <w:jc w:val="center"/>
        <w:rPr>
          <w:rFonts w:cs="Times New Roman"/>
          <w:color w:val="auto"/>
          <w:lang w:val="lt-LT"/>
        </w:rPr>
      </w:pPr>
      <w:r w:rsidRPr="00CA449C">
        <w:rPr>
          <w:rFonts w:cs="Times New Roman"/>
          <w:color w:val="auto"/>
          <w:lang w:val="lt-LT"/>
        </w:rPr>
        <w:t xml:space="preserve">ATVIRAS KONKURSAS </w:t>
      </w:r>
      <w:r w:rsidR="00F32988">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601887B6" w:rsidR="006B51E6" w:rsidRPr="00CA449C" w:rsidRDefault="00F32988" w:rsidP="00415A17">
      <w:pPr>
        <w:pStyle w:val="Heading"/>
        <w:jc w:val="center"/>
        <w:rPr>
          <w:rFonts w:eastAsia="Times New Roman" w:cs="Times New Roman"/>
          <w:b w:val="0"/>
          <w:bCs w:val="0"/>
          <w:color w:val="auto"/>
          <w:spacing w:val="0"/>
          <w:lang w:val="lt-LT"/>
        </w:rPr>
      </w:pPr>
      <w:r>
        <w:rPr>
          <w:rFonts w:cs="Times New Roman"/>
          <w:color w:val="auto"/>
          <w:lang w:val="lt-LT"/>
        </w:rPr>
        <w:t>ŠVINUOTŲ DURŲ IR LANGO GAMYBA BEI MONTAVIMAS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10422</w:t>
      </w:r>
      <w:r w:rsidR="00C51B99">
        <w:rPr>
          <w:rFonts w:cs="Times New Roman"/>
          <w:color w:val="auto"/>
          <w:lang w:val="lt-LT"/>
        </w:rPr>
        <w:t>-</w:t>
      </w:r>
      <w:r w:rsidR="003608A3">
        <w:rPr>
          <w:rFonts w:cs="Times New Roman"/>
          <w:color w:val="auto"/>
          <w:lang w:val="lt-LT"/>
        </w:rPr>
        <w:t>7</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472D5372"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F32988">
        <w:rPr>
          <w:rFonts w:eastAsia="Arial Unicode MS"/>
          <w:lang w:val="lt-LT"/>
        </w:rPr>
        <w:t xml:space="preserve">švinuotų durų ir lango gamybos bei montavimo darbus.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0F45BA8A"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F32988">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0F121ABB" w:rsidR="008240BD" w:rsidRPr="00CA449C" w:rsidRDefault="008240BD" w:rsidP="00415A17">
      <w:pPr>
        <w:pStyle w:val="Body2"/>
        <w:spacing w:after="0"/>
        <w:ind w:firstLine="709"/>
        <w:rPr>
          <w:color w:val="auto"/>
          <w:lang w:val="lt-LT"/>
        </w:rPr>
      </w:pPr>
      <w:r w:rsidRPr="00CA449C">
        <w:rPr>
          <w:color w:val="auto"/>
          <w:lang w:val="lt-LT"/>
        </w:rPr>
        <w:t>2.1. </w:t>
      </w:r>
      <w:r w:rsidR="0014543C">
        <w:rPr>
          <w:color w:val="auto"/>
          <w:lang w:val="lt-LT"/>
        </w:rPr>
        <w:t>Pirkimo objektas – švinuotų durų ir lango gamybos ir montavimo darbai (toliau – darbai)</w:t>
      </w:r>
      <w:r w:rsidRPr="00CA449C">
        <w:rPr>
          <w:color w:val="auto"/>
          <w:lang w:val="lt-LT"/>
        </w:rPr>
        <w:t xml:space="preserve">. </w:t>
      </w:r>
    </w:p>
    <w:p w14:paraId="2CD08EA5" w14:textId="1687956C" w:rsidR="008240BD" w:rsidRDefault="008240BD" w:rsidP="00415A17">
      <w:pPr>
        <w:pStyle w:val="Body2"/>
        <w:spacing w:after="0"/>
        <w:ind w:firstLine="709"/>
        <w:rPr>
          <w:color w:val="auto"/>
          <w:lang w:val="lt-LT"/>
        </w:rPr>
      </w:pPr>
      <w:r w:rsidRPr="00CA449C">
        <w:rPr>
          <w:color w:val="auto"/>
          <w:lang w:val="lt-LT"/>
        </w:rPr>
        <w:t xml:space="preserve">2.2. </w:t>
      </w:r>
      <w:r w:rsidR="0014543C" w:rsidRPr="00CA449C">
        <w:rPr>
          <w:lang w:val="lt-LT"/>
        </w:rPr>
        <w:t>Tiekėjo įsipareigojimų įvykdymo vieta yra Šiltnamių g. 29, 04130 Vilnius, perkančiosios organizacijos atstovo nurodyta patalpa.</w:t>
      </w:r>
      <w:r w:rsidR="0014543C">
        <w:rPr>
          <w:color w:val="auto"/>
          <w:lang w:val="lt-LT"/>
        </w:rPr>
        <w:t xml:space="preserve"> </w:t>
      </w:r>
      <w:r w:rsidRPr="00CA449C">
        <w:rPr>
          <w:color w:val="auto"/>
          <w:lang w:val="lt-LT"/>
        </w:rPr>
        <w:t xml:space="preserve">2.3. </w:t>
      </w:r>
      <w:r w:rsidR="0014543C">
        <w:rPr>
          <w:color w:val="auto"/>
          <w:lang w:val="lt-LT"/>
        </w:rPr>
        <w:t>Darbų atlikimo terminas -</w:t>
      </w:r>
      <w:r w:rsidR="00FE6A22" w:rsidRPr="00666F10">
        <w:rPr>
          <w:color w:val="auto"/>
          <w:lang w:val="lt-LT"/>
        </w:rPr>
        <w:t xml:space="preserve"> </w:t>
      </w:r>
      <w:r w:rsidR="00F32988">
        <w:rPr>
          <w:color w:val="auto"/>
          <w:lang w:val="lt-LT"/>
        </w:rPr>
        <w:t>3</w:t>
      </w:r>
      <w:r w:rsidR="00FE6A22" w:rsidRPr="00666F10">
        <w:rPr>
          <w:color w:val="auto"/>
          <w:lang w:val="lt-LT"/>
        </w:rPr>
        <w:t xml:space="preserve"> mėnesiai nuo pirkimo sutarties įsigaliojimo dienos</w:t>
      </w:r>
      <w:r w:rsidR="00F32988">
        <w:rPr>
          <w:color w:val="auto"/>
          <w:lang w:val="lt-LT"/>
        </w:rPr>
        <w:t xml:space="preserve">. </w:t>
      </w:r>
    </w:p>
    <w:p w14:paraId="604C6FE4" w14:textId="77777777" w:rsidR="00157B6F" w:rsidRDefault="002428CC" w:rsidP="00AF3EC9">
      <w:pPr>
        <w:ind w:firstLine="709"/>
        <w:jc w:val="both"/>
        <w:rPr>
          <w:rFonts w:eastAsia="Times New Roman"/>
          <w:sz w:val="22"/>
          <w:szCs w:val="22"/>
          <w:lang w:val="lt-LT"/>
        </w:rPr>
      </w:pPr>
      <w:r w:rsidRPr="002428CC">
        <w:rPr>
          <w:sz w:val="22"/>
          <w:szCs w:val="22"/>
          <w:lang w:val="lt-LT"/>
        </w:rPr>
        <w:t>2.4. Perkančioji organizacija vykdo žalią pirkimą ir p</w:t>
      </w:r>
      <w:r w:rsidRPr="002428CC">
        <w:rPr>
          <w:rFonts w:eastAsia="Calibri"/>
          <w:sz w:val="22"/>
          <w:szCs w:val="22"/>
          <w:lang w:val="lt-LT"/>
        </w:rPr>
        <w:t xml:space="preserve">erkamiems darbams taiko aplinkos apsaugos vadybos sistemos reikalavimus pagal Lietuvos Respublikos aplinkos ministro 2011-06-28 įsakymo Nr. D1-508 (aktuali redakcija) patvirtinto </w:t>
      </w:r>
      <w:proofErr w:type="spellStart"/>
      <w:r w:rsidRPr="002428CC">
        <w:rPr>
          <w:sz w:val="22"/>
          <w:szCs w:val="22"/>
        </w:rPr>
        <w:t>Aplinkos</w:t>
      </w:r>
      <w:proofErr w:type="spellEnd"/>
      <w:r w:rsidRPr="002428CC">
        <w:rPr>
          <w:sz w:val="22"/>
          <w:szCs w:val="22"/>
        </w:rPr>
        <w:t xml:space="preserve"> </w:t>
      </w:r>
      <w:proofErr w:type="spellStart"/>
      <w:r w:rsidRPr="002428CC">
        <w:rPr>
          <w:sz w:val="22"/>
          <w:szCs w:val="22"/>
        </w:rPr>
        <w:t>apsaugos</w:t>
      </w:r>
      <w:proofErr w:type="spellEnd"/>
      <w:r w:rsidRPr="002428CC">
        <w:rPr>
          <w:sz w:val="22"/>
          <w:szCs w:val="22"/>
        </w:rPr>
        <w:t xml:space="preserve"> </w:t>
      </w:r>
      <w:proofErr w:type="spellStart"/>
      <w:r w:rsidRPr="002428CC">
        <w:rPr>
          <w:sz w:val="22"/>
          <w:szCs w:val="22"/>
        </w:rPr>
        <w:t>kriterijų</w:t>
      </w:r>
      <w:proofErr w:type="spellEnd"/>
      <w:r w:rsidRPr="002428CC">
        <w:rPr>
          <w:sz w:val="22"/>
          <w:szCs w:val="22"/>
        </w:rPr>
        <w:t xml:space="preserve"> </w:t>
      </w:r>
      <w:proofErr w:type="spellStart"/>
      <w:r w:rsidRPr="002428CC">
        <w:rPr>
          <w:sz w:val="22"/>
          <w:szCs w:val="22"/>
        </w:rPr>
        <w:t>taikymo</w:t>
      </w:r>
      <w:proofErr w:type="spellEnd"/>
      <w:r w:rsidRPr="002428CC">
        <w:rPr>
          <w:sz w:val="22"/>
          <w:szCs w:val="22"/>
        </w:rPr>
        <w:t xml:space="preserve">, </w:t>
      </w:r>
      <w:proofErr w:type="spellStart"/>
      <w:r w:rsidRPr="002428CC">
        <w:rPr>
          <w:sz w:val="22"/>
          <w:szCs w:val="22"/>
        </w:rPr>
        <w:t>vykdant</w:t>
      </w:r>
      <w:proofErr w:type="spellEnd"/>
      <w:r w:rsidRPr="002428CC">
        <w:rPr>
          <w:sz w:val="22"/>
          <w:szCs w:val="22"/>
        </w:rPr>
        <w:t xml:space="preserve"> </w:t>
      </w:r>
      <w:proofErr w:type="spellStart"/>
      <w:r w:rsidRPr="002428CC">
        <w:rPr>
          <w:sz w:val="22"/>
          <w:szCs w:val="22"/>
        </w:rPr>
        <w:t>žaliuosius</w:t>
      </w:r>
      <w:proofErr w:type="spellEnd"/>
      <w:r w:rsidRPr="002428CC">
        <w:rPr>
          <w:sz w:val="22"/>
          <w:szCs w:val="22"/>
        </w:rPr>
        <w:t xml:space="preserve"> </w:t>
      </w:r>
      <w:proofErr w:type="spellStart"/>
      <w:r w:rsidRPr="002428CC">
        <w:rPr>
          <w:sz w:val="22"/>
          <w:szCs w:val="22"/>
        </w:rPr>
        <w:t>pirkimus</w:t>
      </w:r>
      <w:proofErr w:type="spellEnd"/>
      <w:r w:rsidRPr="002428CC">
        <w:rPr>
          <w:sz w:val="22"/>
          <w:szCs w:val="22"/>
        </w:rPr>
        <w:t xml:space="preserve">, </w:t>
      </w:r>
      <w:proofErr w:type="spellStart"/>
      <w:r w:rsidRPr="002428CC">
        <w:rPr>
          <w:sz w:val="22"/>
          <w:szCs w:val="22"/>
        </w:rPr>
        <w:t>tvarkos</w:t>
      </w:r>
      <w:proofErr w:type="spellEnd"/>
      <w:r w:rsidRPr="002428CC">
        <w:rPr>
          <w:sz w:val="22"/>
          <w:szCs w:val="22"/>
        </w:rPr>
        <w:t xml:space="preserve"> </w:t>
      </w:r>
      <w:proofErr w:type="spellStart"/>
      <w:r w:rsidRPr="002428CC">
        <w:rPr>
          <w:sz w:val="22"/>
          <w:szCs w:val="22"/>
        </w:rPr>
        <w:t>aprašo</w:t>
      </w:r>
      <w:proofErr w:type="spellEnd"/>
      <w:r w:rsidRPr="002428CC">
        <w:rPr>
          <w:sz w:val="22"/>
          <w:szCs w:val="22"/>
        </w:rPr>
        <w:t xml:space="preserve"> 4.3 </w:t>
      </w:r>
      <w:proofErr w:type="spellStart"/>
      <w:r w:rsidRPr="002428CC">
        <w:rPr>
          <w:sz w:val="22"/>
          <w:szCs w:val="22"/>
        </w:rPr>
        <w:t>punktą</w:t>
      </w:r>
      <w:proofErr w:type="spellEnd"/>
      <w:r w:rsidRPr="002428CC">
        <w:rPr>
          <w:sz w:val="22"/>
          <w:szCs w:val="22"/>
        </w:rPr>
        <w:t>. N</w:t>
      </w:r>
      <w:proofErr w:type="spellStart"/>
      <w:r w:rsidRPr="002428CC">
        <w:rPr>
          <w:sz w:val="22"/>
          <w:szCs w:val="22"/>
          <w:lang w:val="lt-LT" w:eastAsia="lt-LT"/>
        </w:rPr>
        <w:t>ustatytą</w:t>
      </w:r>
      <w:proofErr w:type="spellEnd"/>
      <w:r w:rsidRPr="002428CC">
        <w:rPr>
          <w:sz w:val="22"/>
          <w:szCs w:val="22"/>
          <w:lang w:val="lt-LT" w:eastAsia="lt-LT"/>
        </w:rPr>
        <w:t xml:space="preserve"> reikalavimą turi atitikti </w:t>
      </w:r>
      <w:r w:rsidRPr="002428CC">
        <w:rPr>
          <w:rFonts w:eastAsia="Times New Roman"/>
          <w:sz w:val="22"/>
          <w:szCs w:val="22"/>
          <w:lang w:val="lt-LT"/>
        </w:rPr>
        <w:t>tiekėjas arba bent vienas tiekėjų grupės narys, jeigu pasiūlymą teikia ūkio subjektų grupė, pagal jų prisiimamus įsipareigojimus pirkimo sutarčiai vykdyti.</w:t>
      </w:r>
    </w:p>
    <w:p w14:paraId="7EC7B17D" w14:textId="77777777" w:rsidR="00B06D50" w:rsidRDefault="00B06D50" w:rsidP="00AF3EC9">
      <w:pPr>
        <w:ind w:firstLine="709"/>
        <w:jc w:val="both"/>
        <w:rPr>
          <w:rFonts w:eastAsia="Times New Roman"/>
          <w:sz w:val="22"/>
          <w:szCs w:val="22"/>
          <w:lang w:val="lt-LT"/>
        </w:rPr>
      </w:pPr>
    </w:p>
    <w:tbl>
      <w:tblPr>
        <w:tblW w:w="96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5237"/>
        <w:gridCol w:w="3693"/>
      </w:tblGrid>
      <w:tr w:rsidR="00157B6F" w:rsidRPr="00D95E50" w14:paraId="79662E10" w14:textId="77777777" w:rsidTr="00157B6F">
        <w:trPr>
          <w:trHeight w:val="240"/>
          <w:jc w:val="center"/>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6D70D7" w14:textId="77777777" w:rsidR="00157B6F" w:rsidRPr="00157B6F" w:rsidRDefault="00157B6F" w:rsidP="00290CC8">
            <w:pPr>
              <w:jc w:val="center"/>
              <w:textAlignment w:val="baseline"/>
              <w:rPr>
                <w:rFonts w:eastAsia="Calibri"/>
                <w:sz w:val="22"/>
                <w:szCs w:val="22"/>
              </w:rPr>
            </w:pPr>
            <w:r w:rsidRPr="00157B6F">
              <w:rPr>
                <w:rFonts w:eastAsia="Calibri"/>
                <w:b/>
                <w:bCs/>
                <w:sz w:val="22"/>
                <w:szCs w:val="22"/>
              </w:rPr>
              <w:t>Eil. Nr.</w:t>
            </w:r>
          </w:p>
        </w:tc>
        <w:tc>
          <w:tcPr>
            <w:tcW w:w="523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8EE157" w14:textId="77777777" w:rsidR="00157B6F" w:rsidRPr="00157B6F" w:rsidRDefault="00157B6F" w:rsidP="00290CC8">
            <w:pPr>
              <w:jc w:val="center"/>
              <w:textAlignment w:val="baseline"/>
              <w:rPr>
                <w:rFonts w:eastAsia="Calibri"/>
                <w:sz w:val="22"/>
                <w:szCs w:val="22"/>
              </w:rPr>
            </w:pPr>
            <w:proofErr w:type="spellStart"/>
            <w:r w:rsidRPr="00157B6F">
              <w:rPr>
                <w:rFonts w:eastAsia="Calibri"/>
                <w:b/>
                <w:bCs/>
                <w:sz w:val="22"/>
                <w:szCs w:val="22"/>
              </w:rPr>
              <w:t>Reikalavimas</w:t>
            </w:r>
            <w:proofErr w:type="spellEnd"/>
          </w:p>
        </w:tc>
        <w:tc>
          <w:tcPr>
            <w:tcW w:w="369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679C8D" w14:textId="77777777" w:rsidR="00157B6F" w:rsidRPr="00157B6F" w:rsidRDefault="00157B6F" w:rsidP="00290CC8">
            <w:pPr>
              <w:jc w:val="center"/>
              <w:textAlignment w:val="baseline"/>
              <w:rPr>
                <w:rFonts w:eastAsia="Calibri"/>
                <w:sz w:val="22"/>
                <w:szCs w:val="22"/>
              </w:rPr>
            </w:pPr>
            <w:proofErr w:type="spellStart"/>
            <w:r w:rsidRPr="00157B6F">
              <w:rPr>
                <w:rFonts w:eastAsia="Calibri"/>
                <w:b/>
                <w:bCs/>
                <w:sz w:val="22"/>
                <w:szCs w:val="22"/>
              </w:rPr>
              <w:t>Atitiktį</w:t>
            </w:r>
            <w:proofErr w:type="spellEnd"/>
            <w:r w:rsidRPr="00157B6F">
              <w:rPr>
                <w:rFonts w:eastAsia="Calibri"/>
                <w:b/>
                <w:bCs/>
                <w:sz w:val="22"/>
                <w:szCs w:val="22"/>
              </w:rPr>
              <w:t xml:space="preserve"> </w:t>
            </w:r>
            <w:proofErr w:type="spellStart"/>
            <w:r w:rsidRPr="00157B6F">
              <w:rPr>
                <w:rFonts w:eastAsia="Calibri"/>
                <w:b/>
                <w:bCs/>
                <w:sz w:val="22"/>
                <w:szCs w:val="22"/>
              </w:rPr>
              <w:t>reikalavimui</w:t>
            </w:r>
            <w:proofErr w:type="spellEnd"/>
            <w:r w:rsidRPr="00157B6F">
              <w:rPr>
                <w:rFonts w:eastAsia="Calibri"/>
                <w:b/>
                <w:bCs/>
                <w:sz w:val="22"/>
                <w:szCs w:val="22"/>
              </w:rPr>
              <w:t xml:space="preserve"> </w:t>
            </w:r>
            <w:proofErr w:type="spellStart"/>
            <w:r w:rsidRPr="00157B6F">
              <w:rPr>
                <w:rFonts w:eastAsia="Calibri"/>
                <w:b/>
                <w:bCs/>
                <w:sz w:val="22"/>
                <w:szCs w:val="22"/>
              </w:rPr>
              <w:t>įrodantys</w:t>
            </w:r>
            <w:proofErr w:type="spellEnd"/>
            <w:r w:rsidRPr="00157B6F">
              <w:rPr>
                <w:rFonts w:eastAsia="Calibri"/>
                <w:b/>
                <w:bCs/>
                <w:sz w:val="22"/>
                <w:szCs w:val="22"/>
              </w:rPr>
              <w:t xml:space="preserve"> </w:t>
            </w:r>
            <w:proofErr w:type="spellStart"/>
            <w:r w:rsidRPr="00157B6F">
              <w:rPr>
                <w:rFonts w:eastAsia="Calibri"/>
                <w:b/>
                <w:bCs/>
                <w:sz w:val="22"/>
                <w:szCs w:val="22"/>
              </w:rPr>
              <w:t>dokumentai</w:t>
            </w:r>
            <w:proofErr w:type="spellEnd"/>
          </w:p>
          <w:p w14:paraId="09ED8DD1" w14:textId="77777777" w:rsidR="00157B6F" w:rsidRPr="00157B6F" w:rsidRDefault="00157B6F" w:rsidP="00290CC8">
            <w:pPr>
              <w:jc w:val="center"/>
              <w:textAlignment w:val="baseline"/>
              <w:rPr>
                <w:rFonts w:eastAsia="Calibri"/>
                <w:sz w:val="22"/>
                <w:szCs w:val="22"/>
              </w:rPr>
            </w:pPr>
            <w:r w:rsidRPr="00157B6F">
              <w:rPr>
                <w:rFonts w:eastAsia="Calibri"/>
                <w:b/>
                <w:bCs/>
                <w:sz w:val="22"/>
                <w:szCs w:val="22"/>
                <w:u w:val="single"/>
              </w:rPr>
              <w:t>(</w:t>
            </w:r>
            <w:proofErr w:type="spellStart"/>
            <w:r w:rsidRPr="00157B6F">
              <w:rPr>
                <w:rFonts w:eastAsia="Calibri"/>
                <w:b/>
                <w:bCs/>
                <w:i/>
                <w:iCs/>
                <w:sz w:val="22"/>
                <w:szCs w:val="22"/>
                <w:u w:val="single"/>
              </w:rPr>
              <w:t>Teikiami</w:t>
            </w:r>
            <w:proofErr w:type="spellEnd"/>
            <w:r w:rsidRPr="00157B6F">
              <w:rPr>
                <w:rFonts w:eastAsia="Calibri"/>
                <w:b/>
                <w:bCs/>
                <w:i/>
                <w:iCs/>
                <w:sz w:val="22"/>
                <w:szCs w:val="22"/>
                <w:u w:val="single"/>
              </w:rPr>
              <w:t xml:space="preserve"> </w:t>
            </w:r>
            <w:proofErr w:type="spellStart"/>
            <w:r w:rsidRPr="00157B6F">
              <w:rPr>
                <w:rFonts w:eastAsia="Calibri"/>
                <w:b/>
                <w:bCs/>
                <w:i/>
                <w:iCs/>
                <w:sz w:val="22"/>
                <w:szCs w:val="22"/>
                <w:u w:val="single"/>
              </w:rPr>
              <w:t>kartu</w:t>
            </w:r>
            <w:proofErr w:type="spellEnd"/>
            <w:r w:rsidRPr="00157B6F">
              <w:rPr>
                <w:rFonts w:eastAsia="Calibri"/>
                <w:b/>
                <w:bCs/>
                <w:i/>
                <w:iCs/>
                <w:sz w:val="22"/>
                <w:szCs w:val="22"/>
                <w:u w:val="single"/>
              </w:rPr>
              <w:t xml:space="preserve"> </w:t>
            </w:r>
            <w:proofErr w:type="spellStart"/>
            <w:r w:rsidRPr="00157B6F">
              <w:rPr>
                <w:rFonts w:eastAsia="Calibri"/>
                <w:b/>
                <w:bCs/>
                <w:i/>
                <w:iCs/>
                <w:sz w:val="22"/>
                <w:szCs w:val="22"/>
                <w:u w:val="single"/>
              </w:rPr>
              <w:t>su</w:t>
            </w:r>
            <w:proofErr w:type="spellEnd"/>
            <w:r w:rsidRPr="00157B6F">
              <w:rPr>
                <w:rFonts w:eastAsia="Calibri"/>
                <w:b/>
                <w:bCs/>
                <w:i/>
                <w:iCs/>
                <w:sz w:val="22"/>
                <w:szCs w:val="22"/>
                <w:u w:val="single"/>
              </w:rPr>
              <w:t xml:space="preserve"> </w:t>
            </w:r>
            <w:proofErr w:type="spellStart"/>
            <w:proofErr w:type="gramStart"/>
            <w:r w:rsidRPr="00157B6F">
              <w:rPr>
                <w:rFonts w:eastAsia="Calibri"/>
                <w:b/>
                <w:bCs/>
                <w:i/>
                <w:iCs/>
                <w:sz w:val="22"/>
                <w:szCs w:val="22"/>
                <w:u w:val="single"/>
              </w:rPr>
              <w:t>pasiūlymu</w:t>
            </w:r>
            <w:proofErr w:type="spellEnd"/>
            <w:r w:rsidRPr="00157B6F">
              <w:rPr>
                <w:rFonts w:eastAsia="Calibri"/>
                <w:b/>
                <w:bCs/>
                <w:i/>
                <w:iCs/>
                <w:sz w:val="22"/>
                <w:szCs w:val="22"/>
                <w:u w:val="single"/>
              </w:rPr>
              <w:t xml:space="preserve"> </w:t>
            </w:r>
            <w:r w:rsidRPr="00157B6F">
              <w:rPr>
                <w:rFonts w:eastAsia="Calibri"/>
                <w:b/>
                <w:bCs/>
                <w:sz w:val="22"/>
                <w:szCs w:val="22"/>
                <w:u w:val="single"/>
              </w:rPr>
              <w:t>)</w:t>
            </w:r>
            <w:proofErr w:type="gramEnd"/>
          </w:p>
        </w:tc>
      </w:tr>
      <w:tr w:rsidR="00157B6F" w:rsidRPr="00D95E50" w14:paraId="77B23B46" w14:textId="77777777" w:rsidTr="00157B6F">
        <w:trPr>
          <w:trHeight w:val="5060"/>
          <w:jc w:val="center"/>
        </w:trPr>
        <w:tc>
          <w:tcPr>
            <w:tcW w:w="709" w:type="dxa"/>
            <w:tcBorders>
              <w:top w:val="single" w:sz="6" w:space="0" w:color="auto"/>
              <w:left w:val="single" w:sz="6" w:space="0" w:color="auto"/>
              <w:bottom w:val="single" w:sz="6" w:space="0" w:color="auto"/>
              <w:right w:val="single" w:sz="6" w:space="0" w:color="auto"/>
            </w:tcBorders>
            <w:vAlign w:val="center"/>
          </w:tcPr>
          <w:p w14:paraId="60022348" w14:textId="77777777" w:rsidR="00157B6F" w:rsidRPr="00D95E50" w:rsidRDefault="00157B6F" w:rsidP="00290CC8">
            <w:pPr>
              <w:contextualSpacing/>
              <w:jc w:val="center"/>
              <w:textAlignment w:val="baseline"/>
              <w:rPr>
                <w:rFonts w:eastAsia="Calibri"/>
              </w:rPr>
            </w:pPr>
            <w:r w:rsidRPr="00D95E50">
              <w:rPr>
                <w:rFonts w:eastAsia="Calibri"/>
              </w:rPr>
              <w:lastRenderedPageBreak/>
              <w:t>1.</w:t>
            </w:r>
          </w:p>
        </w:tc>
        <w:tc>
          <w:tcPr>
            <w:tcW w:w="5237" w:type="dxa"/>
            <w:tcBorders>
              <w:top w:val="single" w:sz="6" w:space="0" w:color="auto"/>
              <w:left w:val="single" w:sz="6" w:space="0" w:color="auto"/>
              <w:bottom w:val="single" w:sz="6" w:space="0" w:color="auto"/>
              <w:right w:val="single" w:sz="6" w:space="0" w:color="auto"/>
            </w:tcBorders>
            <w:vAlign w:val="center"/>
          </w:tcPr>
          <w:p w14:paraId="4D106A94" w14:textId="5D2E7285" w:rsidR="00157B6F" w:rsidRPr="00157B6F" w:rsidRDefault="00157B6F" w:rsidP="00290CC8">
            <w:pPr>
              <w:ind w:left="136" w:right="142"/>
              <w:jc w:val="both"/>
              <w:textAlignment w:val="baseline"/>
              <w:rPr>
                <w:sz w:val="22"/>
                <w:szCs w:val="22"/>
                <w:shd w:val="clear" w:color="auto" w:fill="FFFFFF"/>
                <w:lang w:val="lt-LT"/>
              </w:rPr>
            </w:pPr>
            <w:r w:rsidRPr="00157B6F">
              <w:rPr>
                <w:sz w:val="22"/>
                <w:szCs w:val="22"/>
                <w:shd w:val="clear" w:color="auto" w:fill="FFFFFF"/>
                <w:lang w:val="lt-LT"/>
              </w:rPr>
              <w:t xml:space="preserve">Tiekėjas atliekamiems darbams </w:t>
            </w:r>
            <w:r w:rsidR="007722DC">
              <w:rPr>
                <w:sz w:val="22"/>
                <w:szCs w:val="22"/>
                <w:shd w:val="clear" w:color="auto" w:fill="FFFFFF"/>
                <w:lang w:val="lt-LT"/>
              </w:rPr>
              <w:t xml:space="preserve">(bendrieji statybos darbai) </w:t>
            </w:r>
            <w:r w:rsidRPr="00157B6F">
              <w:rPr>
                <w:sz w:val="22"/>
                <w:szCs w:val="22"/>
                <w:shd w:val="clear" w:color="auto" w:fill="FFFFFF"/>
                <w:lang w:val="lt-LT"/>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09D59F6A" w14:textId="77777777" w:rsidR="00157B6F" w:rsidRPr="00157B6F" w:rsidRDefault="00157B6F" w:rsidP="00290CC8">
            <w:pPr>
              <w:ind w:left="136" w:right="142"/>
              <w:jc w:val="both"/>
              <w:textAlignment w:val="baseline"/>
              <w:rPr>
                <w:rFonts w:eastAsia="Calibri"/>
                <w:i/>
                <w:iCs/>
                <w:sz w:val="22"/>
                <w:szCs w:val="22"/>
                <w:lang w:val="lt-LT"/>
              </w:rPr>
            </w:pPr>
            <w:r w:rsidRPr="00157B6F">
              <w:rPr>
                <w:i/>
                <w:iCs/>
                <w:sz w:val="22"/>
                <w:szCs w:val="22"/>
                <w:shd w:val="clear" w:color="auto" w:fill="FFFFFF"/>
                <w:lang w:val="lt-LT"/>
              </w:rPr>
              <w:t>*lygiaverčių aplinkos apsaugos vadybos užtikrinimo priemonių taikymo įrodymai privalo būti priimami ir vertinami tik VPĮ 48 straipsnio 2 dalyje nurodytais atvejais. Perkančioji organizacija privalo priimti ir vertinti ne tik atitinkamus sertifikatus, bet ir kitus tiekėjo lygiaverčių aplinkos apsaugos priemonių vadybos užtikrinimo priemonių įrodymus, kurie patvirtintų, kad tiekėjo siūlomos aplinkos apsaugos vadybos užtikrinimo priemonės atitinka nustatytus reikalavimus, šiais alternatyviais atvejais: (1) perkančiajai organizacijai vykdant supaprastintą viešąjį pirkimą, (2) perkančiajai organizacijai perkant VPĮ 2 priede nurodytas socialines ir kitas specialiąsias paslaugas, (3) tiek tarptautinio, tiek supaprastinto viešojo pirkimo atveju, tiekėjui pagrindus ir įrodžius, kad tiekėjas dėl nuo jo nepriklausančių objektyvių priežasčių negali pateikti sertifikatų per nustatytą laiką.</w:t>
            </w:r>
          </w:p>
        </w:tc>
        <w:tc>
          <w:tcPr>
            <w:tcW w:w="3693" w:type="dxa"/>
            <w:tcBorders>
              <w:top w:val="single" w:sz="6" w:space="0" w:color="auto"/>
              <w:left w:val="single" w:sz="6" w:space="0" w:color="auto"/>
              <w:bottom w:val="single" w:sz="6" w:space="0" w:color="auto"/>
              <w:right w:val="single" w:sz="6" w:space="0" w:color="auto"/>
            </w:tcBorders>
            <w:vAlign w:val="center"/>
          </w:tcPr>
          <w:p w14:paraId="63514B58" w14:textId="77777777" w:rsidR="00157B6F" w:rsidRPr="00157B6F" w:rsidRDefault="00157B6F" w:rsidP="00290CC8">
            <w:pPr>
              <w:tabs>
                <w:tab w:val="left" w:pos="994"/>
              </w:tabs>
              <w:ind w:left="148" w:right="127"/>
              <w:jc w:val="both"/>
              <w:textAlignment w:val="baseline"/>
              <w:rPr>
                <w:rFonts w:eastAsia="Calibri"/>
                <w:sz w:val="22"/>
                <w:szCs w:val="22"/>
                <w:lang w:val="lt-LT"/>
              </w:rPr>
            </w:pPr>
            <w:r w:rsidRPr="00157B6F">
              <w:rPr>
                <w:rFonts w:eastAsia="Calibri"/>
                <w:sz w:val="22"/>
                <w:szCs w:val="22"/>
                <w:lang w:val="lt-LT"/>
              </w:rPr>
              <w:t xml:space="preserve">Nepriklausomos įstaigos išduotas sertifikatas. Pirkimo vykdytojas pripažįsta lygiaverčius sertifikatus, išduotus kitose valstybėse narėse įsteigtų nepriklausomų įstaigų ar </w:t>
            </w:r>
            <w:r w:rsidRPr="00157B6F">
              <w:rPr>
                <w:rFonts w:eastAsia="Calibri"/>
                <w:b/>
                <w:bCs/>
                <w:sz w:val="22"/>
                <w:szCs w:val="22"/>
                <w:u w:val="single"/>
                <w:lang w:val="lt-LT"/>
              </w:rPr>
              <w:t>kitus tiekėjo lygiaverčius aplinkos apsaugos vadybos užtikrinimo priemonių įrodymus</w:t>
            </w:r>
            <w:r w:rsidRPr="00157B6F">
              <w:rPr>
                <w:rFonts w:eastAsia="Calibri"/>
                <w:sz w:val="22"/>
                <w:szCs w:val="22"/>
                <w:lang w:val="lt-LT"/>
              </w:rPr>
              <w:t>, kurie patvirtina,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0C464C2" w14:textId="77777777" w:rsidR="00157B6F" w:rsidRPr="00157B6F" w:rsidRDefault="00157B6F" w:rsidP="00290CC8">
            <w:pPr>
              <w:ind w:left="148" w:right="127"/>
              <w:jc w:val="both"/>
              <w:textAlignment w:val="baseline"/>
              <w:rPr>
                <w:rFonts w:eastAsia="Calibri"/>
                <w:i/>
                <w:iCs/>
                <w:sz w:val="22"/>
                <w:szCs w:val="22"/>
                <w:lang w:val="lt-LT"/>
              </w:rPr>
            </w:pPr>
          </w:p>
          <w:p w14:paraId="495A2EA2" w14:textId="77777777" w:rsidR="00157B6F" w:rsidRPr="00157B6F" w:rsidRDefault="00157B6F" w:rsidP="00290CC8">
            <w:pPr>
              <w:ind w:left="148" w:right="127"/>
              <w:jc w:val="both"/>
              <w:textAlignment w:val="baseline"/>
              <w:rPr>
                <w:rFonts w:eastAsia="Calibri"/>
                <w:i/>
                <w:iCs/>
                <w:sz w:val="22"/>
                <w:szCs w:val="22"/>
                <w:lang w:val="lt-LT"/>
              </w:rPr>
            </w:pPr>
            <w:r w:rsidRPr="00157B6F">
              <w:rPr>
                <w:rFonts w:eastAsia="Calibri"/>
                <w:i/>
                <w:iCs/>
                <w:sz w:val="22"/>
                <w:szCs w:val="22"/>
                <w:lang w:val="lt-LT"/>
              </w:rPr>
              <w:t>Sertifikatas turi galioti pasiūlymų pateikimo dienai</w:t>
            </w:r>
          </w:p>
          <w:p w14:paraId="23BBD39F" w14:textId="77777777" w:rsidR="00157B6F" w:rsidRPr="00157B6F" w:rsidRDefault="00157B6F" w:rsidP="00290CC8">
            <w:pPr>
              <w:ind w:left="148" w:right="127"/>
              <w:jc w:val="both"/>
              <w:textAlignment w:val="baseline"/>
              <w:rPr>
                <w:rFonts w:eastAsia="Calibri"/>
                <w:i/>
                <w:iCs/>
                <w:sz w:val="22"/>
                <w:szCs w:val="22"/>
                <w:lang w:val="lt-LT"/>
              </w:rPr>
            </w:pPr>
            <w:r w:rsidRPr="00157B6F">
              <w:rPr>
                <w:rFonts w:eastAsia="Calibri"/>
                <w:i/>
                <w:iCs/>
                <w:sz w:val="22"/>
                <w:szCs w:val="22"/>
                <w:lang w:val="lt-LT"/>
              </w:rPr>
              <w:t>CVP IS priemonėmis pateikiamos skaitmeninės dokumentų kopijos</w:t>
            </w:r>
          </w:p>
        </w:tc>
      </w:tr>
    </w:tbl>
    <w:p w14:paraId="2B73F5B4" w14:textId="62B8A2DA" w:rsidR="002428CC" w:rsidRPr="002428CC" w:rsidRDefault="002428CC" w:rsidP="00AF3EC9">
      <w:pPr>
        <w:ind w:firstLine="709"/>
        <w:jc w:val="both"/>
        <w:rPr>
          <w:sz w:val="22"/>
          <w:szCs w:val="22"/>
        </w:rPr>
      </w:pPr>
    </w:p>
    <w:p w14:paraId="0DCA1772" w14:textId="117B09EA" w:rsidR="006B51E6" w:rsidRPr="00CA449C" w:rsidRDefault="008240BD" w:rsidP="00BF3D1B">
      <w:pPr>
        <w:pStyle w:val="Body2"/>
        <w:spacing w:after="0"/>
        <w:ind w:firstLine="709"/>
        <w:rPr>
          <w:lang w:val="lt-LT"/>
        </w:rPr>
      </w:pPr>
      <w:r w:rsidRPr="00CA449C">
        <w:rPr>
          <w:color w:val="auto"/>
          <w:lang w:val="lt-LT"/>
        </w:rPr>
        <w:t>2.</w:t>
      </w:r>
      <w:r w:rsidR="002428CC">
        <w:rPr>
          <w:color w:val="auto"/>
          <w:lang w:val="lt-LT"/>
        </w:rPr>
        <w:t>5</w:t>
      </w:r>
      <w:r w:rsidRPr="00CA449C">
        <w:rPr>
          <w:color w:val="auto"/>
          <w:lang w:val="lt-LT"/>
        </w:rPr>
        <w:t xml:space="preserve">. Pirkimas </w:t>
      </w:r>
      <w:r w:rsidR="00F32988">
        <w:rPr>
          <w:color w:val="auto"/>
          <w:lang w:val="lt-LT"/>
        </w:rPr>
        <w:t>ne</w:t>
      </w:r>
      <w:r w:rsidRPr="00CA449C">
        <w:rPr>
          <w:color w:val="auto"/>
          <w:lang w:val="lt-LT"/>
        </w:rPr>
        <w:t>skaidomas į dalis</w:t>
      </w:r>
      <w:r w:rsidR="00471724" w:rsidRPr="00CA449C">
        <w:rPr>
          <w:color w:val="auto"/>
          <w:lang w:val="lt-LT"/>
        </w:rPr>
        <w:t>.</w:t>
      </w:r>
      <w:r w:rsidR="00B07119" w:rsidRPr="00CA449C">
        <w:rPr>
          <w:color w:val="auto"/>
          <w:lang w:val="lt-LT"/>
        </w:rPr>
        <w:t xml:space="preserve"> </w:t>
      </w:r>
      <w:r w:rsidR="00F32988" w:rsidRPr="007A7F32">
        <w:rPr>
          <w:rFonts w:cs="Arial Unicode MS"/>
          <w:lang w:val="lt-LT"/>
        </w:rPr>
        <w:t>Pasiūlymas turi būti pateiktas visai pirkimo sąlygų techninėje specifikacijoje nurodytai apimčiai, neskaidant jos smulkiau</w:t>
      </w:r>
      <w:r w:rsidR="00F32988">
        <w:rPr>
          <w:rFonts w:cs="Arial Unicode MS"/>
          <w:lang w:val="lt-LT"/>
        </w:rPr>
        <w:t xml:space="preserve">. </w:t>
      </w:r>
    </w:p>
    <w:p w14:paraId="1CF223E4" w14:textId="6D113314"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2428CC">
        <w:rPr>
          <w:rFonts w:eastAsia="Arial Unicode MS"/>
          <w:lang w:val="lt-LT"/>
        </w:rPr>
        <w:t>6</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F32988">
        <w:rPr>
          <w:rFonts w:eastAsia="Arial Unicode MS"/>
          <w:lang w:val="lt-LT"/>
        </w:rPr>
        <w:t xml:space="preserve">, Nr. 3 </w:t>
      </w:r>
      <w:r w:rsidR="00F32988" w:rsidRPr="003608A3">
        <w:rPr>
          <w:rFonts w:eastAsia="Arial Unicode MS"/>
          <w:lang w:val="lt-LT"/>
        </w:rPr>
        <w:t>„</w:t>
      </w:r>
      <w:proofErr w:type="spellStart"/>
      <w:r w:rsidR="00F32988" w:rsidRPr="003608A3">
        <w:rPr>
          <w:sz w:val="23"/>
          <w:szCs w:val="23"/>
        </w:rPr>
        <w:t>Radiacinės</w:t>
      </w:r>
      <w:proofErr w:type="spellEnd"/>
      <w:r w:rsidR="00F32988" w:rsidRPr="003608A3">
        <w:rPr>
          <w:sz w:val="23"/>
          <w:szCs w:val="23"/>
        </w:rPr>
        <w:t xml:space="preserve"> </w:t>
      </w:r>
      <w:proofErr w:type="spellStart"/>
      <w:r w:rsidR="00F32988" w:rsidRPr="003608A3">
        <w:rPr>
          <w:sz w:val="23"/>
          <w:szCs w:val="23"/>
        </w:rPr>
        <w:t>saugos</w:t>
      </w:r>
      <w:proofErr w:type="spellEnd"/>
      <w:r w:rsidR="00F32988" w:rsidRPr="003608A3">
        <w:rPr>
          <w:sz w:val="23"/>
          <w:szCs w:val="23"/>
        </w:rPr>
        <w:t xml:space="preserve"> </w:t>
      </w:r>
      <w:proofErr w:type="spellStart"/>
      <w:r w:rsidR="00F32988" w:rsidRPr="003608A3">
        <w:rPr>
          <w:sz w:val="23"/>
          <w:szCs w:val="23"/>
        </w:rPr>
        <w:t>projektas</w:t>
      </w:r>
      <w:proofErr w:type="spellEnd"/>
      <w:r w:rsidR="00F32988" w:rsidRPr="003608A3">
        <w:rPr>
          <w:sz w:val="23"/>
          <w:szCs w:val="23"/>
        </w:rPr>
        <w:t xml:space="preserve"> ,,</w:t>
      </w:r>
      <w:r w:rsidR="003608A3" w:rsidRPr="003608A3">
        <w:rPr>
          <w:i/>
          <w:iCs/>
          <w:sz w:val="23"/>
          <w:szCs w:val="23"/>
        </w:rPr>
        <w:t xml:space="preserve"> </w:t>
      </w:r>
      <w:proofErr w:type="spellStart"/>
      <w:r w:rsidR="003608A3" w:rsidRPr="003608A3">
        <w:rPr>
          <w:i/>
          <w:iCs/>
          <w:sz w:val="23"/>
          <w:szCs w:val="23"/>
        </w:rPr>
        <w:t>Angiografo</w:t>
      </w:r>
      <w:proofErr w:type="spellEnd"/>
      <w:r w:rsidR="003608A3" w:rsidRPr="003608A3">
        <w:rPr>
          <w:i/>
          <w:iCs/>
          <w:sz w:val="23"/>
          <w:szCs w:val="23"/>
        </w:rPr>
        <w:t xml:space="preserve"> </w:t>
      </w:r>
      <w:proofErr w:type="spellStart"/>
      <w:r w:rsidR="003608A3" w:rsidRPr="003608A3">
        <w:rPr>
          <w:i/>
          <w:iCs/>
          <w:sz w:val="23"/>
          <w:szCs w:val="23"/>
        </w:rPr>
        <w:t>įrengimas</w:t>
      </w:r>
      <w:proofErr w:type="spellEnd"/>
      <w:r w:rsidR="003608A3" w:rsidRPr="003608A3">
        <w:rPr>
          <w:i/>
          <w:iCs/>
          <w:sz w:val="23"/>
          <w:szCs w:val="23"/>
        </w:rPr>
        <w:t xml:space="preserve"> </w:t>
      </w:r>
      <w:proofErr w:type="spellStart"/>
      <w:r w:rsidR="003608A3" w:rsidRPr="003608A3">
        <w:rPr>
          <w:i/>
          <w:iCs/>
          <w:sz w:val="23"/>
          <w:szCs w:val="23"/>
        </w:rPr>
        <w:t>operacinėje</w:t>
      </w:r>
      <w:proofErr w:type="spellEnd"/>
      <w:r w:rsidR="003608A3" w:rsidRPr="003608A3">
        <w:rPr>
          <w:sz w:val="23"/>
          <w:szCs w:val="23"/>
        </w:rPr>
        <w:t xml:space="preserve"> </w:t>
      </w:r>
      <w:r w:rsidR="00F32988" w:rsidRPr="003608A3">
        <w:rPr>
          <w:sz w:val="23"/>
          <w:szCs w:val="23"/>
        </w:rPr>
        <w:t>".</w:t>
      </w:r>
      <w:r w:rsidR="00AF4F7B" w:rsidRPr="003608A3">
        <w:rPr>
          <w:rFonts w:eastAsia="Arial Unicode MS"/>
          <w:lang w:val="lt-LT"/>
        </w:rPr>
        <w:t xml:space="preserve"> </w:t>
      </w:r>
      <w:r w:rsidRPr="003608A3">
        <w:rPr>
          <w:rFonts w:eastAsia="Arial Unicode MS"/>
          <w:lang w:val="lt-LT"/>
        </w:rPr>
        <w:t>Pirkimo sąlygų techninėje specifikacijoje</w:t>
      </w:r>
      <w:r w:rsidRPr="00CA449C">
        <w:rPr>
          <w:rFonts w:eastAsia="Arial Unicode MS"/>
          <w:lang w:val="lt-LT"/>
        </w:rPr>
        <w:t xml:space="preserve"> nurodyti (jei yra) konkretūs modeliai ar tiekimo šaltiniai, konkretūs procesai, būdingi konkretaus tiekėjo tiekiamoms prekėms ar </w:t>
      </w:r>
      <w:r w:rsidR="008A4343">
        <w:rPr>
          <w:rFonts w:eastAsia="Arial Unicode MS"/>
          <w:lang w:val="lt-LT"/>
        </w:rPr>
        <w:t>atliekamiems darbams</w:t>
      </w:r>
      <w:r w:rsidRPr="00CA449C">
        <w:rPr>
          <w:rFonts w:eastAsia="Arial Unicode MS"/>
          <w:lang w:val="lt-LT"/>
        </w:rPr>
        <w:t>,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042E0624" w:rsidR="00B07119" w:rsidRPr="00CA449C" w:rsidRDefault="00B07119" w:rsidP="00BF3D1B">
      <w:pPr>
        <w:pStyle w:val="Body2"/>
        <w:spacing w:after="0"/>
        <w:ind w:firstLine="709"/>
        <w:rPr>
          <w:lang w:val="lt-LT"/>
        </w:rPr>
      </w:pPr>
      <w:r w:rsidRPr="00CA449C">
        <w:rPr>
          <w:lang w:val="lt-LT"/>
        </w:rPr>
        <w:t>2.</w:t>
      </w:r>
      <w:r w:rsidR="002428CC">
        <w:rPr>
          <w:lang w:val="lt-LT"/>
        </w:rPr>
        <w:t>7</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w:t>
      </w:r>
      <w:r w:rsidR="008A4343">
        <w:rPr>
          <w:lang w:val="lt-LT"/>
        </w:rPr>
        <w:t>darbų</w:t>
      </w:r>
      <w:r w:rsidRPr="00CA449C">
        <w:rPr>
          <w:lang w:val="lt-LT"/>
        </w:rPr>
        <w:t xml:space="preserve"> kataloge nėra.</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391338E6"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w:t>
      </w:r>
      <w:r w:rsidR="008A4343">
        <w:rPr>
          <w:rFonts w:eastAsia="Arial Unicode MS"/>
          <w:lang w:val="lt-LT"/>
        </w:rPr>
        <w:t xml:space="preserve">gali </w:t>
      </w:r>
      <w:r w:rsidRPr="00CA449C">
        <w:rPr>
          <w:rFonts w:eastAsia="Arial Unicode MS"/>
          <w:lang w:val="lt-LT"/>
        </w:rPr>
        <w:t>tikrin</w:t>
      </w:r>
      <w:r w:rsidR="008A4343">
        <w:rPr>
          <w:rFonts w:eastAsia="Arial Unicode MS"/>
          <w:lang w:val="lt-LT"/>
        </w:rPr>
        <w:t>ti</w:t>
      </w:r>
      <w:r w:rsidRPr="00CA449C">
        <w:rPr>
          <w:rFonts w:eastAsia="Arial Unicode MS"/>
          <w:lang w:val="lt-LT"/>
        </w:rPr>
        <w:t xml:space="preserve">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jis atitinka </w:t>
      </w:r>
      <w:r w:rsidRPr="00CA449C">
        <w:rPr>
          <w:noProof/>
          <w:color w:val="000000" w:themeColor="text1"/>
          <w:sz w:val="22"/>
          <w:szCs w:val="22"/>
          <w:lang w:val="lt-LT"/>
        </w:rPr>
        <w:lastRenderedPageBreak/>
        <w:t>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A449C">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1) tiekėjas yra įsipareigojęs sumokėti mokesčius, įskaitant socialinio draudimo įmokas ir dėl to laikomas jau </w:t>
            </w:r>
            <w:r w:rsidRPr="00CA449C">
              <w:rPr>
                <w:rFonts w:ascii="Times New Roman" w:hAnsi="Times New Roman" w:cs="Times New Roman"/>
                <w:bCs/>
                <w:sz w:val="22"/>
                <w:szCs w:val="22"/>
                <w:lang w:eastAsia="en-US"/>
              </w:rPr>
              <w:lastRenderedPageBreak/>
              <w:t>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CA449C">
              <w:rPr>
                <w:rFonts w:ascii="Times New Roman" w:hAnsi="Times New Roman" w:cs="Times New Roman"/>
                <w:bCs/>
                <w:sz w:val="22"/>
                <w:szCs w:val="22"/>
              </w:rPr>
              <w:lastRenderedPageBreak/>
              <w:t>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w:t>
            </w:r>
            <w:r w:rsidRPr="00CA449C">
              <w:rPr>
                <w:rFonts w:ascii="Times New Roman" w:hAnsi="Times New Roman" w:cs="Times New Roman"/>
                <w:sz w:val="22"/>
                <w:szCs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CA449C">
              <w:rPr>
                <w:sz w:val="22"/>
                <w:szCs w:val="22"/>
                <w:lang w:val="lt-LT"/>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w:t>
            </w:r>
            <w:r w:rsidRPr="00CA449C">
              <w:rPr>
                <w:rFonts w:ascii="Times New Roman" w:hAnsi="Times New Roman" w:cs="Times New Roman"/>
                <w:bCs/>
                <w:sz w:val="22"/>
                <w:szCs w:val="22"/>
              </w:rPr>
              <w:lastRenderedPageBreak/>
              <w:t xml:space="preserve">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w:t>
            </w:r>
            <w:r w:rsidRPr="00CA449C">
              <w:rPr>
                <w:rFonts w:ascii="Times New Roman" w:hAnsi="Times New Roman" w:cs="Times New Roman"/>
                <w:sz w:val="22"/>
                <w:szCs w:val="22"/>
              </w:rPr>
              <w:lastRenderedPageBreak/>
              <w:t xml:space="preserve">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1A7F9BEE"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3608A3">
        <w:rPr>
          <w:sz w:val="22"/>
          <w:szCs w:val="22"/>
          <w:lang w:val="lt-LT"/>
        </w:rPr>
        <w:t>5</w:t>
      </w:r>
      <w:r w:rsidR="008E073A" w:rsidRPr="00CA449C">
        <w:rPr>
          <w:sz w:val="22"/>
          <w:szCs w:val="22"/>
          <w:lang w:val="lt-LT"/>
        </w:rPr>
        <w:t xml:space="preserve">. </w:t>
      </w:r>
    </w:p>
    <w:p w14:paraId="1218C1FA" w14:textId="77777777" w:rsidR="00A30FA6"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9C43B4">
        <w:rPr>
          <w:sz w:val="22"/>
          <w:szCs w:val="22"/>
          <w:lang w:val="lt-LT"/>
        </w:rPr>
        <w:t>, kaip numatyta pirkimo sąlygų 1 priede „Techninė specifikacija ir pasiūlymo kaina“</w:t>
      </w:r>
      <w:r w:rsidR="00A30FA6">
        <w:rPr>
          <w:sz w:val="22"/>
          <w:szCs w:val="22"/>
          <w:lang w:val="lt-LT"/>
        </w:rPr>
        <w:t>;</w:t>
      </w:r>
    </w:p>
    <w:p w14:paraId="357401E6" w14:textId="50CF6791" w:rsidR="00824852" w:rsidRPr="00CA449C" w:rsidRDefault="00A30FA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5.10.6. Atitiktį pirkimo sąlygų 2.4 punkte nustatytam aplinkos apsaugos vadybos sistemos reikalavimui pagrindžiantys dokumentai</w:t>
      </w:r>
      <w:r w:rsidR="00085461" w:rsidRPr="00CA449C">
        <w:rPr>
          <w:sz w:val="22"/>
          <w:szCs w:val="22"/>
          <w:lang w:val="lt-LT"/>
        </w:rPr>
        <w:t>.</w:t>
      </w:r>
      <w:r w:rsidR="00824852"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7046FCA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4E1344">
        <w:rPr>
          <w:sz w:val="22"/>
          <w:szCs w:val="22"/>
          <w:lang w:val="lt-LT"/>
        </w:rPr>
        <w:t>6</w:t>
      </w:r>
      <w:r w:rsidRPr="00CA449C">
        <w:rPr>
          <w:sz w:val="22"/>
          <w:szCs w:val="22"/>
          <w:lang w:val="lt-LT"/>
        </w:rPr>
        <w:t xml:space="preserve"> dienoms iki pasiūlymų pateikimo termino pabaigos.</w:t>
      </w:r>
    </w:p>
    <w:p w14:paraId="2EB32BC3" w14:textId="53BB52F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4E1344">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6B4B03B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04F80">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68F6BDF" w14:textId="77777777" w:rsidR="0003153A" w:rsidRDefault="0003153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85A8099" w14:textId="77777777" w:rsidR="0003153A" w:rsidRPr="00CA449C" w:rsidRDefault="0003153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21576C8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r w:rsidR="00A30FA6">
        <w:rPr>
          <w:sz w:val="22"/>
          <w:szCs w:val="22"/>
          <w:lang w:val="lt-LT"/>
        </w:rPr>
        <w:t xml:space="preserve">, ar tiekėjas atitinka pirkimo sąlygų 2.4 punkte nustatytą </w:t>
      </w:r>
      <w:r w:rsidR="00A30FA6" w:rsidRPr="00730253">
        <w:rPr>
          <w:sz w:val="22"/>
          <w:szCs w:val="22"/>
          <w:lang w:val="lt-LT"/>
        </w:rPr>
        <w:t>aplinkos apsaugos vadybos sistemos</w:t>
      </w:r>
      <w:r w:rsidR="00A30FA6">
        <w:rPr>
          <w:sz w:val="22"/>
          <w:szCs w:val="22"/>
          <w:lang w:val="lt-LT"/>
        </w:rPr>
        <w:t xml:space="preserve"> reikalavimą</w:t>
      </w:r>
      <w:r w:rsidRPr="00CA449C">
        <w:rPr>
          <w:sz w:val="22"/>
          <w:szCs w:val="22"/>
          <w:lang w:val="lt-LT"/>
        </w:rPr>
        <w:t>;</w:t>
      </w:r>
    </w:p>
    <w:p w14:paraId="2178A712" w14:textId="727F99A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w:t>
      </w:r>
      <w:r w:rsidRPr="00CA449C">
        <w:rPr>
          <w:rFonts w:eastAsia="Calibri"/>
          <w:sz w:val="22"/>
          <w:szCs w:val="22"/>
          <w:lang w:val="lt-LT"/>
        </w:rPr>
        <w:lastRenderedPageBreak/>
        <w:t xml:space="preserve">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371E8B99" w14:textId="4F581476" w:rsidR="00A30FA6" w:rsidRPr="00CA449C" w:rsidRDefault="00A30FA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13.1.4. </w:t>
      </w:r>
      <w:r w:rsidRPr="0006567C">
        <w:rPr>
          <w:sz w:val="22"/>
          <w:szCs w:val="22"/>
          <w:lang w:val="lt-LT"/>
        </w:rPr>
        <w:t>tiekėjas neatitinka pirkimo sąlygų 2.</w:t>
      </w:r>
      <w:r>
        <w:rPr>
          <w:sz w:val="22"/>
          <w:szCs w:val="22"/>
          <w:lang w:val="lt-LT"/>
        </w:rPr>
        <w:t>4</w:t>
      </w:r>
      <w:r w:rsidRPr="0006567C">
        <w:rPr>
          <w:sz w:val="22"/>
          <w:szCs w:val="22"/>
          <w:lang w:val="lt-LT"/>
        </w:rPr>
        <w:t xml:space="preserve"> punkte nustatyto aplinkos apsaugos vadybos sistemos reikalavimo arba perkančiosios organizacijos nustatytu terminu nepateikė ar nepatikslino pateiktų netikslių ar neišsamių duomenų apie atitikimą aplinkos apsaugos vadybos sistemos reikalavimui</w:t>
      </w:r>
      <w:r>
        <w:rPr>
          <w:sz w:val="22"/>
          <w:szCs w:val="22"/>
          <w:lang w:val="lt-LT"/>
        </w:rPr>
        <w:t>;</w:t>
      </w:r>
    </w:p>
    <w:p w14:paraId="21C7B0DF" w14:textId="505D41A9"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w:t>
      </w:r>
      <w:r w:rsidR="00A30FA6">
        <w:rPr>
          <w:sz w:val="22"/>
          <w:szCs w:val="22"/>
          <w:lang w:val="lt-LT"/>
        </w:rPr>
        <w:t>5</w:t>
      </w:r>
      <w:r w:rsidRPr="00CA449C">
        <w:rPr>
          <w:sz w:val="22"/>
          <w:szCs w:val="22"/>
          <w:lang w:val="lt-LT"/>
        </w:rPr>
        <w:t>. pasiūlyta kaina yra per didelė ir nepriimtina, išskyrus VPĮ 45 str. 1 d. 5 punkte numatytus atvejus;</w:t>
      </w:r>
    </w:p>
    <w:p w14:paraId="5D41D8A6" w14:textId="24ACC05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A30FA6">
        <w:rPr>
          <w:sz w:val="22"/>
          <w:szCs w:val="22"/>
          <w:lang w:val="lt-LT"/>
        </w:rPr>
        <w:t>6</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125BC2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A30FA6">
        <w:rPr>
          <w:sz w:val="22"/>
          <w:szCs w:val="22"/>
          <w:lang w:val="lt-LT"/>
        </w:rPr>
        <w:t>7</w:t>
      </w:r>
      <w:r w:rsidRPr="00CA449C">
        <w:rPr>
          <w:sz w:val="22"/>
          <w:szCs w:val="22"/>
          <w:lang w:val="lt-LT"/>
        </w:rPr>
        <w:t>. pateiktame pasiūlyme nurodyta kaina yra neįprastai maža ir dalyvis, perkančiosios organizacijos prašymu, nepateikia tinkamų kainos pagrįstumo įrodymų;</w:t>
      </w:r>
    </w:p>
    <w:p w14:paraId="5F5BC6EB" w14:textId="6543086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A30FA6">
        <w:rPr>
          <w:sz w:val="22"/>
          <w:szCs w:val="22"/>
          <w:lang w:val="lt-LT"/>
        </w:rPr>
        <w:t>8</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57A6B401"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A30FA6">
        <w:rPr>
          <w:rFonts w:eastAsiaTheme="minorHAnsi"/>
          <w:sz w:val="22"/>
          <w:szCs w:val="22"/>
          <w:bdr w:val="none" w:sz="0" w:space="0" w:color="auto" w:frame="1"/>
          <w:lang w:val="lt-LT"/>
        </w:rPr>
        <w:t>9</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546A0952" w:rsidR="00FE6A22" w:rsidRPr="00CA449C" w:rsidRDefault="0034466E" w:rsidP="009922EF">
      <w:pPr>
        <w:pStyle w:val="Body2"/>
        <w:rPr>
          <w:lang w:val="lt-LT"/>
        </w:rPr>
      </w:pPr>
      <w:r w:rsidRPr="00CA449C">
        <w:rPr>
          <w:lang w:val="lt-LT"/>
        </w:rPr>
        <w:tab/>
        <w:t xml:space="preserve">14.1. </w:t>
      </w:r>
      <w:r w:rsidR="009922EF" w:rsidRPr="00C742D8">
        <w:rPr>
          <w:rFonts w:eastAsia="Arial Unicode MS" w:cs="Arial Unicode MS"/>
          <w:color w:val="auto"/>
          <w:lang w:val="lt-LT"/>
        </w:rPr>
        <w:t xml:space="preserve">Perkančioji organizacija ekonomiškai naudingiausią pasiūlymą </w:t>
      </w:r>
      <w:r w:rsidRPr="00CA449C">
        <w:rPr>
          <w:lang w:val="lt-LT"/>
        </w:rPr>
        <w:t xml:space="preserve">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Default="0034466E" w:rsidP="00415A17">
      <w:pPr>
        <w:pStyle w:val="Heading"/>
        <w:rPr>
          <w:rFonts w:cs="Times New Roman"/>
          <w:lang w:val="lt-LT"/>
        </w:rPr>
      </w:pPr>
      <w:r w:rsidRPr="00CA449C">
        <w:rPr>
          <w:rFonts w:cs="Times New Roman"/>
          <w:lang w:val="lt-LT"/>
        </w:rPr>
        <w:tab/>
      </w:r>
    </w:p>
    <w:p w14:paraId="67CD2D88" w14:textId="77777777" w:rsidR="00437ADD" w:rsidRPr="00437ADD" w:rsidRDefault="00437ADD" w:rsidP="00437ADD">
      <w:pPr>
        <w:pStyle w:val="Body2"/>
        <w:rPr>
          <w:lang w:val="lt-LT"/>
        </w:rPr>
      </w:pP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D5E9FE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E1344">
        <w:rPr>
          <w:sz w:val="22"/>
          <w:szCs w:val="22"/>
          <w:lang w:val="lt-LT"/>
        </w:rPr>
        <w:t>5 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lastRenderedPageBreak/>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437A7E79" w14:textId="33A76C44" w:rsidR="004E1344" w:rsidRPr="006F573F" w:rsidRDefault="004E1344"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F573F">
        <w:rPr>
          <w:sz w:val="22"/>
          <w:szCs w:val="22"/>
          <w:lang w:val="lt-LT"/>
        </w:rPr>
        <w:t>18.3. Radiacinės saugos projektas ,,</w:t>
      </w:r>
      <w:bookmarkStart w:id="2" w:name="_Hlk204068787"/>
      <w:r w:rsidR="006B512E" w:rsidRPr="006F573F">
        <w:rPr>
          <w:i/>
          <w:iCs/>
          <w:sz w:val="22"/>
          <w:szCs w:val="22"/>
          <w:lang w:val="lt-LT"/>
        </w:rPr>
        <w:t>Angiografo įrengimas operacinėje</w:t>
      </w:r>
      <w:bookmarkEnd w:id="2"/>
      <w:r w:rsidR="00062AA4" w:rsidRPr="006F573F">
        <w:rPr>
          <w:sz w:val="22"/>
          <w:szCs w:val="22"/>
          <w:lang w:val="lt-LT"/>
        </w:rPr>
        <w:t>”</w:t>
      </w:r>
    </w:p>
    <w:p w14:paraId="58A0555B" w14:textId="77777777" w:rsidR="003608A3" w:rsidRDefault="00E0256F" w:rsidP="003608A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4E1344">
        <w:rPr>
          <w:sz w:val="22"/>
          <w:szCs w:val="22"/>
          <w:lang w:val="lt-LT"/>
        </w:rPr>
        <w:t>4</w:t>
      </w:r>
      <w:r w:rsidRPr="00CA449C">
        <w:rPr>
          <w:sz w:val="22"/>
          <w:szCs w:val="22"/>
          <w:lang w:val="lt-LT"/>
        </w:rPr>
        <w:t xml:space="preserve">. </w:t>
      </w:r>
      <w:r w:rsidR="003608A3" w:rsidRPr="00CA449C">
        <w:rPr>
          <w:sz w:val="22"/>
          <w:szCs w:val="22"/>
          <w:lang w:val="lt-LT"/>
        </w:rPr>
        <w:t>Europos bendrasis viešųjų pirkimų dokumentas (EBVPD).</w:t>
      </w:r>
    </w:p>
    <w:p w14:paraId="52559155" w14:textId="77777777" w:rsidR="003608A3" w:rsidRDefault="009C2E02" w:rsidP="003608A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4E1344">
        <w:rPr>
          <w:sz w:val="22"/>
          <w:szCs w:val="22"/>
          <w:lang w:val="lt-LT"/>
        </w:rPr>
        <w:t>5</w:t>
      </w:r>
      <w:r w:rsidRPr="00CA449C">
        <w:rPr>
          <w:sz w:val="22"/>
          <w:szCs w:val="22"/>
          <w:lang w:val="lt-LT"/>
        </w:rPr>
        <w:t xml:space="preserve">. </w:t>
      </w:r>
      <w:r w:rsidR="003608A3" w:rsidRPr="00CA449C">
        <w:rPr>
          <w:sz w:val="22"/>
          <w:szCs w:val="22"/>
          <w:lang w:val="lt-LT"/>
        </w:rPr>
        <w:t xml:space="preserve">Tiekėjo/subtiekėjo deklaracija dėl sankcijų </w:t>
      </w:r>
    </w:p>
    <w:p w14:paraId="30C94AC7" w14:textId="402A590F" w:rsidR="003608A3" w:rsidRPr="00CA449C" w:rsidRDefault="003608A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18.6. Radiacinės saugos centro 2025-06-25 ekspertizės aktas Nr. 142.</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2EC7" w14:textId="77777777" w:rsidR="00540551" w:rsidRDefault="00540551">
      <w:r>
        <w:separator/>
      </w:r>
    </w:p>
  </w:endnote>
  <w:endnote w:type="continuationSeparator" w:id="0">
    <w:p w14:paraId="1B25D2BA" w14:textId="77777777" w:rsidR="00540551" w:rsidRDefault="0054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E022" w14:textId="77777777" w:rsidR="00540551" w:rsidRDefault="00540551">
      <w:r>
        <w:separator/>
      </w:r>
    </w:p>
  </w:footnote>
  <w:footnote w:type="continuationSeparator" w:id="0">
    <w:p w14:paraId="721A91FE" w14:textId="77777777" w:rsidR="00540551" w:rsidRDefault="00540551">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53A"/>
    <w:rsid w:val="00031730"/>
    <w:rsid w:val="00034F7B"/>
    <w:rsid w:val="000400AF"/>
    <w:rsid w:val="00040DB2"/>
    <w:rsid w:val="00041859"/>
    <w:rsid w:val="0004769C"/>
    <w:rsid w:val="0005786B"/>
    <w:rsid w:val="00061573"/>
    <w:rsid w:val="00062AA4"/>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4543C"/>
    <w:rsid w:val="00152D30"/>
    <w:rsid w:val="001534A9"/>
    <w:rsid w:val="00157B6F"/>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4E46"/>
    <w:rsid w:val="001D74A0"/>
    <w:rsid w:val="00214766"/>
    <w:rsid w:val="00215FC5"/>
    <w:rsid w:val="002175FB"/>
    <w:rsid w:val="00217882"/>
    <w:rsid w:val="00240103"/>
    <w:rsid w:val="002428CC"/>
    <w:rsid w:val="00251577"/>
    <w:rsid w:val="00261BF3"/>
    <w:rsid w:val="00262CFC"/>
    <w:rsid w:val="0028247E"/>
    <w:rsid w:val="0028702B"/>
    <w:rsid w:val="002976C1"/>
    <w:rsid w:val="002A597E"/>
    <w:rsid w:val="002A6E68"/>
    <w:rsid w:val="002B416D"/>
    <w:rsid w:val="002D65BF"/>
    <w:rsid w:val="002E2F1D"/>
    <w:rsid w:val="002E6961"/>
    <w:rsid w:val="0030042F"/>
    <w:rsid w:val="0030288B"/>
    <w:rsid w:val="00302B4E"/>
    <w:rsid w:val="003116B5"/>
    <w:rsid w:val="00314A93"/>
    <w:rsid w:val="0031517A"/>
    <w:rsid w:val="00315B3B"/>
    <w:rsid w:val="00317014"/>
    <w:rsid w:val="003271DB"/>
    <w:rsid w:val="003307CD"/>
    <w:rsid w:val="0033606B"/>
    <w:rsid w:val="00342CE0"/>
    <w:rsid w:val="00343FF4"/>
    <w:rsid w:val="0034466E"/>
    <w:rsid w:val="00352AEF"/>
    <w:rsid w:val="003608A3"/>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4F80"/>
    <w:rsid w:val="00405188"/>
    <w:rsid w:val="00407B49"/>
    <w:rsid w:val="00415A17"/>
    <w:rsid w:val="00422C72"/>
    <w:rsid w:val="00426C17"/>
    <w:rsid w:val="00431B9E"/>
    <w:rsid w:val="00437ADD"/>
    <w:rsid w:val="00440AB9"/>
    <w:rsid w:val="00450B36"/>
    <w:rsid w:val="004568C8"/>
    <w:rsid w:val="00456FC2"/>
    <w:rsid w:val="004637F2"/>
    <w:rsid w:val="00470A94"/>
    <w:rsid w:val="00470FC9"/>
    <w:rsid w:val="00471724"/>
    <w:rsid w:val="00472D26"/>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1BFA"/>
    <w:rsid w:val="004D6787"/>
    <w:rsid w:val="004D6ECA"/>
    <w:rsid w:val="004E1344"/>
    <w:rsid w:val="004E1A33"/>
    <w:rsid w:val="004E4F0E"/>
    <w:rsid w:val="004E6F4F"/>
    <w:rsid w:val="004F3678"/>
    <w:rsid w:val="00506CEE"/>
    <w:rsid w:val="00512C61"/>
    <w:rsid w:val="005213EF"/>
    <w:rsid w:val="005217C6"/>
    <w:rsid w:val="00537D98"/>
    <w:rsid w:val="00540551"/>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2E"/>
    <w:rsid w:val="006B51E6"/>
    <w:rsid w:val="006C2D83"/>
    <w:rsid w:val="006C4839"/>
    <w:rsid w:val="006D4627"/>
    <w:rsid w:val="006D616C"/>
    <w:rsid w:val="006D73CD"/>
    <w:rsid w:val="006E210E"/>
    <w:rsid w:val="006E26AE"/>
    <w:rsid w:val="006F120A"/>
    <w:rsid w:val="006F573F"/>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22DC"/>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0DC"/>
    <w:rsid w:val="0084729F"/>
    <w:rsid w:val="00860721"/>
    <w:rsid w:val="00880295"/>
    <w:rsid w:val="008828FB"/>
    <w:rsid w:val="00896499"/>
    <w:rsid w:val="008A4343"/>
    <w:rsid w:val="008B054C"/>
    <w:rsid w:val="008B6542"/>
    <w:rsid w:val="008D4106"/>
    <w:rsid w:val="008E073A"/>
    <w:rsid w:val="008F1C56"/>
    <w:rsid w:val="008F21F8"/>
    <w:rsid w:val="008F2C8C"/>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43B4"/>
    <w:rsid w:val="009C7460"/>
    <w:rsid w:val="009C78D6"/>
    <w:rsid w:val="009D0F2E"/>
    <w:rsid w:val="009E2B62"/>
    <w:rsid w:val="009E3BC6"/>
    <w:rsid w:val="00A0024D"/>
    <w:rsid w:val="00A116C1"/>
    <w:rsid w:val="00A2213C"/>
    <w:rsid w:val="00A30FA6"/>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3EC9"/>
    <w:rsid w:val="00AF4F7B"/>
    <w:rsid w:val="00AF549C"/>
    <w:rsid w:val="00B043BC"/>
    <w:rsid w:val="00B0547D"/>
    <w:rsid w:val="00B06D50"/>
    <w:rsid w:val="00B07119"/>
    <w:rsid w:val="00B146BB"/>
    <w:rsid w:val="00B15A4B"/>
    <w:rsid w:val="00B17E7A"/>
    <w:rsid w:val="00B23393"/>
    <w:rsid w:val="00B238F3"/>
    <w:rsid w:val="00B2656D"/>
    <w:rsid w:val="00B27115"/>
    <w:rsid w:val="00B3164A"/>
    <w:rsid w:val="00B3312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1113"/>
    <w:rsid w:val="00C259EB"/>
    <w:rsid w:val="00C27E7A"/>
    <w:rsid w:val="00C30E03"/>
    <w:rsid w:val="00C331F8"/>
    <w:rsid w:val="00C35C1E"/>
    <w:rsid w:val="00C51B99"/>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7311B"/>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2C6"/>
    <w:rsid w:val="00E8476E"/>
    <w:rsid w:val="00EA19C2"/>
    <w:rsid w:val="00EB26C0"/>
    <w:rsid w:val="00EB4BEF"/>
    <w:rsid w:val="00EC1476"/>
    <w:rsid w:val="00EC2530"/>
    <w:rsid w:val="00EC32D5"/>
    <w:rsid w:val="00EC4E66"/>
    <w:rsid w:val="00EE6840"/>
    <w:rsid w:val="00F00132"/>
    <w:rsid w:val="00F2485F"/>
    <w:rsid w:val="00F32988"/>
    <w:rsid w:val="00F375CF"/>
    <w:rsid w:val="00F37FA4"/>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8724</Words>
  <Characters>49731</Characters>
  <Application>Microsoft Office Word</Application>
  <DocSecurity>0</DocSecurity>
  <Lines>414</Lines>
  <Paragraphs>116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5</cp:revision>
  <dcterms:created xsi:type="dcterms:W3CDTF">2025-07-22T06:11:00Z</dcterms:created>
  <dcterms:modified xsi:type="dcterms:W3CDTF">2025-09-26T06:15:00Z</dcterms:modified>
</cp:coreProperties>
</file>