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FFBF" w14:textId="0D709A26" w:rsidR="009C42A1" w:rsidRDefault="00CA1ECE" w:rsidP="0030050B">
      <w:pPr>
        <w:pStyle w:val="Heading"/>
        <w:jc w:val="center"/>
        <w:rPr>
          <w:rFonts w:cs="Times New Roman"/>
          <w:color w:val="auto"/>
          <w:lang w:val="lt-LT"/>
        </w:rPr>
      </w:pPr>
      <w:r w:rsidRPr="00CA1ECE">
        <w:rPr>
          <w:rFonts w:cs="Times New Roman"/>
          <w:color w:val="auto"/>
          <w:lang w:val="lt-LT"/>
        </w:rPr>
        <w:t>Viešoji įstaiga Vilniaus universiteto ligoninė</w:t>
      </w:r>
    </w:p>
    <w:p w14:paraId="5E538D41" w14:textId="6050BDAA" w:rsidR="00CA1ECE" w:rsidRPr="00CA1ECE" w:rsidRDefault="00CA1ECE" w:rsidP="0030050B">
      <w:pPr>
        <w:pStyle w:val="Heading"/>
        <w:jc w:val="center"/>
        <w:rPr>
          <w:rFonts w:cs="Times New Roman"/>
          <w:color w:val="auto"/>
          <w:lang w:val="lt-LT"/>
        </w:rPr>
      </w:pPr>
      <w:r w:rsidRPr="00CA1ECE">
        <w:rPr>
          <w:rFonts w:cs="Times New Roman"/>
          <w:color w:val="auto"/>
          <w:lang w:val="lt-LT"/>
        </w:rPr>
        <w:t>Santaros klinikų filialas Nacionalinis vėžio centras</w:t>
      </w:r>
    </w:p>
    <w:p w14:paraId="08BAEF14" w14:textId="77777777" w:rsidR="00CA1ECE" w:rsidRPr="00CA1ECE" w:rsidRDefault="00CA1ECE" w:rsidP="00891463">
      <w:pPr>
        <w:spacing w:line="360" w:lineRule="auto"/>
        <w:ind w:firstLine="426"/>
      </w:pPr>
    </w:p>
    <w:p w14:paraId="465EEA27" w14:textId="77777777" w:rsidR="00CA1ECE" w:rsidRPr="009C2C5B" w:rsidRDefault="00CA1ECE" w:rsidP="009C2C5B">
      <w:pPr>
        <w:pStyle w:val="Heading"/>
        <w:spacing w:line="276" w:lineRule="auto"/>
        <w:jc w:val="center"/>
        <w:rPr>
          <w:rFonts w:asciiTheme="majorBidi" w:hAnsiTheme="majorBidi" w:cstheme="majorBidi"/>
          <w:color w:val="auto"/>
          <w:lang w:val="lt-LT"/>
        </w:rPr>
      </w:pPr>
      <w:r w:rsidRPr="009C2C5B">
        <w:rPr>
          <w:rFonts w:asciiTheme="majorBidi" w:hAnsiTheme="majorBidi" w:cstheme="majorBidi"/>
          <w:color w:val="auto"/>
          <w:lang w:val="lt-LT"/>
        </w:rPr>
        <w:t>VIEŠOJO PIRKIMO</w:t>
      </w:r>
    </w:p>
    <w:p w14:paraId="4249B774" w14:textId="6ED8B082" w:rsidR="00CA1ECE" w:rsidRPr="009C2C5B" w:rsidRDefault="003012F5" w:rsidP="009C2C5B">
      <w:pPr>
        <w:pStyle w:val="Heading"/>
        <w:spacing w:line="276" w:lineRule="auto"/>
        <w:jc w:val="center"/>
        <w:rPr>
          <w:rFonts w:asciiTheme="majorBidi" w:hAnsiTheme="majorBidi" w:cstheme="majorBidi"/>
          <w:color w:val="auto"/>
          <w:lang w:val="lt-LT"/>
        </w:rPr>
      </w:pPr>
      <w:r w:rsidRPr="009C2C5B">
        <w:rPr>
          <w:rFonts w:asciiTheme="majorBidi" w:hAnsiTheme="majorBidi" w:cstheme="majorBidi"/>
          <w:color w:val="auto"/>
          <w:lang w:val="lt-LT"/>
        </w:rPr>
        <w:t>„</w:t>
      </w:r>
      <w:r w:rsidR="00D72C06" w:rsidRPr="009C2C5B">
        <w:rPr>
          <w:rFonts w:asciiTheme="majorBidi" w:hAnsiTheme="majorBidi" w:cstheme="majorBidi"/>
          <w:color w:val="auto"/>
          <w:lang w:val="lt-LT"/>
        </w:rPr>
        <w:t xml:space="preserve">LINIJINIO GREITINTUVO </w:t>
      </w:r>
      <w:r w:rsidRPr="009C2C5B">
        <w:rPr>
          <w:rFonts w:asciiTheme="majorBidi" w:hAnsiTheme="majorBidi" w:cstheme="majorBidi"/>
          <w:color w:val="auto"/>
          <w:lang w:val="lt-LT"/>
        </w:rPr>
        <w:t>PIRKIMAS“</w:t>
      </w:r>
      <w:r w:rsidR="00CA1ECE" w:rsidRPr="009C2C5B">
        <w:rPr>
          <w:rFonts w:asciiTheme="majorBidi" w:hAnsiTheme="majorBidi" w:cstheme="majorBidi"/>
          <w:color w:val="auto"/>
          <w:lang w:val="lt-LT"/>
        </w:rPr>
        <w:t xml:space="preserve"> (pirkimo nr.</w:t>
      </w:r>
      <w:r w:rsidRPr="009C2C5B">
        <w:rPr>
          <w:rFonts w:asciiTheme="majorBidi" w:hAnsiTheme="majorBidi" w:cstheme="majorBidi"/>
          <w:color w:val="auto"/>
          <w:lang w:val="lt-LT"/>
        </w:rPr>
        <w:t xml:space="preserve"> 443267</w:t>
      </w:r>
      <w:r w:rsidR="00CA1ECE" w:rsidRPr="009C2C5B">
        <w:rPr>
          <w:rFonts w:asciiTheme="majorBidi" w:hAnsiTheme="majorBidi" w:cstheme="majorBidi"/>
          <w:color w:val="auto"/>
          <w:lang w:val="lt-LT"/>
        </w:rPr>
        <w:t>) SĄLYGŲ PAAIŠKINIMAI</w:t>
      </w:r>
    </w:p>
    <w:p w14:paraId="210FBC74" w14:textId="77777777" w:rsidR="00CA1ECE" w:rsidRPr="00905E8A" w:rsidRDefault="00CA1ECE" w:rsidP="009C2C5B">
      <w:pPr>
        <w:pStyle w:val="Heading"/>
        <w:spacing w:line="276" w:lineRule="auto"/>
        <w:jc w:val="center"/>
        <w:rPr>
          <w:rFonts w:asciiTheme="majorBidi" w:hAnsiTheme="majorBidi" w:cstheme="majorBidi"/>
          <w:color w:val="auto"/>
          <w:sz w:val="16"/>
          <w:szCs w:val="16"/>
          <w:lang w:val="lt-LT"/>
        </w:rPr>
      </w:pPr>
    </w:p>
    <w:p w14:paraId="3F610235" w14:textId="777C9B0D" w:rsidR="00905E8A" w:rsidRDefault="00905E8A" w:rsidP="00905E8A">
      <w:pPr>
        <w:jc w:val="center"/>
        <w:rPr>
          <w:lang w:eastAsia="en-US"/>
        </w:rPr>
      </w:pPr>
      <w:r>
        <w:rPr>
          <w:lang w:eastAsia="en-US"/>
        </w:rPr>
        <w:t>2025-09-26</w:t>
      </w:r>
    </w:p>
    <w:p w14:paraId="18091E4D" w14:textId="77777777" w:rsidR="00905E8A" w:rsidRPr="00905E8A" w:rsidRDefault="00905E8A" w:rsidP="00905E8A">
      <w:pPr>
        <w:rPr>
          <w:sz w:val="16"/>
          <w:szCs w:val="16"/>
          <w:lang w:eastAsia="en-US"/>
        </w:rPr>
      </w:pPr>
    </w:p>
    <w:p w14:paraId="6F03D923" w14:textId="2D84D9CC" w:rsidR="007E1AA9" w:rsidRPr="009C2C5B" w:rsidRDefault="007E1AA9"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color w:val="auto"/>
          <w:lang w:val="lt-LT"/>
        </w:rPr>
        <w:t>VšĮ Vilniaus universiteto ligoninė</w:t>
      </w:r>
      <w:r w:rsidR="00576AB5" w:rsidRPr="009C2C5B">
        <w:rPr>
          <w:rFonts w:asciiTheme="majorBidi" w:hAnsiTheme="majorBidi" w:cstheme="majorBidi"/>
          <w:color w:val="auto"/>
          <w:lang w:val="lt-LT"/>
        </w:rPr>
        <w:t>s</w:t>
      </w:r>
      <w:r w:rsidRPr="009C2C5B">
        <w:rPr>
          <w:rFonts w:asciiTheme="majorBidi" w:hAnsiTheme="majorBidi" w:cstheme="majorBidi"/>
          <w:color w:val="auto"/>
          <w:lang w:val="lt-LT"/>
        </w:rPr>
        <w:t xml:space="preserve"> Santaros klinik</w:t>
      </w:r>
      <w:r w:rsidR="00576AB5" w:rsidRPr="009C2C5B">
        <w:rPr>
          <w:rFonts w:asciiTheme="majorBidi" w:hAnsiTheme="majorBidi" w:cstheme="majorBidi"/>
          <w:color w:val="auto"/>
          <w:lang w:val="lt-LT"/>
        </w:rPr>
        <w:t>ų filialas Nacionalinis vėžio centras</w:t>
      </w:r>
      <w:r w:rsidRPr="009C2C5B">
        <w:rPr>
          <w:rFonts w:asciiTheme="majorBidi" w:hAnsiTheme="majorBidi" w:cstheme="majorBidi"/>
          <w:color w:val="auto"/>
          <w:lang w:val="lt-LT"/>
        </w:rPr>
        <w:t xml:space="preserve"> (toliau - PO) nepraleisdamos atsakym</w:t>
      </w:r>
      <w:r w:rsidR="00E01C71" w:rsidRPr="009C2C5B">
        <w:rPr>
          <w:rFonts w:asciiTheme="majorBidi" w:hAnsiTheme="majorBidi" w:cstheme="majorBidi"/>
          <w:color w:val="auto"/>
          <w:lang w:val="lt-LT"/>
        </w:rPr>
        <w:t>ų</w:t>
      </w:r>
      <w:r w:rsidRPr="009C2C5B">
        <w:rPr>
          <w:rFonts w:asciiTheme="majorBidi" w:hAnsiTheme="majorBidi" w:cstheme="majorBidi"/>
          <w:color w:val="auto"/>
          <w:lang w:val="lt-LT"/>
        </w:rPr>
        <w:t xml:space="preserve"> termino </w:t>
      </w:r>
      <w:r w:rsidR="0030050B" w:rsidRPr="009C2C5B">
        <w:rPr>
          <w:rFonts w:asciiTheme="majorBidi" w:hAnsiTheme="majorBidi" w:cstheme="majorBidi"/>
          <w:color w:val="auto"/>
          <w:lang w:val="lt-LT"/>
        </w:rPr>
        <w:t>į</w:t>
      </w:r>
      <w:r w:rsidRPr="009C2C5B">
        <w:rPr>
          <w:rFonts w:asciiTheme="majorBidi" w:hAnsiTheme="majorBidi" w:cstheme="majorBidi"/>
          <w:lang w:val="lt-LT"/>
        </w:rPr>
        <w:t xml:space="preserve"> Tiekėj</w:t>
      </w:r>
      <w:r w:rsidR="005558E9" w:rsidRPr="009C2C5B">
        <w:rPr>
          <w:rFonts w:asciiTheme="majorBidi" w:hAnsiTheme="majorBidi" w:cstheme="majorBidi"/>
          <w:lang w:val="lt-LT"/>
        </w:rPr>
        <w:t>o</w:t>
      </w:r>
      <w:r w:rsidRPr="009C2C5B">
        <w:rPr>
          <w:rFonts w:asciiTheme="majorBidi" w:hAnsiTheme="majorBidi" w:cstheme="majorBidi"/>
          <w:lang w:val="lt-LT"/>
        </w:rPr>
        <w:t xml:space="preserve"> pateikt</w:t>
      </w:r>
      <w:r w:rsidR="00AD5BBE" w:rsidRPr="009C2C5B">
        <w:rPr>
          <w:rFonts w:asciiTheme="majorBidi" w:hAnsiTheme="majorBidi" w:cstheme="majorBidi"/>
          <w:lang w:val="lt-LT"/>
        </w:rPr>
        <w:t xml:space="preserve">us </w:t>
      </w:r>
      <w:r w:rsidR="00951CC7" w:rsidRPr="009C2C5B">
        <w:rPr>
          <w:rFonts w:asciiTheme="majorBidi" w:hAnsiTheme="majorBidi" w:cstheme="majorBidi"/>
          <w:lang w:val="lt-LT"/>
        </w:rPr>
        <w:t xml:space="preserve">prašymus paaiškinti </w:t>
      </w:r>
      <w:r w:rsidR="009609B8" w:rsidRPr="009C2C5B">
        <w:rPr>
          <w:rFonts w:asciiTheme="majorBidi" w:hAnsiTheme="majorBidi" w:cstheme="majorBidi"/>
          <w:lang w:val="lt-LT"/>
        </w:rPr>
        <w:t xml:space="preserve">ir koreguoti </w:t>
      </w:r>
      <w:r w:rsidR="00951CC7" w:rsidRPr="009C2C5B">
        <w:rPr>
          <w:rFonts w:asciiTheme="majorBidi" w:hAnsiTheme="majorBidi" w:cstheme="majorBidi"/>
          <w:lang w:val="lt-LT"/>
        </w:rPr>
        <w:t>technin</w:t>
      </w:r>
      <w:r w:rsidR="009609B8" w:rsidRPr="009C2C5B">
        <w:rPr>
          <w:rFonts w:asciiTheme="majorBidi" w:hAnsiTheme="majorBidi" w:cstheme="majorBidi"/>
          <w:lang w:val="lt-LT"/>
        </w:rPr>
        <w:t>ę specifikaciją</w:t>
      </w:r>
      <w:r w:rsidR="00E528B4" w:rsidRPr="009C2C5B">
        <w:rPr>
          <w:rFonts w:asciiTheme="majorBidi" w:hAnsiTheme="majorBidi" w:cstheme="majorBidi"/>
          <w:lang w:val="lt-LT"/>
        </w:rPr>
        <w:t xml:space="preserve"> (toliau - TS)</w:t>
      </w:r>
      <w:r w:rsidR="005558E9" w:rsidRPr="009C2C5B">
        <w:rPr>
          <w:rFonts w:asciiTheme="majorBidi" w:hAnsiTheme="majorBidi" w:cstheme="majorBidi"/>
          <w:lang w:val="lt-LT"/>
        </w:rPr>
        <w:t>,</w:t>
      </w:r>
      <w:r w:rsidR="009609B8" w:rsidRPr="009C2C5B">
        <w:rPr>
          <w:rFonts w:asciiTheme="majorBidi" w:hAnsiTheme="majorBidi" w:cstheme="majorBidi"/>
          <w:lang w:val="lt-LT"/>
        </w:rPr>
        <w:t xml:space="preserve"> nekeisdam</w:t>
      </w:r>
      <w:r w:rsidR="00034CA6" w:rsidRPr="009C2C5B">
        <w:rPr>
          <w:rFonts w:asciiTheme="majorBidi" w:hAnsiTheme="majorBidi" w:cstheme="majorBidi"/>
          <w:lang w:val="lt-LT"/>
        </w:rPr>
        <w:t>a</w:t>
      </w:r>
      <w:r w:rsidR="009609B8" w:rsidRPr="009C2C5B">
        <w:rPr>
          <w:rFonts w:asciiTheme="majorBidi" w:hAnsiTheme="majorBidi" w:cstheme="majorBidi"/>
          <w:lang w:val="lt-LT"/>
        </w:rPr>
        <w:t>s techninės specifikacijos ir ekonominio naudingumo vertinimo tvarkos</w:t>
      </w:r>
      <w:r w:rsidR="005558E9" w:rsidRPr="009C2C5B">
        <w:rPr>
          <w:rFonts w:asciiTheme="majorBidi" w:hAnsiTheme="majorBidi" w:cstheme="majorBidi"/>
          <w:lang w:val="lt-LT"/>
        </w:rPr>
        <w:t>,</w:t>
      </w:r>
      <w:r w:rsidR="009609B8" w:rsidRPr="009C2C5B">
        <w:rPr>
          <w:rFonts w:asciiTheme="majorBidi" w:hAnsiTheme="majorBidi" w:cstheme="majorBidi"/>
          <w:lang w:val="lt-LT"/>
        </w:rPr>
        <w:t xml:space="preserve"> </w:t>
      </w:r>
      <w:r w:rsidRPr="009C2C5B">
        <w:rPr>
          <w:rFonts w:asciiTheme="majorBidi" w:hAnsiTheme="majorBidi" w:cstheme="majorBidi"/>
          <w:lang w:val="lt-LT"/>
        </w:rPr>
        <w:t>teikia paaiškinim</w:t>
      </w:r>
      <w:r w:rsidR="004A6518" w:rsidRPr="009C2C5B">
        <w:rPr>
          <w:rFonts w:asciiTheme="majorBidi" w:hAnsiTheme="majorBidi" w:cstheme="majorBidi"/>
          <w:lang w:val="lt-LT"/>
        </w:rPr>
        <w:t>us</w:t>
      </w:r>
      <w:r w:rsidRPr="009C2C5B">
        <w:rPr>
          <w:rFonts w:asciiTheme="majorBidi" w:hAnsiTheme="majorBidi" w:cstheme="majorBidi"/>
          <w:lang w:val="lt-LT"/>
        </w:rPr>
        <w:t xml:space="preserve"> dėl techninės specifikacijos ir ekonominio naudingumo vertinimo tvarkos reikalavimų </w:t>
      </w:r>
      <w:r w:rsidR="004A6518" w:rsidRPr="009C2C5B">
        <w:rPr>
          <w:rFonts w:asciiTheme="majorBidi" w:hAnsiTheme="majorBidi" w:cstheme="majorBidi"/>
          <w:lang w:val="lt-LT"/>
        </w:rPr>
        <w:t xml:space="preserve">esmės, </w:t>
      </w:r>
      <w:r w:rsidRPr="009C2C5B">
        <w:rPr>
          <w:rFonts w:asciiTheme="majorBidi" w:hAnsiTheme="majorBidi" w:cstheme="majorBidi"/>
          <w:lang w:val="lt-LT"/>
        </w:rPr>
        <w:t>būtinumo ir pagrįstumo.</w:t>
      </w:r>
    </w:p>
    <w:p w14:paraId="73BD6369" w14:textId="1930B4B7" w:rsidR="00CA1ECE" w:rsidRPr="00905E8A" w:rsidRDefault="00CA1ECE" w:rsidP="009C2C5B">
      <w:pPr>
        <w:pStyle w:val="Body2"/>
        <w:spacing w:after="0" w:line="276" w:lineRule="auto"/>
        <w:ind w:firstLine="426"/>
        <w:rPr>
          <w:rFonts w:asciiTheme="majorBidi" w:hAnsiTheme="majorBidi" w:cstheme="majorBidi"/>
          <w:sz w:val="16"/>
          <w:szCs w:val="16"/>
          <w:lang w:val="lt-LT"/>
        </w:rPr>
      </w:pPr>
    </w:p>
    <w:p w14:paraId="3985188E" w14:textId="659DDCB6" w:rsidR="00CA1ECE" w:rsidRPr="009C2C5B" w:rsidRDefault="00590803" w:rsidP="009C2C5B">
      <w:pPr>
        <w:pStyle w:val="Body2"/>
        <w:spacing w:after="0" w:line="276" w:lineRule="auto"/>
        <w:ind w:firstLine="567"/>
        <w:rPr>
          <w:rFonts w:asciiTheme="majorBidi" w:hAnsiTheme="majorBidi" w:cstheme="majorBidi"/>
          <w:b/>
          <w:bCs/>
          <w:lang w:val="lt-LT"/>
        </w:rPr>
      </w:pPr>
      <w:r w:rsidRPr="009C2C5B">
        <w:rPr>
          <w:rFonts w:asciiTheme="majorBidi" w:hAnsiTheme="majorBidi" w:cstheme="majorBidi"/>
          <w:b/>
          <w:bCs/>
          <w:lang w:val="lt-LT"/>
        </w:rPr>
        <w:t xml:space="preserve">1. </w:t>
      </w:r>
      <w:r w:rsidR="002A6D7C" w:rsidRPr="009C2C5B">
        <w:rPr>
          <w:rFonts w:asciiTheme="majorBidi" w:hAnsiTheme="majorBidi" w:cstheme="majorBidi"/>
          <w:b/>
          <w:bCs/>
          <w:lang w:val="lt-LT"/>
        </w:rPr>
        <w:t xml:space="preserve">Dėl </w:t>
      </w:r>
      <w:r w:rsidR="00F13FEA" w:rsidRPr="009C2C5B">
        <w:rPr>
          <w:rFonts w:asciiTheme="majorBidi" w:hAnsiTheme="majorBidi" w:cstheme="majorBidi"/>
          <w:b/>
          <w:bCs/>
          <w:lang w:val="lt-LT"/>
        </w:rPr>
        <w:t>Pasiūlymų pateikimo</w:t>
      </w:r>
      <w:r w:rsidR="00F735D3" w:rsidRPr="009C2C5B">
        <w:rPr>
          <w:rFonts w:asciiTheme="majorBidi" w:hAnsiTheme="majorBidi" w:cstheme="majorBidi"/>
          <w:b/>
          <w:bCs/>
          <w:lang w:val="lt-LT"/>
        </w:rPr>
        <w:t xml:space="preserve"> formos</w:t>
      </w:r>
      <w:r w:rsidR="00310046" w:rsidRPr="009C2C5B">
        <w:rPr>
          <w:rFonts w:asciiTheme="majorBidi" w:hAnsiTheme="majorBidi" w:cstheme="majorBidi"/>
          <w:b/>
          <w:bCs/>
          <w:lang w:val="lt-LT"/>
        </w:rPr>
        <w:t xml:space="preserve"> ir turinio</w:t>
      </w:r>
    </w:p>
    <w:p w14:paraId="368A5205" w14:textId="656AB133" w:rsidR="00E941E0" w:rsidRPr="009C2C5B" w:rsidRDefault="00F13FEA" w:rsidP="009C2C5B">
      <w:pPr>
        <w:pStyle w:val="Body2"/>
        <w:spacing w:after="0" w:line="276" w:lineRule="auto"/>
        <w:ind w:firstLine="426"/>
        <w:rPr>
          <w:rFonts w:asciiTheme="majorBidi" w:hAnsiTheme="majorBidi" w:cstheme="majorBidi"/>
          <w:lang w:val="lt-LT"/>
        </w:rPr>
      </w:pPr>
      <w:r w:rsidRPr="009C2C5B">
        <w:rPr>
          <w:rFonts w:asciiTheme="majorBidi" w:hAnsiTheme="majorBidi" w:cstheme="majorBidi"/>
          <w:lang w:val="lt-LT"/>
        </w:rPr>
        <w:t xml:space="preserve">Tiekėjas nurodo, kad </w:t>
      </w:r>
      <w:r w:rsidR="00B176CC" w:rsidRPr="009C2C5B">
        <w:rPr>
          <w:rFonts w:asciiTheme="majorBidi" w:hAnsiTheme="majorBidi" w:cstheme="majorBidi"/>
          <w:lang w:val="lt-LT"/>
        </w:rPr>
        <w:t>Pirkimo dokumentų pried</w:t>
      </w:r>
      <w:r w:rsidR="00A341DE" w:rsidRPr="009C2C5B">
        <w:rPr>
          <w:rFonts w:asciiTheme="majorBidi" w:hAnsiTheme="majorBidi" w:cstheme="majorBidi"/>
          <w:lang w:val="lt-LT"/>
        </w:rPr>
        <w:t>o</w:t>
      </w:r>
      <w:r w:rsidR="00B176CC" w:rsidRPr="009C2C5B">
        <w:rPr>
          <w:rFonts w:asciiTheme="majorBidi" w:hAnsiTheme="majorBidi" w:cstheme="majorBidi"/>
          <w:lang w:val="lt-LT"/>
        </w:rPr>
        <w:t xml:space="preserve"> „</w:t>
      </w:r>
      <w:r w:rsidR="00B176CC" w:rsidRPr="009C2C5B">
        <w:rPr>
          <w:rFonts w:asciiTheme="majorBidi" w:hAnsiTheme="majorBidi" w:cstheme="majorBidi"/>
          <w:i/>
          <w:iCs/>
          <w:lang w:val="lt-LT"/>
        </w:rPr>
        <w:t>3_1.TS_LG</w:t>
      </w:r>
      <w:r w:rsidR="00B176CC" w:rsidRPr="009C2C5B">
        <w:rPr>
          <w:rFonts w:asciiTheme="majorBidi" w:hAnsiTheme="majorBidi" w:cstheme="majorBidi"/>
          <w:lang w:val="lt-LT"/>
        </w:rPr>
        <w:t>“</w:t>
      </w:r>
      <w:r w:rsidRPr="009C2C5B">
        <w:rPr>
          <w:rFonts w:asciiTheme="majorBidi" w:hAnsiTheme="majorBidi" w:cstheme="majorBidi"/>
          <w:lang w:val="lt-LT"/>
        </w:rPr>
        <w:t xml:space="preserve"> </w:t>
      </w:r>
      <w:r w:rsidR="00A341DE" w:rsidRPr="009C2C5B">
        <w:rPr>
          <w:rFonts w:asciiTheme="majorBidi" w:hAnsiTheme="majorBidi" w:cstheme="majorBidi"/>
          <w:lang w:val="lt-LT"/>
        </w:rPr>
        <w:t>lape „</w:t>
      </w:r>
      <w:r w:rsidR="00A341DE" w:rsidRPr="009C2C5B">
        <w:rPr>
          <w:rFonts w:asciiTheme="majorBidi" w:hAnsiTheme="majorBidi" w:cstheme="majorBidi"/>
          <w:i/>
          <w:iCs/>
          <w:lang w:val="lt-LT"/>
        </w:rPr>
        <w:t>Pasiūlymas</w:t>
      </w:r>
      <w:r w:rsidR="00A341DE" w:rsidRPr="009C2C5B">
        <w:rPr>
          <w:rFonts w:asciiTheme="majorBidi" w:hAnsiTheme="majorBidi" w:cstheme="majorBidi"/>
          <w:lang w:val="lt-LT"/>
        </w:rPr>
        <w:t xml:space="preserve">“ </w:t>
      </w:r>
      <w:r w:rsidR="00FA5707" w:rsidRPr="009C2C5B">
        <w:rPr>
          <w:rFonts w:asciiTheme="majorBidi" w:hAnsiTheme="majorBidi" w:cstheme="majorBidi"/>
          <w:lang w:val="lt-LT"/>
        </w:rPr>
        <w:t xml:space="preserve">tiekėjų reikalaujamoje užpildyti dalyje </w:t>
      </w:r>
      <w:r w:rsidR="00A341DE" w:rsidRPr="009C2C5B">
        <w:rPr>
          <w:rFonts w:asciiTheme="majorBidi" w:hAnsiTheme="majorBidi" w:cstheme="majorBidi"/>
          <w:lang w:val="lt-LT"/>
        </w:rPr>
        <w:t>„</w:t>
      </w:r>
      <w:r w:rsidR="00A341DE" w:rsidRPr="009C2C5B">
        <w:rPr>
          <w:rFonts w:asciiTheme="majorBidi" w:hAnsiTheme="majorBidi" w:cstheme="majorBidi"/>
          <w:i/>
          <w:iCs/>
          <w:lang w:val="lt-LT"/>
        </w:rPr>
        <w:t>2. Siūlomi techniniai funkcionalumai (Pildo Tiekėjas):</w:t>
      </w:r>
      <w:r w:rsidR="00A341DE" w:rsidRPr="009C2C5B">
        <w:rPr>
          <w:rFonts w:asciiTheme="majorBidi" w:hAnsiTheme="majorBidi" w:cstheme="majorBidi"/>
          <w:lang w:val="lt-LT"/>
        </w:rPr>
        <w:t>“ yra įsiv</w:t>
      </w:r>
      <w:r w:rsidR="005F4102" w:rsidRPr="009C2C5B">
        <w:rPr>
          <w:rFonts w:asciiTheme="majorBidi" w:hAnsiTheme="majorBidi" w:cstheme="majorBidi"/>
          <w:lang w:val="lt-LT"/>
        </w:rPr>
        <w:t>ė</w:t>
      </w:r>
      <w:r w:rsidR="00A341DE" w:rsidRPr="009C2C5B">
        <w:rPr>
          <w:rFonts w:asciiTheme="majorBidi" w:hAnsiTheme="majorBidi" w:cstheme="majorBidi"/>
          <w:lang w:val="lt-LT"/>
        </w:rPr>
        <w:t>lusi</w:t>
      </w:r>
      <w:r w:rsidR="00FA5707" w:rsidRPr="009C2C5B">
        <w:rPr>
          <w:rFonts w:asciiTheme="majorBidi" w:hAnsiTheme="majorBidi" w:cstheme="majorBidi"/>
          <w:lang w:val="lt-LT"/>
        </w:rPr>
        <w:t xml:space="preserve"> </w:t>
      </w:r>
      <w:r w:rsidR="005C713B" w:rsidRPr="009C2C5B">
        <w:rPr>
          <w:rFonts w:asciiTheme="majorBidi" w:hAnsiTheme="majorBidi" w:cstheme="majorBidi"/>
          <w:lang w:val="lt-LT"/>
        </w:rPr>
        <w:t>techninė klaida. Tiekėjas teigia, kad šioje dalyje nurodyt</w:t>
      </w:r>
      <w:r w:rsidR="00E528B4" w:rsidRPr="009C2C5B">
        <w:rPr>
          <w:rFonts w:asciiTheme="majorBidi" w:hAnsiTheme="majorBidi" w:cstheme="majorBidi"/>
          <w:lang w:val="lt-LT"/>
        </w:rPr>
        <w:t xml:space="preserve">i reikalavimai nesutampa su TS </w:t>
      </w:r>
      <w:r w:rsidR="00E941E0" w:rsidRPr="009C2C5B">
        <w:rPr>
          <w:rFonts w:asciiTheme="majorBidi" w:hAnsiTheme="majorBidi" w:cstheme="majorBidi"/>
          <w:lang w:val="lt-LT"/>
        </w:rPr>
        <w:t xml:space="preserve">lentelėje nurodytais reikalavimais. </w:t>
      </w:r>
    </w:p>
    <w:p w14:paraId="13A32DB0" w14:textId="491CD4CF" w:rsidR="00E941E0" w:rsidRPr="009C2C5B" w:rsidRDefault="00B418A0" w:rsidP="009C2C5B">
      <w:pPr>
        <w:pStyle w:val="Body2"/>
        <w:spacing w:after="0" w:line="276" w:lineRule="auto"/>
        <w:ind w:firstLine="426"/>
        <w:rPr>
          <w:rFonts w:asciiTheme="majorBidi" w:hAnsiTheme="majorBidi" w:cstheme="majorBidi"/>
          <w:lang w:val="lt-LT"/>
        </w:rPr>
      </w:pPr>
      <w:r w:rsidRPr="009C2C5B">
        <w:rPr>
          <w:rFonts w:asciiTheme="majorBidi" w:hAnsiTheme="majorBidi" w:cstheme="majorBidi"/>
          <w:lang w:val="lt-LT"/>
        </w:rPr>
        <w:t>I</w:t>
      </w:r>
      <w:r w:rsidR="005F4102" w:rsidRPr="009C2C5B">
        <w:rPr>
          <w:rFonts w:asciiTheme="majorBidi" w:hAnsiTheme="majorBidi" w:cstheme="majorBidi"/>
          <w:lang w:val="lt-LT"/>
        </w:rPr>
        <w:t xml:space="preserve">nformuojame, kad </w:t>
      </w:r>
      <w:r w:rsidR="00EE7FF9" w:rsidRPr="009C2C5B">
        <w:rPr>
          <w:rFonts w:asciiTheme="majorBidi" w:hAnsiTheme="majorBidi" w:cstheme="majorBidi"/>
          <w:lang w:val="lt-LT"/>
        </w:rPr>
        <w:t xml:space="preserve">PO </w:t>
      </w:r>
      <w:r w:rsidR="009B53F1" w:rsidRPr="009C2C5B">
        <w:rPr>
          <w:rFonts w:asciiTheme="majorBidi" w:hAnsiTheme="majorBidi" w:cstheme="majorBidi"/>
          <w:lang w:val="lt-LT"/>
        </w:rPr>
        <w:t>vykd</w:t>
      </w:r>
      <w:r w:rsidR="00EE7FF9" w:rsidRPr="009C2C5B">
        <w:rPr>
          <w:rFonts w:asciiTheme="majorBidi" w:hAnsiTheme="majorBidi" w:cstheme="majorBidi"/>
          <w:lang w:val="lt-LT"/>
        </w:rPr>
        <w:t>ydama</w:t>
      </w:r>
      <w:r w:rsidR="009B53F1" w:rsidRPr="009C2C5B">
        <w:rPr>
          <w:rFonts w:asciiTheme="majorBidi" w:hAnsiTheme="majorBidi" w:cstheme="majorBidi"/>
          <w:lang w:val="lt-LT"/>
        </w:rPr>
        <w:t xml:space="preserve"> Linijinio greitintuvo viešąjį pirkimą </w:t>
      </w:r>
      <w:r w:rsidR="00EE7FF9" w:rsidRPr="009C2C5B">
        <w:rPr>
          <w:rFonts w:asciiTheme="majorBidi" w:hAnsiTheme="majorBidi" w:cstheme="majorBidi"/>
          <w:lang w:val="lt-LT"/>
        </w:rPr>
        <w:t>tiekėjų pasiūlymus (</w:t>
      </w:r>
      <w:r w:rsidR="006D5A08" w:rsidRPr="009C2C5B">
        <w:rPr>
          <w:rFonts w:asciiTheme="majorBidi" w:hAnsiTheme="majorBidi" w:cstheme="majorBidi"/>
          <w:lang w:val="lt-LT"/>
        </w:rPr>
        <w:t xml:space="preserve">neatmestus pasiūlymus) </w:t>
      </w:r>
      <w:r w:rsidR="00EE7FF9" w:rsidRPr="009C2C5B">
        <w:rPr>
          <w:rFonts w:asciiTheme="majorBidi" w:hAnsiTheme="majorBidi" w:cstheme="majorBidi"/>
          <w:lang w:val="lt-LT"/>
        </w:rPr>
        <w:t>vertin</w:t>
      </w:r>
      <w:r w:rsidR="006D5A08" w:rsidRPr="009C2C5B">
        <w:rPr>
          <w:rFonts w:asciiTheme="majorBidi" w:hAnsiTheme="majorBidi" w:cstheme="majorBidi"/>
          <w:lang w:val="lt-LT"/>
        </w:rPr>
        <w:t>s</w:t>
      </w:r>
      <w:r w:rsidR="00EE7FF9" w:rsidRPr="009C2C5B">
        <w:rPr>
          <w:rFonts w:asciiTheme="majorBidi" w:hAnsiTheme="majorBidi" w:cstheme="majorBidi"/>
          <w:lang w:val="lt-LT"/>
        </w:rPr>
        <w:t xml:space="preserve"> taikant ekonomiškai naudingiausio pasiūlymo vertinimo kriterijus, kai vertinama kaina ir kokybė.</w:t>
      </w:r>
      <w:r w:rsidR="006D5A08" w:rsidRPr="009C2C5B">
        <w:rPr>
          <w:rFonts w:asciiTheme="majorBidi" w:hAnsiTheme="majorBidi" w:cstheme="majorBidi"/>
          <w:lang w:val="lt-LT"/>
        </w:rPr>
        <w:t xml:space="preserve"> Ekonomiškai naudingiausias pasiūlymas – tai </w:t>
      </w:r>
      <w:r w:rsidR="00891463" w:rsidRPr="009C2C5B">
        <w:rPr>
          <w:rFonts w:asciiTheme="majorBidi" w:hAnsiTheme="majorBidi" w:cstheme="majorBidi"/>
          <w:lang w:val="lt-LT"/>
        </w:rPr>
        <w:t>pasiūlymas</w:t>
      </w:r>
      <w:r w:rsidR="006D5A08" w:rsidRPr="009C2C5B">
        <w:rPr>
          <w:rFonts w:asciiTheme="majorBidi" w:hAnsiTheme="majorBidi" w:cstheme="majorBidi"/>
          <w:lang w:val="lt-LT"/>
        </w:rPr>
        <w:t xml:space="preserve">, kurio balų suma, apskaičiuota pagal </w:t>
      </w:r>
      <w:r w:rsidR="00891463" w:rsidRPr="009C2C5B">
        <w:rPr>
          <w:rFonts w:asciiTheme="majorBidi" w:hAnsiTheme="majorBidi" w:cstheme="majorBidi"/>
          <w:lang w:val="lt-LT"/>
        </w:rPr>
        <w:t xml:space="preserve">„Vertinimo tvarka“ </w:t>
      </w:r>
      <w:r w:rsidR="006D5A08" w:rsidRPr="009C2C5B">
        <w:rPr>
          <w:rFonts w:asciiTheme="majorBidi" w:hAnsiTheme="majorBidi" w:cstheme="majorBidi"/>
          <w:lang w:val="lt-LT"/>
        </w:rPr>
        <w:t xml:space="preserve">nustatytus </w:t>
      </w:r>
      <w:r w:rsidR="0023181D" w:rsidRPr="009C2C5B">
        <w:rPr>
          <w:rFonts w:asciiTheme="majorBidi" w:hAnsiTheme="majorBidi" w:cstheme="majorBidi"/>
          <w:lang w:val="lt-LT"/>
        </w:rPr>
        <w:t>pasiūlymų</w:t>
      </w:r>
      <w:r w:rsidR="006D5A08" w:rsidRPr="009C2C5B">
        <w:rPr>
          <w:rFonts w:asciiTheme="majorBidi" w:hAnsiTheme="majorBidi" w:cstheme="majorBidi"/>
          <w:lang w:val="lt-LT"/>
        </w:rPr>
        <w:t xml:space="preserve">̨ vertinimo kriterijus ir </w:t>
      </w:r>
      <w:r w:rsidR="0023181D" w:rsidRPr="009C2C5B">
        <w:rPr>
          <w:rFonts w:asciiTheme="majorBidi" w:hAnsiTheme="majorBidi" w:cstheme="majorBidi"/>
          <w:lang w:val="lt-LT"/>
        </w:rPr>
        <w:t>sąlygas</w:t>
      </w:r>
      <w:r w:rsidR="006D5A08" w:rsidRPr="009C2C5B">
        <w:rPr>
          <w:rFonts w:asciiTheme="majorBidi" w:hAnsiTheme="majorBidi" w:cstheme="majorBidi"/>
          <w:lang w:val="lt-LT"/>
        </w:rPr>
        <w:t>, yra didžiausia.</w:t>
      </w:r>
    </w:p>
    <w:p w14:paraId="03D7CB15" w14:textId="30C02478" w:rsidR="00E405A6" w:rsidRPr="009C2C5B" w:rsidRDefault="00E405A6"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PO vadovaudamasi Viešųjų pirkimų įstatymo (toliau – VPĮ) 55 str. 4 d. nustatė pasiūlymų vertinimo kriterij</w:t>
      </w:r>
      <w:r w:rsidR="00FD23AE" w:rsidRPr="009C2C5B">
        <w:rPr>
          <w:rFonts w:asciiTheme="majorBidi" w:hAnsiTheme="majorBidi" w:cstheme="majorBidi"/>
          <w:lang w:val="lt-LT"/>
        </w:rPr>
        <w:t>us</w:t>
      </w:r>
      <w:r w:rsidRPr="009C2C5B">
        <w:rPr>
          <w:rFonts w:asciiTheme="majorBidi" w:hAnsiTheme="majorBidi" w:cstheme="majorBidi"/>
          <w:lang w:val="lt-LT"/>
        </w:rPr>
        <w:t xml:space="preserve"> susi</w:t>
      </w:r>
      <w:r w:rsidR="00FD23AE" w:rsidRPr="009C2C5B">
        <w:rPr>
          <w:rFonts w:asciiTheme="majorBidi" w:hAnsiTheme="majorBidi" w:cstheme="majorBidi"/>
          <w:lang w:val="lt-LT"/>
        </w:rPr>
        <w:t>jusius</w:t>
      </w:r>
      <w:r w:rsidRPr="009C2C5B">
        <w:rPr>
          <w:rFonts w:asciiTheme="majorBidi" w:hAnsiTheme="majorBidi" w:cstheme="majorBidi"/>
          <w:lang w:val="lt-LT"/>
        </w:rPr>
        <w:t xml:space="preserve"> su pirkimo objektu,</w:t>
      </w:r>
      <w:r w:rsidR="00FD23AE" w:rsidRPr="009C2C5B">
        <w:rPr>
          <w:rFonts w:asciiTheme="majorBidi" w:hAnsiTheme="majorBidi" w:cstheme="majorBidi"/>
          <w:lang w:val="lt-LT"/>
        </w:rPr>
        <w:t xml:space="preserve"> kurie turi esminės įtakos </w:t>
      </w:r>
      <w:r w:rsidR="005C6E81" w:rsidRPr="009C2C5B">
        <w:rPr>
          <w:rFonts w:asciiTheme="majorBidi" w:hAnsiTheme="majorBidi" w:cstheme="majorBidi"/>
          <w:lang w:val="lt-LT"/>
        </w:rPr>
        <w:t>įsigyjam</w:t>
      </w:r>
      <w:r w:rsidR="004C51DE" w:rsidRPr="009C2C5B">
        <w:rPr>
          <w:rFonts w:asciiTheme="majorBidi" w:hAnsiTheme="majorBidi" w:cstheme="majorBidi"/>
          <w:lang w:val="lt-LT"/>
        </w:rPr>
        <w:t>o</w:t>
      </w:r>
      <w:r w:rsidR="005C6E81" w:rsidRPr="009C2C5B">
        <w:rPr>
          <w:rFonts w:asciiTheme="majorBidi" w:hAnsiTheme="majorBidi" w:cstheme="majorBidi"/>
          <w:lang w:val="lt-LT"/>
        </w:rPr>
        <w:t xml:space="preserve"> linijini</w:t>
      </w:r>
      <w:r w:rsidR="004C51DE" w:rsidRPr="009C2C5B">
        <w:rPr>
          <w:rFonts w:asciiTheme="majorBidi" w:hAnsiTheme="majorBidi" w:cstheme="majorBidi"/>
          <w:lang w:val="lt-LT"/>
        </w:rPr>
        <w:t>o</w:t>
      </w:r>
      <w:r w:rsidR="005C6E81" w:rsidRPr="009C2C5B">
        <w:rPr>
          <w:rFonts w:asciiTheme="majorBidi" w:hAnsiTheme="majorBidi" w:cstheme="majorBidi"/>
          <w:lang w:val="lt-LT"/>
        </w:rPr>
        <w:t xml:space="preserve"> greitintuv</w:t>
      </w:r>
      <w:r w:rsidR="004C51DE" w:rsidRPr="009C2C5B">
        <w:rPr>
          <w:rFonts w:asciiTheme="majorBidi" w:hAnsiTheme="majorBidi" w:cstheme="majorBidi"/>
          <w:lang w:val="lt-LT"/>
        </w:rPr>
        <w:t>o</w:t>
      </w:r>
      <w:r w:rsidR="005C6E81" w:rsidRPr="009C2C5B">
        <w:rPr>
          <w:rFonts w:asciiTheme="majorBidi" w:hAnsiTheme="majorBidi" w:cstheme="majorBidi"/>
          <w:lang w:val="lt-LT"/>
        </w:rPr>
        <w:t xml:space="preserve"> </w:t>
      </w:r>
      <w:r w:rsidR="00232C75" w:rsidRPr="009C2C5B">
        <w:rPr>
          <w:rFonts w:asciiTheme="majorBidi" w:hAnsiTheme="majorBidi" w:cstheme="majorBidi"/>
          <w:lang w:val="lt-LT"/>
        </w:rPr>
        <w:t>kokybei</w:t>
      </w:r>
      <w:r w:rsidRPr="009C2C5B">
        <w:rPr>
          <w:rFonts w:asciiTheme="majorBidi" w:hAnsiTheme="majorBidi" w:cstheme="majorBidi"/>
          <w:lang w:val="lt-LT"/>
        </w:rPr>
        <w:t>.</w:t>
      </w:r>
      <w:r w:rsidR="004C51DE" w:rsidRPr="009C2C5B">
        <w:rPr>
          <w:rFonts w:asciiTheme="majorBidi" w:hAnsiTheme="majorBidi" w:cstheme="majorBidi"/>
          <w:lang w:val="lt-LT"/>
        </w:rPr>
        <w:t xml:space="preserve"> </w:t>
      </w:r>
      <w:r w:rsidR="00BF269D" w:rsidRPr="009C2C5B">
        <w:rPr>
          <w:rFonts w:asciiTheme="majorBidi" w:hAnsiTheme="majorBidi" w:cstheme="majorBidi"/>
          <w:lang w:val="lt-LT"/>
        </w:rPr>
        <w:t>Tiekėjai pildydam</w:t>
      </w:r>
      <w:r w:rsidR="00BF5E0C" w:rsidRPr="009C2C5B">
        <w:rPr>
          <w:rFonts w:asciiTheme="majorBidi" w:hAnsiTheme="majorBidi" w:cstheme="majorBidi"/>
          <w:lang w:val="lt-LT"/>
        </w:rPr>
        <w:t>i</w:t>
      </w:r>
      <w:r w:rsidR="00BF269D" w:rsidRPr="009C2C5B">
        <w:rPr>
          <w:rFonts w:asciiTheme="majorBidi" w:hAnsiTheme="majorBidi" w:cstheme="majorBidi"/>
          <w:lang w:val="lt-LT"/>
        </w:rPr>
        <w:t xml:space="preserve"> „Pasiūlymas“ dalį</w:t>
      </w:r>
      <w:r w:rsidR="00BF5E0C" w:rsidRPr="009C2C5B">
        <w:rPr>
          <w:rFonts w:asciiTheme="majorBidi" w:hAnsiTheme="majorBidi" w:cstheme="majorBidi"/>
          <w:lang w:val="lt-LT"/>
        </w:rPr>
        <w:t xml:space="preserve"> „</w:t>
      </w:r>
      <w:r w:rsidR="00BF5E0C" w:rsidRPr="009C2C5B">
        <w:rPr>
          <w:rFonts w:asciiTheme="majorBidi" w:hAnsiTheme="majorBidi" w:cstheme="majorBidi"/>
          <w:i/>
          <w:iCs/>
          <w:lang w:val="lt-LT"/>
        </w:rPr>
        <w:t>2. Siūlomi techniniai funkcionalumai (Pildo Tiekėjas):</w:t>
      </w:r>
      <w:r w:rsidR="00BF5E0C" w:rsidRPr="009C2C5B">
        <w:rPr>
          <w:rFonts w:asciiTheme="majorBidi" w:hAnsiTheme="majorBidi" w:cstheme="majorBidi"/>
          <w:lang w:val="lt-LT"/>
        </w:rPr>
        <w:t>“</w:t>
      </w:r>
      <w:r w:rsidR="00BF269D" w:rsidRPr="009C2C5B">
        <w:rPr>
          <w:rFonts w:asciiTheme="majorBidi" w:hAnsiTheme="majorBidi" w:cstheme="majorBidi"/>
          <w:lang w:val="lt-LT"/>
        </w:rPr>
        <w:t xml:space="preserve"> turi nurodyti ar siūlomas linijinis greitintuvas </w:t>
      </w:r>
      <w:r w:rsidR="007077C4" w:rsidRPr="009C2C5B">
        <w:rPr>
          <w:rFonts w:asciiTheme="majorBidi" w:hAnsiTheme="majorBidi" w:cstheme="majorBidi"/>
          <w:lang w:val="lt-LT"/>
        </w:rPr>
        <w:t>turi / atitinka nustatytus technini</w:t>
      </w:r>
      <w:r w:rsidR="00546003" w:rsidRPr="009C2C5B">
        <w:rPr>
          <w:rFonts w:asciiTheme="majorBidi" w:hAnsiTheme="majorBidi" w:cstheme="majorBidi"/>
          <w:lang w:val="lt-LT"/>
        </w:rPr>
        <w:t>ų</w:t>
      </w:r>
      <w:r w:rsidR="007077C4" w:rsidRPr="009C2C5B">
        <w:rPr>
          <w:rFonts w:asciiTheme="majorBidi" w:hAnsiTheme="majorBidi" w:cstheme="majorBidi"/>
          <w:lang w:val="lt-LT"/>
        </w:rPr>
        <w:t xml:space="preserve"> pranaš</w:t>
      </w:r>
      <w:r w:rsidR="00546003" w:rsidRPr="009C2C5B">
        <w:rPr>
          <w:rFonts w:asciiTheme="majorBidi" w:hAnsiTheme="majorBidi" w:cstheme="majorBidi"/>
          <w:lang w:val="lt-LT"/>
        </w:rPr>
        <w:t>umų parametrus</w:t>
      </w:r>
      <w:r w:rsidR="00CD7DBB" w:rsidRPr="009C2C5B">
        <w:rPr>
          <w:rFonts w:asciiTheme="majorBidi" w:hAnsiTheme="majorBidi" w:cstheme="majorBidi"/>
          <w:lang w:val="lt-LT"/>
        </w:rPr>
        <w:t xml:space="preserve">. Ši tiekėjų pateikiamas informacija, kaip ir </w:t>
      </w:r>
      <w:r w:rsidR="00AB40E0" w:rsidRPr="009C2C5B">
        <w:rPr>
          <w:rFonts w:asciiTheme="majorBidi" w:hAnsiTheme="majorBidi" w:cstheme="majorBidi"/>
          <w:lang w:val="lt-LT"/>
        </w:rPr>
        <w:t xml:space="preserve">nurodomas modelis, gamintojas, pasiūlymo kaina ir kt., </w:t>
      </w:r>
      <w:r w:rsidR="00CD7DBB" w:rsidRPr="009C2C5B">
        <w:rPr>
          <w:rFonts w:asciiTheme="majorBidi" w:hAnsiTheme="majorBidi" w:cstheme="majorBidi"/>
          <w:lang w:val="lt-LT"/>
        </w:rPr>
        <w:t>yra neatsiejama pasiūlymo pateikimo dalis</w:t>
      </w:r>
      <w:r w:rsidR="00AB40E0" w:rsidRPr="009C2C5B">
        <w:rPr>
          <w:rFonts w:asciiTheme="majorBidi" w:hAnsiTheme="majorBidi" w:cstheme="majorBidi"/>
          <w:lang w:val="lt-LT"/>
        </w:rPr>
        <w:t xml:space="preserve"> ir tiekėjų turi būti užpildyta.</w:t>
      </w:r>
    </w:p>
    <w:p w14:paraId="7FE0B625" w14:textId="2C3042C6" w:rsidR="004C51DE" w:rsidRPr="009C2C5B" w:rsidRDefault="00D05C4E"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Ekonominio naudingumo vertinimo tvarkoje</w:t>
      </w:r>
      <w:r w:rsidR="0054795D" w:rsidRPr="009C2C5B">
        <w:rPr>
          <w:rFonts w:asciiTheme="majorBidi" w:hAnsiTheme="majorBidi" w:cstheme="majorBidi"/>
          <w:lang w:val="lt-LT"/>
        </w:rPr>
        <w:t xml:space="preserve"> </w:t>
      </w:r>
      <w:r w:rsidRPr="009C2C5B">
        <w:rPr>
          <w:rFonts w:asciiTheme="majorBidi" w:hAnsiTheme="majorBidi" w:cstheme="majorBidi"/>
          <w:lang w:val="lt-LT"/>
        </w:rPr>
        <w:t xml:space="preserve">yra nustatyti techniniai </w:t>
      </w:r>
      <w:r w:rsidR="00C617C6" w:rsidRPr="009C2C5B">
        <w:rPr>
          <w:rFonts w:asciiTheme="majorBidi" w:hAnsiTheme="majorBidi" w:cstheme="majorBidi"/>
          <w:lang w:val="lt-LT"/>
        </w:rPr>
        <w:t xml:space="preserve">privalumai už kuriuos tiekėjai gali gauti papildomus </w:t>
      </w:r>
      <w:r w:rsidR="00D709CC" w:rsidRPr="009C2C5B">
        <w:rPr>
          <w:rFonts w:asciiTheme="majorBidi" w:hAnsiTheme="majorBidi" w:cstheme="majorBidi"/>
          <w:lang w:val="lt-LT"/>
        </w:rPr>
        <w:t xml:space="preserve">balus, pagal nustatytus lyginamuosius svorius. </w:t>
      </w:r>
      <w:r w:rsidR="0054795D" w:rsidRPr="009C2C5B">
        <w:rPr>
          <w:rFonts w:asciiTheme="majorBidi" w:hAnsiTheme="majorBidi" w:cstheme="majorBidi"/>
          <w:lang w:val="lt-LT"/>
        </w:rPr>
        <w:t>Visa vertinimo tvarka</w:t>
      </w:r>
      <w:r w:rsidR="00903CD3" w:rsidRPr="009C2C5B">
        <w:rPr>
          <w:rFonts w:asciiTheme="majorBidi" w:hAnsiTheme="majorBidi" w:cstheme="majorBidi"/>
          <w:lang w:val="lt-LT"/>
        </w:rPr>
        <w:t xml:space="preserve"> (formulės, lyginamieji svoriai</w:t>
      </w:r>
      <w:r w:rsidR="00581063" w:rsidRPr="009C2C5B">
        <w:rPr>
          <w:rFonts w:asciiTheme="majorBidi" w:hAnsiTheme="majorBidi" w:cstheme="majorBidi"/>
          <w:lang w:val="lt-LT"/>
        </w:rPr>
        <w:t xml:space="preserve"> ir kt.</w:t>
      </w:r>
      <w:r w:rsidR="00903CD3" w:rsidRPr="009C2C5B">
        <w:rPr>
          <w:rFonts w:asciiTheme="majorBidi" w:hAnsiTheme="majorBidi" w:cstheme="majorBidi"/>
          <w:lang w:val="lt-LT"/>
        </w:rPr>
        <w:t>)</w:t>
      </w:r>
      <w:r w:rsidR="0054795D" w:rsidRPr="009C2C5B">
        <w:rPr>
          <w:rFonts w:asciiTheme="majorBidi" w:hAnsiTheme="majorBidi" w:cstheme="majorBidi"/>
          <w:lang w:val="lt-LT"/>
        </w:rPr>
        <w:t xml:space="preserve"> yra aiškiai</w:t>
      </w:r>
      <w:r w:rsidR="008C4B81" w:rsidRPr="009C2C5B">
        <w:rPr>
          <w:rFonts w:asciiTheme="majorBidi" w:hAnsiTheme="majorBidi" w:cstheme="majorBidi"/>
          <w:lang w:val="lt-LT"/>
        </w:rPr>
        <w:t>,</w:t>
      </w:r>
      <w:r w:rsidR="0054795D" w:rsidRPr="009C2C5B">
        <w:rPr>
          <w:rFonts w:asciiTheme="majorBidi" w:hAnsiTheme="majorBidi" w:cstheme="majorBidi"/>
          <w:lang w:val="lt-LT"/>
        </w:rPr>
        <w:t xml:space="preserve"> skaidriai </w:t>
      </w:r>
      <w:r w:rsidR="008C4B81" w:rsidRPr="009C2C5B">
        <w:rPr>
          <w:rFonts w:asciiTheme="majorBidi" w:hAnsiTheme="majorBidi" w:cstheme="majorBidi"/>
          <w:lang w:val="lt-LT"/>
        </w:rPr>
        <w:t xml:space="preserve">ir svarbiausia savalaikiai </w:t>
      </w:r>
      <w:r w:rsidR="0054795D" w:rsidRPr="009C2C5B">
        <w:rPr>
          <w:rFonts w:asciiTheme="majorBidi" w:hAnsiTheme="majorBidi" w:cstheme="majorBidi"/>
          <w:lang w:val="lt-LT"/>
        </w:rPr>
        <w:t>išviešinta</w:t>
      </w:r>
      <w:r w:rsidR="008C4B81" w:rsidRPr="009C2C5B">
        <w:rPr>
          <w:rFonts w:asciiTheme="majorBidi" w:hAnsiTheme="majorBidi" w:cstheme="majorBidi"/>
          <w:lang w:val="lt-LT"/>
        </w:rPr>
        <w:t xml:space="preserve"> visiems suinteresuotiems ūkio subjektams.</w:t>
      </w:r>
      <w:r w:rsidR="00EA2D5E" w:rsidRPr="009C2C5B">
        <w:rPr>
          <w:rFonts w:asciiTheme="majorBidi" w:hAnsiTheme="majorBidi" w:cstheme="majorBidi"/>
          <w:lang w:val="lt-LT"/>
        </w:rPr>
        <w:t xml:space="preserve"> </w:t>
      </w:r>
      <w:r w:rsidR="00F16BC2" w:rsidRPr="009C2C5B">
        <w:rPr>
          <w:rFonts w:asciiTheme="majorBidi" w:hAnsiTheme="majorBidi" w:cstheme="majorBidi"/>
          <w:lang w:val="lt-LT"/>
        </w:rPr>
        <w:t>Vertinimo tvarka ir sąlygos yra pateiktos Pirkimų dokumento „</w:t>
      </w:r>
      <w:r w:rsidR="00F16BC2" w:rsidRPr="009C2C5B">
        <w:rPr>
          <w:rFonts w:asciiTheme="majorBidi" w:hAnsiTheme="majorBidi" w:cstheme="majorBidi"/>
          <w:i/>
          <w:iCs/>
          <w:lang w:val="lt-LT"/>
        </w:rPr>
        <w:t>Vertinimo sąlygos</w:t>
      </w:r>
      <w:r w:rsidR="00F16BC2" w:rsidRPr="009C2C5B">
        <w:rPr>
          <w:rFonts w:asciiTheme="majorBidi" w:hAnsiTheme="majorBidi" w:cstheme="majorBidi"/>
          <w:lang w:val="lt-LT"/>
        </w:rPr>
        <w:t>“, „</w:t>
      </w:r>
      <w:r w:rsidR="00F16BC2" w:rsidRPr="009C2C5B">
        <w:rPr>
          <w:rFonts w:asciiTheme="majorBidi" w:hAnsiTheme="majorBidi" w:cstheme="majorBidi"/>
          <w:i/>
          <w:iCs/>
          <w:lang w:val="lt-LT"/>
        </w:rPr>
        <w:t>Vertinimo tvarka</w:t>
      </w:r>
      <w:r w:rsidR="00F16BC2" w:rsidRPr="009C2C5B">
        <w:rPr>
          <w:rFonts w:asciiTheme="majorBidi" w:hAnsiTheme="majorBidi" w:cstheme="majorBidi"/>
          <w:lang w:val="lt-LT"/>
        </w:rPr>
        <w:t>“</w:t>
      </w:r>
      <w:r w:rsidR="00903CD3" w:rsidRPr="009C2C5B">
        <w:rPr>
          <w:rFonts w:asciiTheme="majorBidi" w:hAnsiTheme="majorBidi" w:cstheme="majorBidi"/>
          <w:lang w:val="lt-LT"/>
        </w:rPr>
        <w:t xml:space="preserve"> lapuose.</w:t>
      </w:r>
    </w:p>
    <w:p w14:paraId="5A4336E0" w14:textId="721CD686" w:rsidR="00FB5EC7" w:rsidRPr="009C2C5B" w:rsidRDefault="00FB5EC7"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Įvertinus išdėstytus argumentus informuojame, kad Pirkimo dokumentų priedo „</w:t>
      </w:r>
      <w:r w:rsidRPr="009C2C5B">
        <w:rPr>
          <w:rFonts w:asciiTheme="majorBidi" w:hAnsiTheme="majorBidi" w:cstheme="majorBidi"/>
          <w:i/>
          <w:iCs/>
          <w:lang w:val="lt-LT"/>
        </w:rPr>
        <w:t>3_1.TS_LG</w:t>
      </w:r>
      <w:r w:rsidRPr="009C2C5B">
        <w:rPr>
          <w:rFonts w:asciiTheme="majorBidi" w:hAnsiTheme="majorBidi" w:cstheme="majorBidi"/>
          <w:lang w:val="lt-LT"/>
        </w:rPr>
        <w:t>“ lape „</w:t>
      </w:r>
      <w:r w:rsidRPr="009C2C5B">
        <w:rPr>
          <w:rFonts w:asciiTheme="majorBidi" w:hAnsiTheme="majorBidi" w:cstheme="majorBidi"/>
          <w:i/>
          <w:iCs/>
          <w:lang w:val="lt-LT"/>
        </w:rPr>
        <w:t>Pasiūlymas</w:t>
      </w:r>
      <w:r w:rsidRPr="009C2C5B">
        <w:rPr>
          <w:rFonts w:asciiTheme="majorBidi" w:hAnsiTheme="majorBidi" w:cstheme="majorBidi"/>
          <w:lang w:val="lt-LT"/>
        </w:rPr>
        <w:t>“ tiekėjų reikalaujamoje užpildyti dalyje „</w:t>
      </w:r>
      <w:r w:rsidRPr="009C2C5B">
        <w:rPr>
          <w:rFonts w:asciiTheme="majorBidi" w:hAnsiTheme="majorBidi" w:cstheme="majorBidi"/>
          <w:i/>
          <w:iCs/>
          <w:lang w:val="lt-LT"/>
        </w:rPr>
        <w:t>2. Siūlomi techniniai funkcionalumai (Pildo Tiekėjas):</w:t>
      </w:r>
      <w:r w:rsidRPr="009C2C5B">
        <w:rPr>
          <w:rFonts w:asciiTheme="majorBidi" w:hAnsiTheme="majorBidi" w:cstheme="majorBidi"/>
          <w:lang w:val="lt-LT"/>
        </w:rPr>
        <w:t xml:space="preserve">“ </w:t>
      </w:r>
      <w:r w:rsidRPr="009C2C5B">
        <w:rPr>
          <w:rFonts w:asciiTheme="majorBidi" w:hAnsiTheme="majorBidi" w:cstheme="majorBidi"/>
          <w:b/>
          <w:bCs/>
          <w:u w:val="single"/>
          <w:lang w:val="lt-LT"/>
        </w:rPr>
        <w:t>nėra</w:t>
      </w:r>
      <w:r w:rsidRPr="009C2C5B">
        <w:rPr>
          <w:rFonts w:asciiTheme="majorBidi" w:hAnsiTheme="majorBidi" w:cstheme="majorBidi"/>
          <w:lang w:val="lt-LT"/>
        </w:rPr>
        <w:t xml:space="preserve"> įsivėlusi techninė klaida</w:t>
      </w:r>
      <w:r w:rsidR="005817C7" w:rsidRPr="009C2C5B">
        <w:rPr>
          <w:rFonts w:asciiTheme="majorBidi" w:hAnsiTheme="majorBidi" w:cstheme="majorBidi"/>
          <w:lang w:val="lt-LT"/>
        </w:rPr>
        <w:t xml:space="preserve"> ir Pirkimo dokumentai nebus koreguojami.</w:t>
      </w:r>
    </w:p>
    <w:p w14:paraId="6ECD73D1" w14:textId="77777777" w:rsidR="00590803" w:rsidRPr="00905E8A" w:rsidRDefault="00590803" w:rsidP="009C2C5B">
      <w:pPr>
        <w:pStyle w:val="Body2"/>
        <w:spacing w:after="0" w:line="276" w:lineRule="auto"/>
        <w:ind w:firstLine="426"/>
        <w:rPr>
          <w:rFonts w:asciiTheme="majorBidi" w:hAnsiTheme="majorBidi" w:cstheme="majorBidi"/>
          <w:sz w:val="16"/>
          <w:szCs w:val="16"/>
          <w:lang w:val="lt-LT"/>
        </w:rPr>
      </w:pPr>
    </w:p>
    <w:p w14:paraId="73934FB1" w14:textId="7D5351B5" w:rsidR="00DD5B79" w:rsidRPr="009C2C5B" w:rsidRDefault="00950278" w:rsidP="009C2C5B">
      <w:pPr>
        <w:pStyle w:val="Body2"/>
        <w:spacing w:after="0" w:line="276" w:lineRule="auto"/>
        <w:ind w:firstLine="567"/>
        <w:rPr>
          <w:rFonts w:asciiTheme="majorBidi" w:hAnsiTheme="majorBidi" w:cstheme="majorBidi"/>
          <w:b/>
          <w:bCs/>
          <w:lang w:val="lt-LT"/>
        </w:rPr>
      </w:pPr>
      <w:r w:rsidRPr="009C2C5B">
        <w:rPr>
          <w:rFonts w:asciiTheme="majorBidi" w:hAnsiTheme="majorBidi" w:cstheme="majorBidi"/>
          <w:b/>
          <w:bCs/>
          <w:lang w:val="lt-LT"/>
        </w:rPr>
        <w:t xml:space="preserve">2. </w:t>
      </w:r>
      <w:r w:rsidR="00DD5B79" w:rsidRPr="009C2C5B">
        <w:rPr>
          <w:rFonts w:asciiTheme="majorBidi" w:hAnsiTheme="majorBidi" w:cstheme="majorBidi"/>
          <w:b/>
          <w:bCs/>
          <w:lang w:val="lt-LT"/>
        </w:rPr>
        <w:t>Dėl Pasiūlymų pateikimo formos ir turinio</w:t>
      </w:r>
    </w:p>
    <w:p w14:paraId="01765CC5" w14:textId="61BC486B" w:rsidR="004B2DA1" w:rsidRPr="009C2C5B" w:rsidRDefault="009F26A3"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N</w:t>
      </w:r>
      <w:r w:rsidR="000907E5" w:rsidRPr="009C2C5B">
        <w:rPr>
          <w:rFonts w:asciiTheme="majorBidi" w:hAnsiTheme="majorBidi" w:cstheme="majorBidi"/>
          <w:lang w:val="lt-LT"/>
        </w:rPr>
        <w:t>ekeisdami pasiūlymo esmės, paaiškiname</w:t>
      </w:r>
      <w:r w:rsidR="0030050B" w:rsidRPr="009C2C5B">
        <w:rPr>
          <w:rFonts w:asciiTheme="majorBidi" w:hAnsiTheme="majorBidi" w:cstheme="majorBidi"/>
          <w:lang w:val="lt-LT"/>
        </w:rPr>
        <w:t xml:space="preserve">, </w:t>
      </w:r>
      <w:r w:rsidR="000907E5" w:rsidRPr="009C2C5B">
        <w:rPr>
          <w:rFonts w:asciiTheme="majorBidi" w:hAnsiTheme="majorBidi" w:cstheme="majorBidi"/>
          <w:lang w:val="lt-LT"/>
        </w:rPr>
        <w:t>kad TS 9. 4 p. reikalavimas</w:t>
      </w:r>
      <w:r w:rsidR="009C2C5B">
        <w:rPr>
          <w:rFonts w:asciiTheme="majorBidi" w:hAnsiTheme="majorBidi" w:cstheme="majorBidi"/>
          <w:lang w:val="lt-LT"/>
        </w:rPr>
        <w:t>,</w:t>
      </w:r>
    </w:p>
    <w:tbl>
      <w:tblPr>
        <w:tblW w:w="9776" w:type="dxa"/>
        <w:tblCellMar>
          <w:top w:w="15" w:type="dxa"/>
        </w:tblCellMar>
        <w:tblLook w:val="04A0" w:firstRow="1" w:lastRow="0" w:firstColumn="1" w:lastColumn="0" w:noHBand="0" w:noVBand="1"/>
      </w:tblPr>
      <w:tblGrid>
        <w:gridCol w:w="636"/>
        <w:gridCol w:w="4604"/>
        <w:gridCol w:w="4536"/>
      </w:tblGrid>
      <w:tr w:rsidR="00525229" w:rsidRPr="009C2C5B" w14:paraId="096C7D34" w14:textId="77777777" w:rsidTr="0029275F">
        <w:trPr>
          <w:trHeight w:val="320"/>
        </w:trPr>
        <w:tc>
          <w:tcPr>
            <w:tcW w:w="636"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2111F36" w14:textId="3D1542C0" w:rsidR="00525229" w:rsidRPr="009C2C5B" w:rsidRDefault="00525229" w:rsidP="009C2C5B">
            <w:pPr>
              <w:spacing w:line="276" w:lineRule="auto"/>
              <w:jc w:val="center"/>
              <w:rPr>
                <w:rFonts w:asciiTheme="majorBidi" w:hAnsiTheme="majorBidi" w:cstheme="majorBidi"/>
                <w:sz w:val="22"/>
                <w:szCs w:val="22"/>
              </w:rPr>
            </w:pPr>
            <w:r w:rsidRPr="009C2C5B">
              <w:rPr>
                <w:rFonts w:asciiTheme="majorBidi" w:hAnsiTheme="majorBidi" w:cstheme="majorBidi"/>
                <w:sz w:val="22"/>
                <w:szCs w:val="22"/>
              </w:rPr>
              <w:t>9.4</w:t>
            </w:r>
          </w:p>
        </w:tc>
        <w:tc>
          <w:tcPr>
            <w:tcW w:w="4604"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5E7271F" w14:textId="77777777" w:rsidR="00525229" w:rsidRPr="009C2C5B" w:rsidRDefault="00525229" w:rsidP="009C2C5B">
            <w:pPr>
              <w:spacing w:line="276" w:lineRule="auto"/>
              <w:rPr>
                <w:rFonts w:asciiTheme="majorBidi" w:hAnsiTheme="majorBidi" w:cstheme="majorBidi"/>
                <w:sz w:val="22"/>
                <w:szCs w:val="22"/>
              </w:rPr>
            </w:pPr>
            <w:r w:rsidRPr="009C2C5B">
              <w:rPr>
                <w:rFonts w:asciiTheme="majorBidi" w:hAnsiTheme="majorBidi" w:cstheme="majorBidi"/>
                <w:sz w:val="22"/>
                <w:szCs w:val="22"/>
              </w:rPr>
              <w:t>Siūlomos sistemos instaliavimas, montavimas, įskaitant projekto radiacinei saugai paruošimą bei jo ekspertizę ir paruošimas eksploatacijai pagal Lietuvos higienos normos HN 95:2015 „Radiacinė sauga ir kokybės laidavimas taikant spindulinę terapiją“ VIII skirsnio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FD49532" w14:textId="1FFD8DBA" w:rsidR="005558E9" w:rsidRPr="009C2C5B" w:rsidRDefault="005558E9" w:rsidP="009C2C5B">
            <w:pPr>
              <w:spacing w:line="276" w:lineRule="auto"/>
              <w:rPr>
                <w:rFonts w:asciiTheme="majorBidi" w:hAnsiTheme="majorBidi" w:cstheme="majorBidi"/>
                <w:sz w:val="22"/>
                <w:szCs w:val="22"/>
              </w:rPr>
            </w:pPr>
            <w:r w:rsidRPr="009C2C5B">
              <w:rPr>
                <w:rFonts w:asciiTheme="majorBidi" w:hAnsiTheme="majorBidi" w:cstheme="majorBidi"/>
                <w:sz w:val="22"/>
                <w:szCs w:val="22"/>
              </w:rPr>
              <w:t>Visi instaliavimo, montavimo, paruošimo eksploatacijai darbai, įskaitant projekto radiacinei saugai paruošimą bei jo ekspertizę kaštai turi būti įtraukti į galutinę pasiūlymo kainą.</w:t>
            </w:r>
          </w:p>
        </w:tc>
      </w:tr>
      <w:tr w:rsidR="00525229" w:rsidRPr="009C2C5B" w14:paraId="15B159B2"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20BE5CC"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3D7B7589"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458EBFA"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53D05797"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FCAB1FE"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2E1B3D2F"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606FABB"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3369052E"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ABD1D42"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44187246"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8E4C6A9"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2EE4ACD8"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EF8789F"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7D384D77"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400C909"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4347BE1C"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5C7B6EF"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29C1A7D9"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550EC14"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5C623BE3"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550BDE"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03B5195F"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59AFD32"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3B536928"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A06774"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07ADADE0"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CF430F5"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7ACA25AE"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9F60491"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3E19EAC5"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35054F9" w14:textId="77777777" w:rsidR="00525229" w:rsidRPr="009C2C5B" w:rsidRDefault="00525229" w:rsidP="009C2C5B">
            <w:pPr>
              <w:spacing w:line="276" w:lineRule="auto"/>
              <w:rPr>
                <w:rFonts w:asciiTheme="majorBidi" w:hAnsiTheme="majorBidi" w:cstheme="majorBidi"/>
                <w:sz w:val="22"/>
                <w:szCs w:val="22"/>
              </w:rPr>
            </w:pPr>
          </w:p>
        </w:tc>
      </w:tr>
      <w:tr w:rsidR="00525229" w:rsidRPr="009C2C5B" w14:paraId="139BB830" w14:textId="77777777" w:rsidTr="0029275F">
        <w:trPr>
          <w:trHeight w:val="3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1477FA" w14:textId="77777777" w:rsidR="00525229" w:rsidRPr="009C2C5B" w:rsidRDefault="00525229" w:rsidP="009C2C5B">
            <w:pPr>
              <w:spacing w:line="276" w:lineRule="auto"/>
              <w:rPr>
                <w:rFonts w:asciiTheme="majorBidi" w:hAnsiTheme="majorBidi" w:cstheme="majorBidi"/>
                <w:sz w:val="22"/>
                <w:szCs w:val="22"/>
              </w:rPr>
            </w:pPr>
          </w:p>
        </w:tc>
        <w:tc>
          <w:tcPr>
            <w:tcW w:w="4604" w:type="dxa"/>
            <w:vMerge/>
            <w:tcBorders>
              <w:top w:val="single" w:sz="4" w:space="0" w:color="auto"/>
              <w:left w:val="single" w:sz="4" w:space="0" w:color="auto"/>
              <w:bottom w:val="single" w:sz="4" w:space="0" w:color="auto"/>
              <w:right w:val="single" w:sz="4" w:space="0" w:color="auto"/>
            </w:tcBorders>
            <w:vAlign w:val="center"/>
            <w:hideMark/>
          </w:tcPr>
          <w:p w14:paraId="044B7DBA" w14:textId="77777777" w:rsidR="00525229" w:rsidRPr="009C2C5B" w:rsidRDefault="00525229" w:rsidP="009C2C5B">
            <w:pPr>
              <w:spacing w:line="276" w:lineRule="auto"/>
              <w:rPr>
                <w:rFonts w:asciiTheme="majorBidi" w:hAnsiTheme="majorBidi" w:cstheme="majorBidi"/>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F22FC1F" w14:textId="77777777" w:rsidR="00525229" w:rsidRPr="009C2C5B" w:rsidRDefault="00525229" w:rsidP="009C2C5B">
            <w:pPr>
              <w:spacing w:line="276" w:lineRule="auto"/>
              <w:rPr>
                <w:rFonts w:asciiTheme="majorBidi" w:hAnsiTheme="majorBidi" w:cstheme="majorBidi"/>
                <w:sz w:val="22"/>
                <w:szCs w:val="22"/>
              </w:rPr>
            </w:pPr>
          </w:p>
        </w:tc>
      </w:tr>
    </w:tbl>
    <w:p w14:paraId="78943FED" w14:textId="3A99275E" w:rsidR="000907E5" w:rsidRPr="009C2C5B" w:rsidRDefault="00D7778F"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lastRenderedPageBreak/>
        <w:t>k</w:t>
      </w:r>
      <w:r w:rsidR="00AF5A7E" w:rsidRPr="009C2C5B">
        <w:rPr>
          <w:rFonts w:asciiTheme="majorBidi" w:hAnsiTheme="majorBidi" w:cstheme="majorBidi"/>
          <w:lang w:val="lt-LT"/>
        </w:rPr>
        <w:t>eliamas Siūlomos sistemos instaliavim</w:t>
      </w:r>
      <w:r w:rsidRPr="009C2C5B">
        <w:rPr>
          <w:rFonts w:asciiTheme="majorBidi" w:hAnsiTheme="majorBidi" w:cstheme="majorBidi"/>
          <w:lang w:val="lt-LT"/>
        </w:rPr>
        <w:t>ui</w:t>
      </w:r>
      <w:r w:rsidR="00AF5A7E" w:rsidRPr="009C2C5B">
        <w:rPr>
          <w:rFonts w:asciiTheme="majorBidi" w:hAnsiTheme="majorBidi" w:cstheme="majorBidi"/>
          <w:lang w:val="lt-LT"/>
        </w:rPr>
        <w:t>, montavim</w:t>
      </w:r>
      <w:r w:rsidRPr="009C2C5B">
        <w:rPr>
          <w:rFonts w:asciiTheme="majorBidi" w:hAnsiTheme="majorBidi" w:cstheme="majorBidi"/>
          <w:lang w:val="lt-LT"/>
        </w:rPr>
        <w:t>ui</w:t>
      </w:r>
      <w:r w:rsidR="00AF5A7E" w:rsidRPr="009C2C5B">
        <w:rPr>
          <w:rFonts w:asciiTheme="majorBidi" w:hAnsiTheme="majorBidi" w:cstheme="majorBidi"/>
          <w:lang w:val="lt-LT"/>
        </w:rPr>
        <w:t>, įskaitant projekto radiacinei saugai paruošimą bei jo ekspertizę ir paruošim</w:t>
      </w:r>
      <w:r w:rsidRPr="009C2C5B">
        <w:rPr>
          <w:rFonts w:asciiTheme="majorBidi" w:hAnsiTheme="majorBidi" w:cstheme="majorBidi"/>
          <w:lang w:val="lt-LT"/>
        </w:rPr>
        <w:t>ą</w:t>
      </w:r>
      <w:r w:rsidR="00AF5A7E" w:rsidRPr="009C2C5B">
        <w:rPr>
          <w:rFonts w:asciiTheme="majorBidi" w:hAnsiTheme="majorBidi" w:cstheme="majorBidi"/>
          <w:lang w:val="lt-LT"/>
        </w:rPr>
        <w:t xml:space="preserve"> eksploatacijai pagal </w:t>
      </w:r>
      <w:r w:rsidRPr="009C2C5B">
        <w:rPr>
          <w:rFonts w:asciiTheme="majorBidi" w:hAnsiTheme="majorBidi" w:cstheme="majorBidi"/>
          <w:lang w:val="lt-LT"/>
        </w:rPr>
        <w:t xml:space="preserve">nustatytą </w:t>
      </w:r>
      <w:r w:rsidR="00AF5A7E" w:rsidRPr="009C2C5B">
        <w:rPr>
          <w:rFonts w:asciiTheme="majorBidi" w:hAnsiTheme="majorBidi" w:cstheme="majorBidi"/>
          <w:lang w:val="lt-LT"/>
        </w:rPr>
        <w:t>Lietuvos higienos norm</w:t>
      </w:r>
      <w:r w:rsidRPr="009C2C5B">
        <w:rPr>
          <w:rFonts w:asciiTheme="majorBidi" w:hAnsiTheme="majorBidi" w:cstheme="majorBidi"/>
          <w:lang w:val="lt-LT"/>
        </w:rPr>
        <w:t>ą</w:t>
      </w:r>
      <w:r w:rsidR="00AF5A7E" w:rsidRPr="009C2C5B">
        <w:rPr>
          <w:rFonts w:asciiTheme="majorBidi" w:hAnsiTheme="majorBidi" w:cstheme="majorBidi"/>
          <w:lang w:val="lt-LT"/>
        </w:rPr>
        <w:t xml:space="preserve"> HN 95:2015 ir </w:t>
      </w:r>
      <w:r w:rsidR="00E652AD" w:rsidRPr="009C2C5B">
        <w:rPr>
          <w:rFonts w:asciiTheme="majorBidi" w:hAnsiTheme="majorBidi" w:cstheme="majorBidi"/>
          <w:lang w:val="lt-LT"/>
        </w:rPr>
        <w:t xml:space="preserve">Lietuvos Respublikos sveikatos apsaugos ministro 2010 m. gegužės 3 d. įsakyme Nr. V-383 nustatytą tvarką. </w:t>
      </w:r>
      <w:r w:rsidR="001E3F82" w:rsidRPr="009C2C5B">
        <w:rPr>
          <w:rFonts w:asciiTheme="majorBidi" w:hAnsiTheme="majorBidi" w:cstheme="majorBidi"/>
          <w:lang w:val="lt-LT"/>
        </w:rPr>
        <w:t>Visi instaliavimo, montavimo, įskaitant projekto radiacinei saugai paruošimą bei jo ekspertizę ir patalpų paruošimo eksploatacijai kaštai turi būti įtraukti į galutinę pasiūlymo kainą.</w:t>
      </w:r>
    </w:p>
    <w:p w14:paraId="331E8D50" w14:textId="6EED1051" w:rsidR="00BB7C2D" w:rsidRPr="009C2C5B" w:rsidRDefault="00BB7C2D"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Sąvoką „paruošimas eksploatacijai“ apima ir visus darbus, kurie bus numatyti Tiekėjo parengtame radiacinės saugos projekte.</w:t>
      </w:r>
    </w:p>
    <w:p w14:paraId="1485A46C" w14:textId="442BEF17" w:rsidR="001E3F82" w:rsidRPr="009C2C5B" w:rsidRDefault="004639AE"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 xml:space="preserve">Papildomai pažymime, kad tiekėjai į pasiūlymo kainą privalo </w:t>
      </w:r>
      <w:r w:rsidR="009B1BAC" w:rsidRPr="009C2C5B">
        <w:rPr>
          <w:rFonts w:asciiTheme="majorBidi" w:hAnsiTheme="majorBidi" w:cstheme="majorBidi"/>
          <w:lang w:val="lt-LT"/>
        </w:rPr>
        <w:t>įskaičiuoti ir Pirkimo dokumentų „</w:t>
      </w:r>
      <w:r w:rsidR="009B1BAC" w:rsidRPr="009C2C5B">
        <w:rPr>
          <w:rFonts w:asciiTheme="majorBidi" w:hAnsiTheme="majorBidi" w:cstheme="majorBidi"/>
          <w:i/>
          <w:iCs/>
          <w:lang w:val="lt-LT"/>
        </w:rPr>
        <w:t>Specialieji reikalavimai</w:t>
      </w:r>
      <w:r w:rsidR="009B1BAC" w:rsidRPr="009C2C5B">
        <w:rPr>
          <w:rFonts w:asciiTheme="majorBidi" w:hAnsiTheme="majorBidi" w:cstheme="majorBidi"/>
          <w:lang w:val="lt-LT"/>
        </w:rPr>
        <w:t xml:space="preserve">“ 5 p. </w:t>
      </w:r>
      <w:r w:rsidR="00134DF9" w:rsidRPr="009C2C5B">
        <w:rPr>
          <w:rFonts w:asciiTheme="majorBidi" w:hAnsiTheme="majorBidi" w:cstheme="majorBidi"/>
          <w:lang w:val="lt-LT"/>
        </w:rPr>
        <w:t>nurodytus kaštus:</w:t>
      </w:r>
    </w:p>
    <w:tbl>
      <w:tblPr>
        <w:tblW w:w="9781" w:type="dxa"/>
        <w:tblLook w:val="04A0" w:firstRow="1" w:lastRow="0" w:firstColumn="1" w:lastColumn="0" w:noHBand="0" w:noVBand="1"/>
      </w:tblPr>
      <w:tblGrid>
        <w:gridCol w:w="400"/>
        <w:gridCol w:w="9381"/>
      </w:tblGrid>
      <w:tr w:rsidR="00DD4E64" w:rsidRPr="009C2C5B" w14:paraId="28E96742" w14:textId="77777777" w:rsidTr="0029275F">
        <w:trPr>
          <w:trHeight w:val="320"/>
        </w:trPr>
        <w:tc>
          <w:tcPr>
            <w:tcW w:w="400" w:type="dxa"/>
            <w:tcBorders>
              <w:top w:val="nil"/>
              <w:left w:val="nil"/>
              <w:bottom w:val="nil"/>
              <w:right w:val="nil"/>
            </w:tcBorders>
            <w:shd w:val="clear" w:color="000000" w:fill="D9D9D9"/>
            <w:noWrap/>
            <w:hideMark/>
          </w:tcPr>
          <w:p w14:paraId="3ADAC0AC"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5.</w:t>
            </w:r>
          </w:p>
        </w:tc>
        <w:tc>
          <w:tcPr>
            <w:tcW w:w="9381" w:type="dxa"/>
            <w:tcBorders>
              <w:top w:val="nil"/>
              <w:left w:val="nil"/>
              <w:bottom w:val="nil"/>
              <w:right w:val="nil"/>
            </w:tcBorders>
            <w:shd w:val="clear" w:color="000000" w:fill="D9D9D9"/>
            <w:hideMark/>
          </w:tcPr>
          <w:p w14:paraId="751E5D2C" w14:textId="77777777" w:rsidR="00DD4E64" w:rsidRPr="009C2C5B" w:rsidRDefault="00DD4E64" w:rsidP="009C2C5B">
            <w:pPr>
              <w:spacing w:line="276" w:lineRule="auto"/>
              <w:jc w:val="both"/>
              <w:rPr>
                <w:rFonts w:asciiTheme="majorBidi" w:hAnsiTheme="majorBidi" w:cstheme="majorBidi"/>
                <w:color w:val="000000"/>
                <w:sz w:val="22"/>
                <w:szCs w:val="22"/>
              </w:rPr>
            </w:pPr>
            <w:r w:rsidRPr="009C2C5B">
              <w:rPr>
                <w:rFonts w:asciiTheme="majorBidi" w:hAnsiTheme="majorBidi" w:cstheme="majorBidi"/>
                <w:color w:val="000000"/>
                <w:sz w:val="22"/>
                <w:szCs w:val="22"/>
              </w:rPr>
              <w:t>Į pasiūlymo kainą turi būti įskaičiuota:</w:t>
            </w:r>
          </w:p>
        </w:tc>
      </w:tr>
      <w:tr w:rsidR="00DD4E64" w:rsidRPr="009C2C5B" w14:paraId="5C5F01F6" w14:textId="77777777" w:rsidTr="0029275F">
        <w:trPr>
          <w:trHeight w:val="320"/>
        </w:trPr>
        <w:tc>
          <w:tcPr>
            <w:tcW w:w="400" w:type="dxa"/>
            <w:tcBorders>
              <w:top w:val="nil"/>
              <w:left w:val="nil"/>
              <w:bottom w:val="nil"/>
              <w:right w:val="nil"/>
            </w:tcBorders>
            <w:shd w:val="clear" w:color="000000" w:fill="D9D9D9"/>
            <w:noWrap/>
            <w:hideMark/>
          </w:tcPr>
          <w:p w14:paraId="1D2B15A3"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val="restart"/>
            <w:tcBorders>
              <w:top w:val="nil"/>
              <w:left w:val="nil"/>
              <w:bottom w:val="nil"/>
              <w:right w:val="nil"/>
            </w:tcBorders>
            <w:shd w:val="clear" w:color="000000" w:fill="D9D9D9"/>
            <w:hideMark/>
          </w:tcPr>
          <w:p w14:paraId="18E9CCB5" w14:textId="3F2BDAA8" w:rsidR="00DD4E64" w:rsidRPr="009C2C5B" w:rsidRDefault="00DD4E64" w:rsidP="009C2C5B">
            <w:pPr>
              <w:spacing w:line="276" w:lineRule="auto"/>
              <w:jc w:val="both"/>
              <w:rPr>
                <w:rFonts w:asciiTheme="majorBidi" w:hAnsiTheme="majorBidi" w:cstheme="majorBidi"/>
                <w:sz w:val="22"/>
                <w:szCs w:val="22"/>
              </w:rPr>
            </w:pPr>
            <w:r w:rsidRPr="009C2C5B">
              <w:rPr>
                <w:rFonts w:asciiTheme="majorBidi" w:hAnsiTheme="majorBidi" w:cstheme="majorBidi"/>
                <w:sz w:val="22"/>
                <w:szCs w:val="22"/>
              </w:rPr>
              <w:t>1. Įrangos pristatymas į Viešoji įstaiga Vilniaus universiteto ligoninės Santaros klinikų filialas Nacionalinis vėžio centras sandėlį, pervežimas iš sandėlio į instaliavimo vietą</w:t>
            </w:r>
            <w:r w:rsidR="00950278" w:rsidRPr="009C2C5B">
              <w:rPr>
                <w:rFonts w:asciiTheme="majorBidi" w:hAnsiTheme="majorBidi" w:cstheme="majorBidi"/>
                <w:sz w:val="22"/>
                <w:szCs w:val="22"/>
              </w:rPr>
              <w:t>,</w:t>
            </w:r>
            <w:r w:rsidRPr="009C2C5B">
              <w:rPr>
                <w:rFonts w:asciiTheme="majorBidi" w:hAnsiTheme="majorBidi" w:cstheme="majorBidi"/>
                <w:sz w:val="22"/>
                <w:szCs w:val="22"/>
              </w:rPr>
              <w:t>instaliavimas (sumontuoti pristatytą techninę įrangą kaip to reikalauja įrangos gamintojas, įdiegti sisteminę programinę įrangą, operacinę sistemą, specializuotą),</w:t>
            </w:r>
          </w:p>
        </w:tc>
      </w:tr>
      <w:tr w:rsidR="00DD4E64" w:rsidRPr="009C2C5B" w14:paraId="79155271" w14:textId="77777777" w:rsidTr="0029275F">
        <w:trPr>
          <w:trHeight w:val="320"/>
        </w:trPr>
        <w:tc>
          <w:tcPr>
            <w:tcW w:w="400" w:type="dxa"/>
            <w:tcBorders>
              <w:top w:val="nil"/>
              <w:left w:val="nil"/>
              <w:bottom w:val="nil"/>
              <w:right w:val="nil"/>
            </w:tcBorders>
            <w:shd w:val="clear" w:color="000000" w:fill="D9D9D9"/>
            <w:noWrap/>
            <w:hideMark/>
          </w:tcPr>
          <w:p w14:paraId="43DB1BC6"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47C559DD" w14:textId="77777777" w:rsidR="00DD4E64" w:rsidRPr="009C2C5B" w:rsidRDefault="00DD4E64" w:rsidP="009C2C5B">
            <w:pPr>
              <w:spacing w:line="276" w:lineRule="auto"/>
              <w:rPr>
                <w:rFonts w:asciiTheme="majorBidi" w:hAnsiTheme="majorBidi" w:cstheme="majorBidi"/>
                <w:sz w:val="22"/>
                <w:szCs w:val="22"/>
              </w:rPr>
            </w:pPr>
          </w:p>
        </w:tc>
      </w:tr>
      <w:tr w:rsidR="00DD4E64" w:rsidRPr="009C2C5B" w14:paraId="5365DB7E" w14:textId="77777777" w:rsidTr="0029275F">
        <w:trPr>
          <w:trHeight w:val="320"/>
        </w:trPr>
        <w:tc>
          <w:tcPr>
            <w:tcW w:w="400" w:type="dxa"/>
            <w:tcBorders>
              <w:top w:val="nil"/>
              <w:left w:val="nil"/>
              <w:bottom w:val="nil"/>
              <w:right w:val="nil"/>
            </w:tcBorders>
            <w:shd w:val="clear" w:color="000000" w:fill="D9D9D9"/>
            <w:noWrap/>
            <w:hideMark/>
          </w:tcPr>
          <w:p w14:paraId="4208AD1D"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61E6194F" w14:textId="77777777" w:rsidR="00DD4E64" w:rsidRPr="009C2C5B" w:rsidRDefault="00DD4E64" w:rsidP="009C2C5B">
            <w:pPr>
              <w:spacing w:line="276" w:lineRule="auto"/>
              <w:rPr>
                <w:rFonts w:asciiTheme="majorBidi" w:hAnsiTheme="majorBidi" w:cstheme="majorBidi"/>
                <w:sz w:val="22"/>
                <w:szCs w:val="22"/>
              </w:rPr>
            </w:pPr>
          </w:p>
        </w:tc>
      </w:tr>
      <w:tr w:rsidR="00DD4E64" w:rsidRPr="009C2C5B" w14:paraId="0893B2B6" w14:textId="77777777" w:rsidTr="0029275F">
        <w:trPr>
          <w:trHeight w:val="320"/>
        </w:trPr>
        <w:tc>
          <w:tcPr>
            <w:tcW w:w="400" w:type="dxa"/>
            <w:tcBorders>
              <w:top w:val="nil"/>
              <w:left w:val="nil"/>
              <w:bottom w:val="nil"/>
              <w:right w:val="nil"/>
            </w:tcBorders>
            <w:shd w:val="clear" w:color="000000" w:fill="D9D9D9"/>
            <w:noWrap/>
            <w:hideMark/>
          </w:tcPr>
          <w:p w14:paraId="05A24AEB"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val="restart"/>
            <w:tcBorders>
              <w:top w:val="nil"/>
              <w:left w:val="nil"/>
              <w:bottom w:val="nil"/>
              <w:right w:val="nil"/>
            </w:tcBorders>
            <w:shd w:val="clear" w:color="000000" w:fill="D9D9D9"/>
            <w:hideMark/>
          </w:tcPr>
          <w:p w14:paraId="3E20BA31" w14:textId="77777777" w:rsidR="00DD4E64" w:rsidRPr="009C2C5B" w:rsidRDefault="00DD4E64" w:rsidP="009C2C5B">
            <w:pPr>
              <w:spacing w:line="276" w:lineRule="auto"/>
              <w:jc w:val="both"/>
              <w:rPr>
                <w:rFonts w:asciiTheme="majorBidi" w:hAnsiTheme="majorBidi" w:cstheme="majorBidi"/>
                <w:sz w:val="22"/>
                <w:szCs w:val="22"/>
              </w:rPr>
            </w:pPr>
            <w:r w:rsidRPr="009C2C5B">
              <w:rPr>
                <w:rFonts w:asciiTheme="majorBidi" w:hAnsiTheme="majorBidi" w:cstheme="majorBidi"/>
                <w:sz w:val="22"/>
                <w:szCs w:val="22"/>
              </w:rPr>
              <w:t>2. Projekto radiacinei saugai paruošimas bei jo ekspertizė ir paruošimas eksploatacijai pagal HN 95:2015 „Radiacinė sauga ir kokybės laidavimas taikant spindulinę terapiją“ VIII skirsnio reikalavimus,</w:t>
            </w:r>
          </w:p>
        </w:tc>
      </w:tr>
      <w:tr w:rsidR="00DD4E64" w:rsidRPr="009C2C5B" w14:paraId="78B55FFA" w14:textId="77777777" w:rsidTr="0029275F">
        <w:trPr>
          <w:trHeight w:val="320"/>
        </w:trPr>
        <w:tc>
          <w:tcPr>
            <w:tcW w:w="400" w:type="dxa"/>
            <w:tcBorders>
              <w:top w:val="nil"/>
              <w:left w:val="nil"/>
              <w:bottom w:val="nil"/>
              <w:right w:val="nil"/>
            </w:tcBorders>
            <w:shd w:val="clear" w:color="000000" w:fill="D9D9D9"/>
            <w:noWrap/>
            <w:hideMark/>
          </w:tcPr>
          <w:p w14:paraId="253B997B"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7A7BC159" w14:textId="77777777" w:rsidR="00DD4E64" w:rsidRPr="009C2C5B" w:rsidRDefault="00DD4E64" w:rsidP="009C2C5B">
            <w:pPr>
              <w:spacing w:line="276" w:lineRule="auto"/>
              <w:rPr>
                <w:rFonts w:asciiTheme="majorBidi" w:hAnsiTheme="majorBidi" w:cstheme="majorBidi"/>
                <w:sz w:val="22"/>
                <w:szCs w:val="22"/>
              </w:rPr>
            </w:pPr>
          </w:p>
        </w:tc>
      </w:tr>
      <w:tr w:rsidR="00DD4E64" w:rsidRPr="009C2C5B" w14:paraId="3D1BA03A" w14:textId="77777777" w:rsidTr="0029275F">
        <w:trPr>
          <w:trHeight w:val="320"/>
        </w:trPr>
        <w:tc>
          <w:tcPr>
            <w:tcW w:w="400" w:type="dxa"/>
            <w:tcBorders>
              <w:top w:val="nil"/>
              <w:left w:val="nil"/>
              <w:bottom w:val="nil"/>
              <w:right w:val="nil"/>
            </w:tcBorders>
            <w:shd w:val="clear" w:color="000000" w:fill="D9D9D9"/>
            <w:noWrap/>
            <w:hideMark/>
          </w:tcPr>
          <w:p w14:paraId="612FE232"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tcBorders>
              <w:top w:val="nil"/>
              <w:left w:val="nil"/>
              <w:bottom w:val="nil"/>
              <w:right w:val="nil"/>
            </w:tcBorders>
            <w:shd w:val="clear" w:color="000000" w:fill="D9D9D9"/>
            <w:hideMark/>
          </w:tcPr>
          <w:p w14:paraId="0505730E" w14:textId="77777777" w:rsidR="00DD4E64" w:rsidRPr="009C2C5B" w:rsidRDefault="00DD4E64" w:rsidP="009C2C5B">
            <w:pPr>
              <w:spacing w:line="276" w:lineRule="auto"/>
              <w:jc w:val="both"/>
              <w:rPr>
                <w:rFonts w:asciiTheme="majorBidi" w:hAnsiTheme="majorBidi" w:cstheme="majorBidi"/>
                <w:sz w:val="22"/>
                <w:szCs w:val="22"/>
              </w:rPr>
            </w:pPr>
            <w:r w:rsidRPr="009C2C5B">
              <w:rPr>
                <w:rFonts w:asciiTheme="majorBidi" w:hAnsiTheme="majorBidi" w:cstheme="majorBidi"/>
                <w:sz w:val="22"/>
                <w:szCs w:val="22"/>
              </w:rPr>
              <w:t>3. Po instaliavimo likusių įpakavimo medžiagų išvežimas (utilizavimas),</w:t>
            </w:r>
          </w:p>
        </w:tc>
      </w:tr>
      <w:tr w:rsidR="00DD4E64" w:rsidRPr="009C2C5B" w14:paraId="20108FAF" w14:textId="77777777" w:rsidTr="0029275F">
        <w:trPr>
          <w:trHeight w:val="320"/>
        </w:trPr>
        <w:tc>
          <w:tcPr>
            <w:tcW w:w="400" w:type="dxa"/>
            <w:tcBorders>
              <w:top w:val="nil"/>
              <w:left w:val="nil"/>
              <w:bottom w:val="nil"/>
              <w:right w:val="nil"/>
            </w:tcBorders>
            <w:shd w:val="clear" w:color="000000" w:fill="D9D9D9"/>
            <w:noWrap/>
            <w:hideMark/>
          </w:tcPr>
          <w:p w14:paraId="67DE9720"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val="restart"/>
            <w:tcBorders>
              <w:top w:val="nil"/>
              <w:left w:val="nil"/>
              <w:bottom w:val="nil"/>
              <w:right w:val="nil"/>
            </w:tcBorders>
            <w:shd w:val="clear" w:color="000000" w:fill="D9D9D9"/>
            <w:hideMark/>
          </w:tcPr>
          <w:p w14:paraId="6158A075" w14:textId="77777777" w:rsidR="00DD4E64" w:rsidRPr="009C2C5B" w:rsidRDefault="00DD4E64" w:rsidP="009C2C5B">
            <w:pPr>
              <w:spacing w:line="276" w:lineRule="auto"/>
              <w:jc w:val="both"/>
              <w:rPr>
                <w:rFonts w:asciiTheme="majorBidi" w:hAnsiTheme="majorBidi" w:cstheme="majorBidi"/>
                <w:sz w:val="22"/>
                <w:szCs w:val="22"/>
              </w:rPr>
            </w:pPr>
            <w:r w:rsidRPr="009C2C5B">
              <w:rPr>
                <w:rFonts w:asciiTheme="majorBidi" w:hAnsiTheme="majorBidi" w:cstheme="majorBidi"/>
                <w:sz w:val="22"/>
                <w:szCs w:val="22"/>
              </w:rPr>
              <w:t>4. Personalo apmokymas gamintojo akredituotuose mokymo centruose pagal gamintojo patvirtintas mokymo programas, atitinkančias perkamą įrangą ir jos priedus,</w:t>
            </w:r>
          </w:p>
        </w:tc>
      </w:tr>
      <w:tr w:rsidR="00DD4E64" w:rsidRPr="009C2C5B" w14:paraId="35EC4B6A" w14:textId="77777777" w:rsidTr="0029275F">
        <w:trPr>
          <w:trHeight w:val="320"/>
        </w:trPr>
        <w:tc>
          <w:tcPr>
            <w:tcW w:w="400" w:type="dxa"/>
            <w:tcBorders>
              <w:top w:val="nil"/>
              <w:left w:val="nil"/>
              <w:bottom w:val="nil"/>
              <w:right w:val="nil"/>
            </w:tcBorders>
            <w:shd w:val="clear" w:color="000000" w:fill="D9D9D9"/>
            <w:noWrap/>
            <w:hideMark/>
          </w:tcPr>
          <w:p w14:paraId="3664E49F"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57A37C81" w14:textId="77777777" w:rsidR="00DD4E64" w:rsidRPr="009C2C5B" w:rsidRDefault="00DD4E64" w:rsidP="009C2C5B">
            <w:pPr>
              <w:spacing w:line="276" w:lineRule="auto"/>
              <w:rPr>
                <w:rFonts w:asciiTheme="majorBidi" w:hAnsiTheme="majorBidi" w:cstheme="majorBidi"/>
                <w:sz w:val="22"/>
                <w:szCs w:val="22"/>
              </w:rPr>
            </w:pPr>
          </w:p>
        </w:tc>
      </w:tr>
      <w:tr w:rsidR="00DD4E64" w:rsidRPr="009C2C5B" w14:paraId="237CDE56" w14:textId="77777777" w:rsidTr="0029275F">
        <w:trPr>
          <w:trHeight w:val="320"/>
        </w:trPr>
        <w:tc>
          <w:tcPr>
            <w:tcW w:w="400" w:type="dxa"/>
            <w:tcBorders>
              <w:top w:val="nil"/>
              <w:left w:val="nil"/>
              <w:bottom w:val="nil"/>
              <w:right w:val="nil"/>
            </w:tcBorders>
            <w:shd w:val="clear" w:color="000000" w:fill="D9D9D9"/>
            <w:noWrap/>
            <w:hideMark/>
          </w:tcPr>
          <w:p w14:paraId="4515E039"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val="restart"/>
            <w:tcBorders>
              <w:top w:val="nil"/>
              <w:left w:val="nil"/>
              <w:bottom w:val="nil"/>
              <w:right w:val="nil"/>
            </w:tcBorders>
            <w:shd w:val="clear" w:color="000000" w:fill="D9D9D9"/>
            <w:hideMark/>
          </w:tcPr>
          <w:p w14:paraId="7347C5D1" w14:textId="3DB23510" w:rsidR="00DD4E64" w:rsidRPr="009C2C5B" w:rsidRDefault="00950278" w:rsidP="009C2C5B">
            <w:pPr>
              <w:spacing w:line="276" w:lineRule="auto"/>
              <w:jc w:val="both"/>
              <w:rPr>
                <w:rFonts w:asciiTheme="majorBidi" w:hAnsiTheme="majorBidi" w:cstheme="majorBidi"/>
                <w:sz w:val="22"/>
                <w:szCs w:val="22"/>
              </w:rPr>
            </w:pPr>
            <w:r w:rsidRPr="009C2C5B">
              <w:rPr>
                <w:rFonts w:asciiTheme="majorBidi" w:hAnsiTheme="majorBidi" w:cstheme="majorBidi"/>
                <w:sz w:val="22"/>
                <w:szCs w:val="22"/>
              </w:rPr>
              <w:t>5</w:t>
            </w:r>
            <w:r w:rsidR="00DD4E64" w:rsidRPr="009C2C5B">
              <w:rPr>
                <w:rFonts w:asciiTheme="majorBidi" w:hAnsiTheme="majorBidi" w:cstheme="majorBidi"/>
                <w:sz w:val="22"/>
                <w:szCs w:val="22"/>
              </w:rPr>
              <w:t>. Tiekėjas, diegdamas naują linijinį greitintuvą, privalo užtikrinti jo integraciją su įstaigoje naudojama RIS sistema ARIA. Po integracijos turi veikti bendra RIS sistema ARIA, turinti sąsajas su visais įstaigoje esančiais LG ir planavimo KT, užtikrinanti laikų planavimą, paciento gydymo istorijos tvarkymą, vaizdų ir planų valdymą bei visą kitą RIS funkcionalumą įskaitant galimybę siųsti bei gauti duomenis iš įstaigoje naudojamos HIS (ELI).</w:t>
            </w:r>
          </w:p>
        </w:tc>
      </w:tr>
      <w:tr w:rsidR="00DD4E64" w:rsidRPr="009C2C5B" w14:paraId="7474D028" w14:textId="77777777" w:rsidTr="0029275F">
        <w:trPr>
          <w:trHeight w:val="320"/>
        </w:trPr>
        <w:tc>
          <w:tcPr>
            <w:tcW w:w="400" w:type="dxa"/>
            <w:tcBorders>
              <w:top w:val="nil"/>
              <w:left w:val="nil"/>
              <w:bottom w:val="nil"/>
              <w:right w:val="nil"/>
            </w:tcBorders>
            <w:shd w:val="clear" w:color="000000" w:fill="D9D9D9"/>
            <w:noWrap/>
            <w:hideMark/>
          </w:tcPr>
          <w:p w14:paraId="086A4304"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6F99A5A6" w14:textId="77777777" w:rsidR="00DD4E64" w:rsidRPr="009C2C5B" w:rsidRDefault="00DD4E64" w:rsidP="009C2C5B">
            <w:pPr>
              <w:spacing w:line="276" w:lineRule="auto"/>
              <w:rPr>
                <w:rFonts w:asciiTheme="majorBidi" w:hAnsiTheme="majorBidi" w:cstheme="majorBidi"/>
                <w:sz w:val="22"/>
                <w:szCs w:val="22"/>
              </w:rPr>
            </w:pPr>
          </w:p>
        </w:tc>
      </w:tr>
      <w:tr w:rsidR="00DD4E64" w:rsidRPr="009C2C5B" w14:paraId="59348940" w14:textId="77777777" w:rsidTr="0029275F">
        <w:trPr>
          <w:trHeight w:val="320"/>
        </w:trPr>
        <w:tc>
          <w:tcPr>
            <w:tcW w:w="400" w:type="dxa"/>
            <w:tcBorders>
              <w:top w:val="nil"/>
              <w:left w:val="nil"/>
              <w:bottom w:val="nil"/>
              <w:right w:val="nil"/>
            </w:tcBorders>
            <w:shd w:val="clear" w:color="000000" w:fill="D9D9D9"/>
            <w:noWrap/>
            <w:hideMark/>
          </w:tcPr>
          <w:p w14:paraId="40627C4D" w14:textId="77777777" w:rsidR="00DD4E64" w:rsidRPr="009C2C5B" w:rsidRDefault="00DD4E64" w:rsidP="009C2C5B">
            <w:pPr>
              <w:spacing w:line="276" w:lineRule="auto"/>
              <w:jc w:val="center"/>
              <w:rPr>
                <w:rFonts w:asciiTheme="majorBidi" w:hAnsiTheme="majorBidi" w:cstheme="majorBidi"/>
                <w:color w:val="000000"/>
                <w:sz w:val="22"/>
                <w:szCs w:val="22"/>
              </w:rPr>
            </w:pPr>
            <w:r w:rsidRPr="009C2C5B">
              <w:rPr>
                <w:rFonts w:asciiTheme="majorBidi" w:hAnsiTheme="majorBidi" w:cstheme="majorBidi"/>
                <w:color w:val="000000"/>
                <w:sz w:val="22"/>
                <w:szCs w:val="22"/>
              </w:rPr>
              <w:t> </w:t>
            </w:r>
          </w:p>
        </w:tc>
        <w:tc>
          <w:tcPr>
            <w:tcW w:w="9381" w:type="dxa"/>
            <w:vMerge/>
            <w:tcBorders>
              <w:top w:val="nil"/>
              <w:left w:val="nil"/>
              <w:bottom w:val="nil"/>
              <w:right w:val="nil"/>
            </w:tcBorders>
            <w:vAlign w:val="center"/>
            <w:hideMark/>
          </w:tcPr>
          <w:p w14:paraId="1D4773DC" w14:textId="77777777" w:rsidR="00DD4E64" w:rsidRPr="009C2C5B" w:rsidRDefault="00DD4E64" w:rsidP="009C2C5B">
            <w:pPr>
              <w:spacing w:line="276" w:lineRule="auto"/>
              <w:rPr>
                <w:rFonts w:asciiTheme="majorBidi" w:hAnsiTheme="majorBidi" w:cstheme="majorBidi"/>
                <w:sz w:val="22"/>
                <w:szCs w:val="22"/>
              </w:rPr>
            </w:pPr>
          </w:p>
        </w:tc>
      </w:tr>
    </w:tbl>
    <w:p w14:paraId="44181607" w14:textId="77777777" w:rsidR="00950278" w:rsidRPr="009C2C5B" w:rsidRDefault="00950278" w:rsidP="009C2C5B">
      <w:pPr>
        <w:pStyle w:val="Body2"/>
        <w:spacing w:after="0" w:line="276" w:lineRule="auto"/>
        <w:ind w:firstLine="426"/>
        <w:rPr>
          <w:rFonts w:asciiTheme="majorBidi" w:hAnsiTheme="majorBidi" w:cstheme="majorBidi"/>
          <w:lang w:val="lt-LT"/>
        </w:rPr>
      </w:pPr>
    </w:p>
    <w:p w14:paraId="6562EAF1" w14:textId="34319129" w:rsidR="0029275F" w:rsidRPr="009C2C5B" w:rsidRDefault="0030050B" w:rsidP="009C2C5B">
      <w:pPr>
        <w:pStyle w:val="Body2"/>
        <w:spacing w:after="0" w:line="276" w:lineRule="auto"/>
        <w:ind w:firstLine="567"/>
        <w:rPr>
          <w:rFonts w:asciiTheme="majorBidi" w:hAnsiTheme="majorBidi" w:cstheme="majorBidi"/>
          <w:lang w:val="lt-LT"/>
        </w:rPr>
      </w:pPr>
      <w:r w:rsidRPr="009C2C5B">
        <w:rPr>
          <w:rFonts w:asciiTheme="majorBidi" w:hAnsiTheme="majorBidi" w:cstheme="majorBidi"/>
          <w:lang w:val="lt-LT"/>
        </w:rPr>
        <w:t>S</w:t>
      </w:r>
      <w:r w:rsidR="0029275F" w:rsidRPr="009C2C5B">
        <w:rPr>
          <w:rFonts w:asciiTheme="majorBidi" w:hAnsiTheme="majorBidi" w:cstheme="majorBidi"/>
          <w:lang w:val="lt-LT"/>
        </w:rPr>
        <w:t>iūlome atidžiai susipažinti ir su Pirkimo dokumentų „</w:t>
      </w:r>
      <w:r w:rsidR="0029275F" w:rsidRPr="009C2C5B">
        <w:rPr>
          <w:rFonts w:asciiTheme="majorBidi" w:hAnsiTheme="majorBidi" w:cstheme="majorBidi"/>
          <w:i/>
          <w:iCs/>
          <w:lang w:val="lt-LT"/>
        </w:rPr>
        <w:t>Specialieji reikalavimai</w:t>
      </w:r>
      <w:r w:rsidR="0029275F" w:rsidRPr="009C2C5B">
        <w:rPr>
          <w:rFonts w:asciiTheme="majorBidi" w:hAnsiTheme="majorBidi" w:cstheme="majorBidi"/>
          <w:lang w:val="lt-LT"/>
        </w:rPr>
        <w:t>“ 6.2, 8, 9, 10 ir kt. p. reikalavimais, bei įsivertinti visus kaštus.</w:t>
      </w:r>
    </w:p>
    <w:p w14:paraId="7C22D325" w14:textId="77777777" w:rsidR="0029275F" w:rsidRPr="009C2C5B" w:rsidRDefault="0029275F" w:rsidP="009C2C5B">
      <w:pPr>
        <w:pStyle w:val="Body2"/>
        <w:spacing w:after="0" w:line="276" w:lineRule="auto"/>
        <w:ind w:firstLine="426"/>
        <w:rPr>
          <w:rFonts w:asciiTheme="majorBidi" w:hAnsiTheme="majorBidi" w:cstheme="majorBidi"/>
          <w:lang w:val="lt-LT"/>
        </w:rPr>
      </w:pPr>
    </w:p>
    <w:p w14:paraId="678D094A" w14:textId="0A3C054E" w:rsidR="00F23967" w:rsidRPr="009C2C5B" w:rsidRDefault="00950278" w:rsidP="009C2C5B">
      <w:pPr>
        <w:pStyle w:val="Body2"/>
        <w:spacing w:after="0" w:line="276" w:lineRule="auto"/>
        <w:ind w:firstLine="567"/>
        <w:rPr>
          <w:rFonts w:asciiTheme="majorBidi" w:hAnsiTheme="majorBidi" w:cstheme="majorBidi"/>
          <w:b/>
          <w:bCs/>
          <w:lang w:val="lt-LT"/>
        </w:rPr>
      </w:pPr>
      <w:r w:rsidRPr="009C2C5B">
        <w:rPr>
          <w:rFonts w:asciiTheme="majorBidi" w:hAnsiTheme="majorBidi" w:cstheme="majorBidi"/>
          <w:b/>
          <w:bCs/>
          <w:lang w:val="lt-LT"/>
        </w:rPr>
        <w:t xml:space="preserve">3. </w:t>
      </w:r>
      <w:r w:rsidR="00F23967" w:rsidRPr="009C2C5B">
        <w:rPr>
          <w:rFonts w:asciiTheme="majorBidi" w:hAnsiTheme="majorBidi" w:cstheme="majorBidi"/>
          <w:b/>
          <w:bCs/>
          <w:lang w:val="lt-LT"/>
        </w:rPr>
        <w:t xml:space="preserve">Dėl pateikto </w:t>
      </w:r>
      <w:r w:rsidR="0030050B" w:rsidRPr="009C2C5B">
        <w:rPr>
          <w:rFonts w:asciiTheme="majorBidi" w:hAnsiTheme="majorBidi" w:cstheme="majorBidi"/>
          <w:b/>
          <w:bCs/>
          <w:lang w:val="lt-LT"/>
        </w:rPr>
        <w:t>patalpų</w:t>
      </w:r>
      <w:r w:rsidR="00F23967" w:rsidRPr="009C2C5B">
        <w:rPr>
          <w:rFonts w:asciiTheme="majorBidi" w:hAnsiTheme="majorBidi" w:cstheme="majorBidi"/>
          <w:b/>
          <w:bCs/>
          <w:lang w:val="lt-LT"/>
        </w:rPr>
        <w:t xml:space="preserve"> plano</w:t>
      </w:r>
    </w:p>
    <w:p w14:paraId="1E1C6C75" w14:textId="1FD36CFA" w:rsidR="00950278" w:rsidRPr="009C2C5B" w:rsidRDefault="00F23967" w:rsidP="009C2C5B">
      <w:pPr>
        <w:pStyle w:val="Body2"/>
        <w:spacing w:after="0" w:line="276" w:lineRule="auto"/>
        <w:ind w:firstLine="567"/>
        <w:rPr>
          <w:rFonts w:asciiTheme="majorBidi" w:hAnsiTheme="majorBidi" w:cstheme="majorBidi"/>
          <w:b/>
          <w:bCs/>
          <w:lang w:val="lt-LT"/>
        </w:rPr>
      </w:pPr>
      <w:r w:rsidRPr="009C2C5B">
        <w:rPr>
          <w:rFonts w:asciiTheme="majorBidi" w:hAnsiTheme="majorBidi" w:cstheme="majorBidi"/>
          <w:lang w:val="lt-LT"/>
        </w:rPr>
        <w:t xml:space="preserve">Paaiškiname, kad </w:t>
      </w:r>
      <w:r w:rsidR="0023181D" w:rsidRPr="009C2C5B">
        <w:rPr>
          <w:rFonts w:asciiTheme="majorBidi" w:hAnsiTheme="majorBidi" w:cstheme="majorBidi"/>
          <w:lang w:val="lt-LT"/>
        </w:rPr>
        <w:t xml:space="preserve">linijinis greitintuvas bus montuojamas </w:t>
      </w:r>
      <w:r w:rsidR="005F433A" w:rsidRPr="009C2C5B">
        <w:rPr>
          <w:rFonts w:asciiTheme="majorBidi" w:hAnsiTheme="majorBidi" w:cstheme="majorBidi"/>
          <w:lang w:val="lt-LT"/>
        </w:rPr>
        <w:t xml:space="preserve">Pirkimo dokumentų </w:t>
      </w:r>
      <w:r w:rsidR="0030050B" w:rsidRPr="009C2C5B">
        <w:rPr>
          <w:rFonts w:asciiTheme="majorBidi" w:hAnsiTheme="majorBidi" w:cstheme="majorBidi"/>
          <w:lang w:val="lt-LT"/>
        </w:rPr>
        <w:t xml:space="preserve">dalyje </w:t>
      </w:r>
      <w:r w:rsidR="005F433A" w:rsidRPr="009C2C5B">
        <w:rPr>
          <w:rFonts w:asciiTheme="majorBidi" w:hAnsiTheme="majorBidi" w:cstheme="majorBidi"/>
          <w:lang w:val="lt-LT"/>
        </w:rPr>
        <w:t>„</w:t>
      </w:r>
      <w:r w:rsidR="005F433A" w:rsidRPr="009C2C5B">
        <w:rPr>
          <w:rFonts w:asciiTheme="majorBidi" w:hAnsiTheme="majorBidi" w:cstheme="majorBidi"/>
          <w:i/>
          <w:iCs/>
          <w:lang w:val="lt-LT"/>
        </w:rPr>
        <w:t>Specialieji reikalavimai</w:t>
      </w:r>
      <w:r w:rsidR="005F433A" w:rsidRPr="009C2C5B">
        <w:rPr>
          <w:rFonts w:asciiTheme="majorBidi" w:hAnsiTheme="majorBidi" w:cstheme="majorBidi"/>
          <w:lang w:val="lt-LT"/>
        </w:rPr>
        <w:t xml:space="preserve">“ </w:t>
      </w:r>
      <w:r w:rsidR="0023181D" w:rsidRPr="009C2C5B">
        <w:rPr>
          <w:rFonts w:asciiTheme="majorBidi" w:hAnsiTheme="majorBidi" w:cstheme="majorBidi"/>
          <w:lang w:val="lt-LT"/>
        </w:rPr>
        <w:t xml:space="preserve">pateiktame patalpų </w:t>
      </w:r>
      <w:r w:rsidR="005F433A" w:rsidRPr="009C2C5B">
        <w:rPr>
          <w:rFonts w:asciiTheme="majorBidi" w:hAnsiTheme="majorBidi" w:cstheme="majorBidi"/>
          <w:lang w:val="lt-LT"/>
        </w:rPr>
        <w:t>plan</w:t>
      </w:r>
      <w:r w:rsidR="0023181D" w:rsidRPr="009C2C5B">
        <w:rPr>
          <w:rFonts w:asciiTheme="majorBidi" w:hAnsiTheme="majorBidi" w:cstheme="majorBidi"/>
          <w:lang w:val="lt-LT"/>
        </w:rPr>
        <w:t>e pažymėtoje 1-48 patalpoje.</w:t>
      </w:r>
      <w:r w:rsidRPr="009C2C5B">
        <w:rPr>
          <w:rFonts w:asciiTheme="majorBidi" w:hAnsiTheme="majorBidi" w:cstheme="majorBidi"/>
          <w:b/>
          <w:bCs/>
          <w:lang w:val="lt-LT"/>
        </w:rPr>
        <w:t xml:space="preserve"> </w:t>
      </w:r>
    </w:p>
    <w:p w14:paraId="6EA87C4F" w14:textId="77777777" w:rsidR="0030050B" w:rsidRDefault="0030050B" w:rsidP="009C2C5B">
      <w:pPr>
        <w:pStyle w:val="Body2"/>
        <w:spacing w:after="0" w:line="276" w:lineRule="auto"/>
        <w:ind w:firstLine="426"/>
        <w:rPr>
          <w:rFonts w:asciiTheme="majorBidi" w:hAnsiTheme="majorBidi" w:cstheme="majorBidi"/>
          <w:b/>
          <w:bCs/>
          <w:lang w:val="lt-LT"/>
        </w:rPr>
      </w:pPr>
    </w:p>
    <w:p w14:paraId="465D02CD" w14:textId="40A72CB2" w:rsidR="009C2C5B" w:rsidRDefault="00905E8A" w:rsidP="00905E8A">
      <w:pPr>
        <w:pStyle w:val="Body2"/>
        <w:spacing w:after="0" w:line="276" w:lineRule="auto"/>
        <w:ind w:firstLine="426"/>
        <w:jc w:val="center"/>
        <w:rPr>
          <w:rFonts w:asciiTheme="majorBidi" w:hAnsiTheme="majorBidi" w:cstheme="majorBidi"/>
          <w:b/>
          <w:bCs/>
          <w:lang w:val="lt-LT"/>
        </w:rPr>
      </w:pPr>
      <w:r>
        <w:rPr>
          <w:rFonts w:asciiTheme="majorBidi" w:hAnsiTheme="majorBidi" w:cstheme="majorBidi"/>
          <w:b/>
          <w:bCs/>
          <w:lang w:val="lt-LT"/>
        </w:rPr>
        <w:t>_______________________</w:t>
      </w:r>
    </w:p>
    <w:sectPr w:rsidR="009C2C5B" w:rsidSect="00905E8A">
      <w:pgSz w:w="12240" w:h="15840"/>
      <w:pgMar w:top="993" w:right="75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5235"/>
    <w:multiLevelType w:val="hybridMultilevel"/>
    <w:tmpl w:val="9CFCE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44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A8"/>
    <w:rsid w:val="00033851"/>
    <w:rsid w:val="00034CA6"/>
    <w:rsid w:val="00060263"/>
    <w:rsid w:val="0007626A"/>
    <w:rsid w:val="000907E5"/>
    <w:rsid w:val="00092334"/>
    <w:rsid w:val="00094964"/>
    <w:rsid w:val="000C1C22"/>
    <w:rsid w:val="000D7ABB"/>
    <w:rsid w:val="00134DF9"/>
    <w:rsid w:val="00154F38"/>
    <w:rsid w:val="0018186E"/>
    <w:rsid w:val="00185E9F"/>
    <w:rsid w:val="001D3A95"/>
    <w:rsid w:val="001E0E5D"/>
    <w:rsid w:val="001E3F82"/>
    <w:rsid w:val="001E5587"/>
    <w:rsid w:val="00221BB9"/>
    <w:rsid w:val="0023181D"/>
    <w:rsid w:val="00232C75"/>
    <w:rsid w:val="00244B24"/>
    <w:rsid w:val="00246A45"/>
    <w:rsid w:val="00280EFA"/>
    <w:rsid w:val="00282954"/>
    <w:rsid w:val="0029275F"/>
    <w:rsid w:val="002A6D7C"/>
    <w:rsid w:val="002B15D7"/>
    <w:rsid w:val="0030050B"/>
    <w:rsid w:val="003012F5"/>
    <w:rsid w:val="00310046"/>
    <w:rsid w:val="00321745"/>
    <w:rsid w:val="003665AF"/>
    <w:rsid w:val="003C46A7"/>
    <w:rsid w:val="003C67B2"/>
    <w:rsid w:val="004308E8"/>
    <w:rsid w:val="004639AE"/>
    <w:rsid w:val="0049466E"/>
    <w:rsid w:val="004A6518"/>
    <w:rsid w:val="004B2DA1"/>
    <w:rsid w:val="004C51DE"/>
    <w:rsid w:val="004F0685"/>
    <w:rsid w:val="005002FF"/>
    <w:rsid w:val="00525229"/>
    <w:rsid w:val="00537F0F"/>
    <w:rsid w:val="00543369"/>
    <w:rsid w:val="00546003"/>
    <w:rsid w:val="0054795D"/>
    <w:rsid w:val="005558E9"/>
    <w:rsid w:val="00576AB5"/>
    <w:rsid w:val="00581063"/>
    <w:rsid w:val="005817C7"/>
    <w:rsid w:val="00590803"/>
    <w:rsid w:val="005C6E81"/>
    <w:rsid w:val="005C713B"/>
    <w:rsid w:val="005D3CE2"/>
    <w:rsid w:val="005F2DC7"/>
    <w:rsid w:val="005F4102"/>
    <w:rsid w:val="005F433A"/>
    <w:rsid w:val="00686326"/>
    <w:rsid w:val="00697108"/>
    <w:rsid w:val="006D5A08"/>
    <w:rsid w:val="006D7EF2"/>
    <w:rsid w:val="006F36CF"/>
    <w:rsid w:val="0070648C"/>
    <w:rsid w:val="007077C4"/>
    <w:rsid w:val="0071408E"/>
    <w:rsid w:val="0071756E"/>
    <w:rsid w:val="0072139D"/>
    <w:rsid w:val="00734064"/>
    <w:rsid w:val="00776092"/>
    <w:rsid w:val="0079367E"/>
    <w:rsid w:val="007E1AA9"/>
    <w:rsid w:val="00820C33"/>
    <w:rsid w:val="008278B9"/>
    <w:rsid w:val="00834DD5"/>
    <w:rsid w:val="00891463"/>
    <w:rsid w:val="008C04B5"/>
    <w:rsid w:val="008C4B81"/>
    <w:rsid w:val="009028D7"/>
    <w:rsid w:val="00903CD3"/>
    <w:rsid w:val="00905E8A"/>
    <w:rsid w:val="00925A45"/>
    <w:rsid w:val="0094019E"/>
    <w:rsid w:val="00950278"/>
    <w:rsid w:val="00951CC7"/>
    <w:rsid w:val="009609B8"/>
    <w:rsid w:val="009723E1"/>
    <w:rsid w:val="009A76E5"/>
    <w:rsid w:val="009B1BAC"/>
    <w:rsid w:val="009B53F1"/>
    <w:rsid w:val="009C2C5B"/>
    <w:rsid w:val="009C42A1"/>
    <w:rsid w:val="009F26A3"/>
    <w:rsid w:val="00A341DE"/>
    <w:rsid w:val="00A3472B"/>
    <w:rsid w:val="00A9514A"/>
    <w:rsid w:val="00AA3643"/>
    <w:rsid w:val="00AB40E0"/>
    <w:rsid w:val="00AC7B68"/>
    <w:rsid w:val="00AD5BBE"/>
    <w:rsid w:val="00AF5A7E"/>
    <w:rsid w:val="00B14B77"/>
    <w:rsid w:val="00B176CC"/>
    <w:rsid w:val="00B324A8"/>
    <w:rsid w:val="00B407A0"/>
    <w:rsid w:val="00B418A0"/>
    <w:rsid w:val="00B44AEE"/>
    <w:rsid w:val="00B52267"/>
    <w:rsid w:val="00BB0B4C"/>
    <w:rsid w:val="00BB7C2D"/>
    <w:rsid w:val="00BD5C3F"/>
    <w:rsid w:val="00BE4482"/>
    <w:rsid w:val="00BF269D"/>
    <w:rsid w:val="00BF5E0C"/>
    <w:rsid w:val="00C246ED"/>
    <w:rsid w:val="00C617C6"/>
    <w:rsid w:val="00C759A1"/>
    <w:rsid w:val="00C8093F"/>
    <w:rsid w:val="00C87F53"/>
    <w:rsid w:val="00CA1ECE"/>
    <w:rsid w:val="00CD6768"/>
    <w:rsid w:val="00CD7DBB"/>
    <w:rsid w:val="00D05C4E"/>
    <w:rsid w:val="00D17686"/>
    <w:rsid w:val="00D709CC"/>
    <w:rsid w:val="00D72C06"/>
    <w:rsid w:val="00D76981"/>
    <w:rsid w:val="00D7778F"/>
    <w:rsid w:val="00DD4E64"/>
    <w:rsid w:val="00DD5B79"/>
    <w:rsid w:val="00E01C71"/>
    <w:rsid w:val="00E23F97"/>
    <w:rsid w:val="00E33991"/>
    <w:rsid w:val="00E405A6"/>
    <w:rsid w:val="00E47697"/>
    <w:rsid w:val="00E528B4"/>
    <w:rsid w:val="00E536F8"/>
    <w:rsid w:val="00E652AD"/>
    <w:rsid w:val="00E77DCC"/>
    <w:rsid w:val="00E941E0"/>
    <w:rsid w:val="00EA2D5E"/>
    <w:rsid w:val="00ED3DEC"/>
    <w:rsid w:val="00EE7FF9"/>
    <w:rsid w:val="00F01C52"/>
    <w:rsid w:val="00F13FEA"/>
    <w:rsid w:val="00F16BC2"/>
    <w:rsid w:val="00F23967"/>
    <w:rsid w:val="00F529D7"/>
    <w:rsid w:val="00F63DBE"/>
    <w:rsid w:val="00F735D3"/>
    <w:rsid w:val="00F85FA0"/>
    <w:rsid w:val="00FA5707"/>
    <w:rsid w:val="00FB5EC7"/>
    <w:rsid w:val="00FD23AE"/>
    <w:rsid w:val="00FE3075"/>
    <w:rsid w:val="00FE4A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EC6D"/>
  <w15:chartTrackingRefBased/>
  <w15:docId w15:val="{D1645E7E-992E-2949-BB34-FAD3BD68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5229"/>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B324A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324A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324A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324A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324A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324A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324A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324A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324A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2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2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2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2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2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2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2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2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2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24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32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24A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32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24A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324A8"/>
    <w:rPr>
      <w:i/>
      <w:iCs/>
      <w:color w:val="404040" w:themeColor="text1" w:themeTint="BF"/>
    </w:rPr>
  </w:style>
  <w:style w:type="paragraph" w:styleId="Sraopastraipa">
    <w:name w:val="List Paragraph"/>
    <w:basedOn w:val="prastasis"/>
    <w:uiPriority w:val="34"/>
    <w:qFormat/>
    <w:rsid w:val="00B324A8"/>
    <w:pPr>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B324A8"/>
    <w:rPr>
      <w:i/>
      <w:iCs/>
      <w:color w:val="0F4761" w:themeColor="accent1" w:themeShade="BF"/>
    </w:rPr>
  </w:style>
  <w:style w:type="paragraph" w:styleId="Iskirtacitata">
    <w:name w:val="Intense Quote"/>
    <w:basedOn w:val="prastasis"/>
    <w:next w:val="prastasis"/>
    <w:link w:val="IskirtacitataDiagrama"/>
    <w:uiPriority w:val="30"/>
    <w:qFormat/>
    <w:rsid w:val="00B324A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324A8"/>
    <w:rPr>
      <w:i/>
      <w:iCs/>
      <w:color w:val="0F4761" w:themeColor="accent1" w:themeShade="BF"/>
    </w:rPr>
  </w:style>
  <w:style w:type="character" w:styleId="Rykinuoroda">
    <w:name w:val="Intense Reference"/>
    <w:basedOn w:val="Numatytasispastraiposriftas"/>
    <w:uiPriority w:val="32"/>
    <w:qFormat/>
    <w:rsid w:val="00B324A8"/>
    <w:rPr>
      <w:b/>
      <w:bCs/>
      <w:smallCaps/>
      <w:color w:val="0F4761" w:themeColor="accent1" w:themeShade="BF"/>
      <w:spacing w:val="5"/>
    </w:rPr>
  </w:style>
  <w:style w:type="paragraph" w:customStyle="1" w:styleId="FreeForm">
    <w:name w:val="Free Form"/>
    <w:rsid w:val="00CA1ECE"/>
    <w:pPr>
      <w:pBdr>
        <w:top w:val="nil"/>
        <w:left w:val="nil"/>
        <w:bottom w:val="nil"/>
        <w:right w:val="nil"/>
        <w:between w:val="nil"/>
        <w:bar w:val="nil"/>
      </w:pBdr>
    </w:pPr>
    <w:rPr>
      <w:rFonts w:ascii="Helvetica Neue" w:eastAsia="Helvetica Neue" w:hAnsi="Helvetica Neue" w:cs="Helvetica Neue"/>
      <w:color w:val="413F3C"/>
      <w:kern w:val="0"/>
      <w:sz w:val="16"/>
      <w:szCs w:val="16"/>
      <w:u w:color="413F3C"/>
      <w:bdr w:val="nil"/>
      <w:lang w:val="en-US"/>
      <w14:ligatures w14:val="none"/>
    </w:rPr>
  </w:style>
  <w:style w:type="paragraph" w:customStyle="1" w:styleId="Heading">
    <w:name w:val="Heading"/>
    <w:next w:val="prastasis"/>
    <w:rsid w:val="00CA1ECE"/>
    <w:pPr>
      <w:pBdr>
        <w:top w:val="nil"/>
        <w:left w:val="nil"/>
        <w:bottom w:val="nil"/>
        <w:right w:val="nil"/>
        <w:between w:val="nil"/>
        <w:bar w:val="nil"/>
      </w:pBdr>
      <w:outlineLvl w:val="0"/>
    </w:pPr>
    <w:rPr>
      <w:rFonts w:ascii="Times New Roman" w:eastAsia="Arial Unicode MS" w:hAnsi="Times New Roman" w:cs="Arial Unicode MS"/>
      <w:b/>
      <w:bCs/>
      <w:caps/>
      <w:color w:val="434343"/>
      <w:spacing w:val="3"/>
      <w:kern w:val="0"/>
      <w:sz w:val="22"/>
      <w:szCs w:val="22"/>
      <w:u w:color="434343"/>
      <w:bdr w:val="nil"/>
      <w:lang w:val="en-US"/>
      <w14:ligatures w14:val="none"/>
    </w:rPr>
  </w:style>
  <w:style w:type="paragraph" w:customStyle="1" w:styleId="Body2">
    <w:name w:val="Body 2"/>
    <w:rsid w:val="00CA1E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kern w:val="0"/>
      <w:sz w:val="22"/>
      <w:szCs w:val="22"/>
      <w:u w:color="000000"/>
      <w:bdr w:val="nil"/>
      <w:lang w:val="en-US"/>
      <w14:ligatures w14:val="none"/>
    </w:rPr>
  </w:style>
  <w:style w:type="character" w:styleId="Grietas">
    <w:name w:val="Strong"/>
    <w:basedOn w:val="Numatytasispastraiposriftas"/>
    <w:uiPriority w:val="22"/>
    <w:qFormat/>
    <w:rsid w:val="00D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CE7C7-08DE-4F00-BDB5-E88153F0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3822</Words>
  <Characters>2180</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Živilė Savickienė</cp:lastModifiedBy>
  <cp:revision>3</cp:revision>
  <cp:lastPrinted>2025-09-26T09:45:00Z</cp:lastPrinted>
  <dcterms:created xsi:type="dcterms:W3CDTF">2025-09-26T09:55:00Z</dcterms:created>
  <dcterms:modified xsi:type="dcterms:W3CDTF">2025-09-26T10:00:00Z</dcterms:modified>
  <cp:category/>
</cp:coreProperties>
</file>