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748BAD97" w:rsidR="00DA481E" w:rsidRPr="00884C6E" w:rsidRDefault="00431C1A"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p>
    <w:p w14:paraId="48FDEDBB" w14:textId="77777777" w:rsidR="00DA481E" w:rsidRPr="00884C6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667096D2" w:rsidR="00DA481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0856ED5B" w14:textId="77777777" w:rsidR="003F2EC9" w:rsidRPr="00884C6E" w:rsidRDefault="003F2EC9"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44F42D09" w14:textId="79CACD24" w:rsidR="003F2EC9" w:rsidRPr="003F2EC9" w:rsidRDefault="00DA481E" w:rsidP="00DA481E">
      <w:pPr>
        <w:pStyle w:val="Pagrindinistekstas2"/>
        <w:widowControl w:val="0"/>
        <w:shd w:val="clear" w:color="auto" w:fill="auto"/>
        <w:suppressAutoHyphens/>
        <w:spacing w:before="0" w:after="0" w:line="240" w:lineRule="auto"/>
        <w:ind w:firstLine="0"/>
        <w:rPr>
          <w:rFonts w:ascii="Times New Roman" w:hAnsi="Times New Roman"/>
          <w:b/>
          <w:bCs/>
          <w:sz w:val="24"/>
          <w:szCs w:val="24"/>
          <w:lang w:val="lt-LT"/>
        </w:rPr>
      </w:pPr>
      <w:r w:rsidRPr="00884C6E">
        <w:rPr>
          <w:rFonts w:ascii="Times New Roman" w:hAnsi="Times New Roman" w:cs="Times New Roman"/>
          <w:sz w:val="24"/>
          <w:szCs w:val="24"/>
          <w:lang w:val="lt-LT"/>
        </w:rPr>
        <w:t xml:space="preserve">Pirkimo pavadinimas: </w:t>
      </w:r>
      <w:r w:rsidR="003F2EC9" w:rsidRPr="003F2EC9">
        <w:rPr>
          <w:rFonts w:ascii="Times New Roman" w:hAnsi="Times New Roman"/>
          <w:b/>
          <w:bCs/>
          <w:sz w:val="24"/>
          <w:szCs w:val="24"/>
          <w:lang w:val="lt-LT"/>
        </w:rPr>
        <w:t>Pakrančių viešųjų erdvių pritaikymo rekreacijai ir turizmui darbai ir paslaugos projekte „Pakrantės prieinamumo ir infrastruktūros gerinimas Ažvinčių ežere“</w:t>
      </w:r>
    </w:p>
    <w:p w14:paraId="742CC793" w14:textId="77777777" w:rsidR="003F2EC9" w:rsidRDefault="003F2EC9" w:rsidP="00DA481E">
      <w:pPr>
        <w:pStyle w:val="Pagrindinistekstas2"/>
        <w:widowControl w:val="0"/>
        <w:shd w:val="clear" w:color="auto" w:fill="auto"/>
        <w:suppressAutoHyphens/>
        <w:spacing w:before="0" w:after="0" w:line="240" w:lineRule="auto"/>
        <w:ind w:firstLine="0"/>
        <w:rPr>
          <w:rFonts w:ascii="Times New Roman" w:hAnsi="Times New Roman"/>
          <w:sz w:val="24"/>
          <w:szCs w:val="24"/>
          <w:lang w:val="lt-LT"/>
        </w:rPr>
      </w:pPr>
    </w:p>
    <w:p w14:paraId="7CA558EC" w14:textId="74F14903"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sąskaitos numeris LT067182200001130990</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Atsiskaitomosios (-ųjų) sąskaitos (-ų) numeris (-iai)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2FE1A58B"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989E9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008B93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B6027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A6641"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19438"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420028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B0EF61A"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804084E" w14:textId="09D4132C" w:rsidR="00DA481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7F02A5F" w14:textId="43963882"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5029D54" w14:textId="005A920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A01F2F" w14:textId="2D8F6DC5"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272F867" w14:textId="3FB07F74"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1165EAD" w14:textId="023B1560"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FAFC789" w14:textId="0586AD70"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AB863ED" w14:textId="2EDE4474"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FF4E950" w14:textId="11A76D5E"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F1B77AD" w14:textId="3BCB2175"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ACF57C6" w14:textId="77777777"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DD4D37A" w14:textId="38C1AEA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9556958" w14:textId="77777777" w:rsidR="00ED7BAA" w:rsidRPr="00884C6E"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BF6F67"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79C5652C" w14:textId="5259C325" w:rsidR="003F2EC9" w:rsidRPr="003F2EC9" w:rsidRDefault="00DA481E" w:rsidP="003F2EC9">
      <w:pPr>
        <w:tabs>
          <w:tab w:val="clear" w:pos="1293"/>
        </w:tabs>
        <w:suppressAutoHyphens w:val="0"/>
        <w:ind w:firstLine="1134"/>
        <w:jc w:val="both"/>
        <w:textAlignment w:val="auto"/>
        <w:rPr>
          <w:szCs w:val="24"/>
          <w:lang w:val="lt-LT" w:eastAsia="lt-LT"/>
        </w:rPr>
      </w:pPr>
      <w:r w:rsidRPr="00884C6E">
        <w:rPr>
          <w:szCs w:val="24"/>
          <w:lang w:val="lt-LT"/>
        </w:rPr>
        <w:t>1.</w:t>
      </w:r>
      <w:r w:rsidRPr="00884C6E">
        <w:rPr>
          <w:szCs w:val="24"/>
          <w:lang w:val="lt-LT"/>
        </w:rPr>
        <w:tab/>
        <w:t>Šia Sutartimi Rangovas įsipareigoja per Sutartyje nustatytą darbų atlikimo terminą ir Sutartyje nustatytomis sąlygomis atlikti ir perduoti šiuos darbus (toliau – darbai):</w:t>
      </w:r>
      <w:r w:rsidR="00D215B1" w:rsidRPr="00884C6E">
        <w:rPr>
          <w:b/>
          <w:szCs w:val="24"/>
          <w:lang w:val="lt-LT"/>
        </w:rPr>
        <w:t xml:space="preserve"> </w:t>
      </w:r>
      <w:r w:rsidR="00FD6BC1" w:rsidRPr="00FD6BC1">
        <w:rPr>
          <w:szCs w:val="24"/>
          <w:lang w:val="lt-LT"/>
        </w:rPr>
        <w:t>Pakrančių viešųjų erdvių pritaikymo rekreacijai ir turizmui darbai ir paslaugos projekte „Pakrantės prieinamumo ir infrastruktūros gerinimas Ažvinčių ežere“,</w:t>
      </w:r>
      <w:r w:rsidR="00FD6BC1">
        <w:rPr>
          <w:b/>
          <w:bCs/>
          <w:szCs w:val="24"/>
          <w:lang w:val="lt-LT"/>
        </w:rPr>
        <w:t xml:space="preserve"> </w:t>
      </w:r>
      <w:r w:rsidRPr="00884C6E">
        <w:rPr>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r w:rsidR="003F2EC9" w:rsidRPr="003F2EC9">
        <w:rPr>
          <w:b/>
          <w:bCs/>
          <w:szCs w:val="24"/>
          <w:lang w:val="lt-LT"/>
        </w:rPr>
        <w:t xml:space="preserve"> </w:t>
      </w:r>
      <w:r w:rsidR="003F2EC9" w:rsidRPr="003F2EC9">
        <w:rPr>
          <w:szCs w:val="24"/>
          <w:lang w:val="lt-LT"/>
        </w:rPr>
        <w:t>Pakrančių viešųjų erdvių pritaikymo rekreacijai ir turizmui darbai atliekami</w:t>
      </w:r>
      <w:r w:rsidR="003F2EC9">
        <w:rPr>
          <w:b/>
          <w:bCs/>
          <w:szCs w:val="24"/>
          <w:lang w:val="lt-LT"/>
        </w:rPr>
        <w:t xml:space="preserve"> </w:t>
      </w:r>
      <w:r w:rsidR="003F2EC9" w:rsidRPr="00047E87">
        <w:rPr>
          <w:color w:val="000000" w:themeColor="text1"/>
          <w:szCs w:val="24"/>
          <w:lang w:val="lt-LT"/>
        </w:rPr>
        <w:t xml:space="preserve">pagal </w:t>
      </w:r>
      <w:r w:rsidR="003F2EC9" w:rsidRPr="00047E87">
        <w:rPr>
          <w:szCs w:val="24"/>
          <w:lang w:val="lt-LT"/>
        </w:rPr>
        <w:t>projektą</w:t>
      </w:r>
      <w:r w:rsidR="003F2EC9" w:rsidRPr="003F2EC9">
        <w:rPr>
          <w:rFonts w:ascii="Calibri" w:hAnsi="Calibri" w:cs="Calibri"/>
          <w:color w:val="000000"/>
          <w:szCs w:val="24"/>
          <w:lang w:val="lt-LT" w:eastAsia="lt-LT"/>
        </w:rPr>
        <w:t xml:space="preserve"> </w:t>
      </w:r>
      <w:r w:rsidR="003F2EC9" w:rsidRPr="003F2EC9">
        <w:rPr>
          <w:color w:val="000000"/>
          <w:szCs w:val="24"/>
          <w:lang w:val="lt-LT" w:eastAsia="lt-LT"/>
        </w:rPr>
        <w:t>„Pakrantės prieinamumo ir infrastruktūros gerinimas Ažvinčių ežere“ Nr. 31SI1-25-04-K-002-PR001</w:t>
      </w:r>
      <w:r w:rsidR="003F2EC9">
        <w:rPr>
          <w:color w:val="000000"/>
          <w:szCs w:val="24"/>
          <w:lang w:val="lt-LT" w:eastAsia="lt-LT"/>
        </w:rPr>
        <w:t>.</w:t>
      </w:r>
    </w:p>
    <w:p w14:paraId="13AAF8EE" w14:textId="24C749A3" w:rsidR="00DA481E" w:rsidRPr="00884C6E" w:rsidRDefault="00DA481E" w:rsidP="003F2EC9">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p>
    <w:p w14:paraId="211C6FF2" w14:textId="77777777" w:rsidR="00DA481E" w:rsidRPr="00884C6E" w:rsidRDefault="00DA481E" w:rsidP="003F2EC9">
      <w:pPr>
        <w:pStyle w:val="Pagrindinistekstas2"/>
        <w:widowControl w:val="0"/>
        <w:shd w:val="clear" w:color="auto" w:fill="auto"/>
        <w:suppressAutoHyphens/>
        <w:spacing w:before="0" w:after="0" w:line="240" w:lineRule="auto"/>
        <w:ind w:hanging="20"/>
        <w:jc w:val="both"/>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55C9808B" w:rsidR="00DA481E" w:rsidRPr="00884C6E" w:rsidRDefault="00DA481E" w:rsidP="003F2EC9">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8E154C">
        <w:rPr>
          <w:rFonts w:ascii="Times New Roman" w:hAnsi="Times New Roman" w:cs="Times New Roman"/>
          <w:b/>
          <w:bCs/>
          <w:color w:val="000000" w:themeColor="text1"/>
          <w:sz w:val="24"/>
          <w:szCs w:val="24"/>
          <w:lang w:val="lt-LT"/>
        </w:rPr>
        <w:t xml:space="preserve"> </w:t>
      </w:r>
      <w:r w:rsidR="00536349">
        <w:rPr>
          <w:rFonts w:ascii="Times New Roman" w:hAnsi="Times New Roman" w:cs="Times New Roman"/>
          <w:color w:val="000000" w:themeColor="text1"/>
          <w:sz w:val="24"/>
          <w:szCs w:val="24"/>
          <w:lang w:val="lt-LT"/>
        </w:rPr>
        <w:t>Ažvinčio</w:t>
      </w:r>
      <w:r w:rsidR="008E154C" w:rsidRPr="008E154C">
        <w:rPr>
          <w:rFonts w:ascii="Times New Roman" w:hAnsi="Times New Roman" w:cs="Times New Roman"/>
          <w:color w:val="000000" w:themeColor="text1"/>
          <w:sz w:val="24"/>
          <w:szCs w:val="24"/>
          <w:lang w:val="lt-LT"/>
        </w:rPr>
        <w:t xml:space="preserve"> ež., </w:t>
      </w:r>
      <w:r w:rsidR="00536349">
        <w:rPr>
          <w:rFonts w:ascii="Times New Roman" w:hAnsi="Times New Roman" w:cs="Times New Roman"/>
          <w:color w:val="000000" w:themeColor="text1"/>
          <w:sz w:val="24"/>
          <w:szCs w:val="24"/>
          <w:lang w:val="lt-LT"/>
        </w:rPr>
        <w:t>Švedriškės</w:t>
      </w:r>
      <w:r w:rsidR="008E154C" w:rsidRPr="008E154C">
        <w:rPr>
          <w:rFonts w:ascii="Times New Roman" w:hAnsi="Times New Roman" w:cs="Times New Roman"/>
          <w:color w:val="000000" w:themeColor="text1"/>
          <w:sz w:val="24"/>
          <w:szCs w:val="24"/>
          <w:lang w:val="lt-LT"/>
        </w:rPr>
        <w:t xml:space="preserve"> k., Ignalinos r.</w:t>
      </w:r>
    </w:p>
    <w:p w14:paraId="647C7BAD" w14:textId="35BE78F5" w:rsidR="00DA481E" w:rsidRPr="00884C6E" w:rsidRDefault="00DA481E" w:rsidP="003F2EC9">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Darbų atlikimo terminas: ne ilgiau kaip per </w:t>
      </w:r>
      <w:r w:rsidR="008B12ED">
        <w:rPr>
          <w:rFonts w:ascii="Times New Roman" w:hAnsi="Times New Roman" w:cs="Times New Roman"/>
          <w:sz w:val="24"/>
          <w:szCs w:val="24"/>
          <w:lang w:val="lt-LT"/>
        </w:rPr>
        <w:t>90</w:t>
      </w:r>
      <w:r w:rsidRPr="00884C6E">
        <w:rPr>
          <w:rFonts w:ascii="Times New Roman" w:hAnsi="Times New Roman" w:cs="Times New Roman"/>
          <w:sz w:val="24"/>
          <w:szCs w:val="24"/>
          <w:lang w:val="lt-LT"/>
        </w:rPr>
        <w:t xml:space="preserve"> (</w:t>
      </w:r>
      <w:r w:rsidR="008B12ED">
        <w:rPr>
          <w:rFonts w:ascii="Times New Roman" w:hAnsi="Times New Roman" w:cs="Times New Roman"/>
          <w:sz w:val="24"/>
          <w:szCs w:val="24"/>
          <w:lang w:val="lt-LT"/>
        </w:rPr>
        <w:t>devyniasdešimt</w:t>
      </w:r>
      <w:r w:rsidRPr="00884C6E">
        <w:rPr>
          <w:rFonts w:ascii="Times New Roman" w:hAnsi="Times New Roman" w:cs="Times New Roman"/>
          <w:sz w:val="24"/>
          <w:szCs w:val="24"/>
          <w:lang w:val="lt-LT"/>
        </w:rPr>
        <w:t>) kalendorinių dienų nuo darbų pradžios.</w:t>
      </w:r>
    </w:p>
    <w:p w14:paraId="16A18054" w14:textId="77777777" w:rsidR="00DA481E" w:rsidRPr="00884C6E" w:rsidRDefault="00DA481E" w:rsidP="003F2EC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pradžia – statybvietės perdavimo–priėmimo akto pasirašymo data.</w:t>
      </w:r>
    </w:p>
    <w:p w14:paraId="4CC4E03F" w14:textId="77777777" w:rsidR="00DA481E" w:rsidRPr="00884C6E" w:rsidRDefault="00DA481E" w:rsidP="003F2EC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24492545" w:rsidR="00DA481E" w:rsidRPr="00884C6E" w:rsidRDefault="002D2027" w:rsidP="003F2EC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2D2027">
        <w:rPr>
          <w:rFonts w:ascii="Times New Roman" w:hAnsi="Times New Roman" w:cs="Times New Roman"/>
          <w:sz w:val="24"/>
          <w:szCs w:val="24"/>
          <w:lang w:val="lt-LT"/>
        </w:rPr>
        <w:t>Darbų atlikimo pratesimo terminas nenumatytas</w:t>
      </w:r>
      <w:r w:rsidR="000223DB">
        <w:rPr>
          <w:rFonts w:ascii="Times New Roman" w:hAnsi="Times New Roman" w:cs="Times New Roman"/>
          <w:sz w:val="24"/>
          <w:szCs w:val="24"/>
          <w:lang w:val="lt-LT"/>
        </w:rPr>
        <w:t>.</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50999F76" w:rsidR="00DA481E" w:rsidRPr="00431C1A"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475171">
        <w:rPr>
          <w:rFonts w:ascii="Times New Roman" w:hAnsi="Times New Roman" w:cs="Times New Roman"/>
          <w:sz w:val="24"/>
          <w:szCs w:val="24"/>
          <w:lang w:val="lt-LT"/>
        </w:rPr>
        <w:t>.</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w:t>
      </w:r>
      <w:r w:rsidRPr="00884C6E">
        <w:rPr>
          <w:rFonts w:ascii="Times New Roman" w:hAnsi="Times New Roman" w:cs="Times New Roman"/>
          <w:sz w:val="24"/>
          <w:szCs w:val="24"/>
          <w:lang w:val="lt-LT"/>
        </w:rPr>
        <w:lastRenderedPageBreak/>
        <w:t xml:space="preserve">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884C6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884C6E" w14:paraId="7D812E39"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884C6E"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884C6E">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884C6E">
              <w:rPr>
                <w:rFonts w:ascii="Times New Roman" w:hAnsi="Times New Roman" w:cs="Times New Roman"/>
                <w:b/>
                <w:sz w:val="24"/>
                <w:szCs w:val="24"/>
                <w:lang w:val="lt-LT"/>
              </w:rPr>
              <w:t>Eurai</w:t>
            </w:r>
          </w:p>
        </w:tc>
      </w:tr>
      <w:tr w:rsidR="00DA481E" w:rsidRPr="00884C6E" w14:paraId="27DF80A4"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pavadinimas</w:t>
            </w:r>
            <w:r w:rsidRPr="00884C6E">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Suma be PVM</w:t>
            </w:r>
            <w:r w:rsidRPr="00884C6E">
              <w:rPr>
                <w:rFonts w:ascii="Times New Roman" w:hAnsi="Times New Roman" w:cs="Times New Roman"/>
                <w:b/>
                <w:sz w:val="24"/>
                <w:szCs w:val="24"/>
                <w:vertAlign w:val="superscript"/>
                <w:lang w:val="lt-LT"/>
              </w:rPr>
              <w:t>2</w:t>
            </w:r>
          </w:p>
        </w:tc>
      </w:tr>
      <w:tr w:rsidR="00CF3677" w:rsidRPr="00884C6E" w14:paraId="03EA1A58"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CF3677" w:rsidRPr="00884C6E" w:rsidRDefault="00CF3677"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79615157" w:rsidR="00CF3677" w:rsidRPr="00AD7B58" w:rsidRDefault="00CB6EF8" w:rsidP="00CF3677">
            <w:pPr>
              <w:widowControl w:val="0"/>
              <w:rPr>
                <w:color w:val="FF0000"/>
                <w:lang w:val="lt-LT"/>
              </w:rPr>
            </w:pPr>
            <w:r w:rsidRPr="002E33E1">
              <w:rPr>
                <w:bCs/>
                <w:szCs w:val="24"/>
                <w:lang w:val="lt-LT"/>
              </w:rPr>
              <w:t xml:space="preserve">Sutvirtinto grunto </w:t>
            </w:r>
            <w:r w:rsidR="001E240B">
              <w:rPr>
                <w:bCs/>
                <w:szCs w:val="24"/>
                <w:lang w:val="lt-LT"/>
              </w:rPr>
              <w:t>dangos</w:t>
            </w:r>
            <w:r w:rsidR="00C31ECC">
              <w:rPr>
                <w:bCs/>
                <w:szCs w:val="24"/>
                <w:lang w:val="lt-LT"/>
              </w:rPr>
              <w:t xml:space="preserve"> </w:t>
            </w:r>
            <w:r w:rsidR="001E240B">
              <w:rPr>
                <w:bCs/>
                <w:szCs w:val="24"/>
                <w:lang w:val="lt-LT"/>
              </w:rPr>
              <w:t>aikštelės</w:t>
            </w:r>
            <w:r w:rsidR="00F74729">
              <w:rPr>
                <w:bCs/>
                <w:szCs w:val="24"/>
                <w:lang w:val="lt-LT"/>
              </w:rPr>
              <w:t xml:space="preserve"> </w:t>
            </w:r>
            <w:r w:rsidRPr="002E33E1">
              <w:rPr>
                <w:bCs/>
                <w:szCs w:val="24"/>
                <w:lang w:val="lt-LT"/>
              </w:rPr>
              <w:t>įrengimas</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CF3677" w:rsidRPr="00884C6E" w:rsidRDefault="00CF3677" w:rsidP="00CF3677">
            <w:pPr>
              <w:widowControl w:val="0"/>
              <w:rPr>
                <w:color w:val="FF0000"/>
                <w:lang w:val="lt-LT"/>
              </w:rPr>
            </w:pPr>
            <w:r w:rsidRPr="00884C6E">
              <w:rPr>
                <w:color w:val="FF0000"/>
                <w:lang w:val="lt-LT"/>
              </w:rPr>
              <w:t>įrašyti</w:t>
            </w:r>
          </w:p>
        </w:tc>
      </w:tr>
      <w:tr w:rsidR="00F74729" w:rsidRPr="00884C6E" w14:paraId="7E344A00"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0AD6BF4E" w14:textId="3838D7F8" w:rsidR="00F74729" w:rsidRPr="00884C6E" w:rsidRDefault="003948F1"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6B75D353" w14:textId="6D91E4EF" w:rsidR="00F74729" w:rsidRPr="00DE3399" w:rsidRDefault="002A4184" w:rsidP="00CF3677">
            <w:pPr>
              <w:widowControl w:val="0"/>
              <w:rPr>
                <w:szCs w:val="24"/>
                <w:lang w:val="lt-LT"/>
              </w:rPr>
            </w:pPr>
            <w:r w:rsidRPr="00DE3399">
              <w:rPr>
                <w:szCs w:val="24"/>
                <w:lang w:val="lt-LT"/>
              </w:rPr>
              <w:t xml:space="preserve">Medžio skydų takų </w:t>
            </w:r>
            <w:r w:rsidR="00314AAA" w:rsidRPr="00DE3399">
              <w:rPr>
                <w:szCs w:val="24"/>
                <w:lang w:val="lt-LT"/>
              </w:rPr>
              <w:t>įrengimas</w:t>
            </w:r>
          </w:p>
        </w:tc>
        <w:tc>
          <w:tcPr>
            <w:tcW w:w="1911" w:type="dxa"/>
            <w:tcBorders>
              <w:top w:val="single" w:sz="4" w:space="0" w:color="auto"/>
              <w:left w:val="single" w:sz="4" w:space="0" w:color="auto"/>
              <w:bottom w:val="single" w:sz="4" w:space="0" w:color="auto"/>
              <w:right w:val="single" w:sz="4" w:space="0" w:color="auto"/>
            </w:tcBorders>
          </w:tcPr>
          <w:p w14:paraId="2238F5A4" w14:textId="153AB441" w:rsidR="00F74729" w:rsidRPr="00884C6E" w:rsidRDefault="00290EC3" w:rsidP="00CF3677">
            <w:pPr>
              <w:widowControl w:val="0"/>
              <w:rPr>
                <w:color w:val="FF0000"/>
                <w:lang w:val="lt-LT"/>
              </w:rPr>
            </w:pPr>
            <w:r w:rsidRPr="00884C6E">
              <w:rPr>
                <w:color w:val="FF0000"/>
                <w:lang w:val="lt-LT"/>
              </w:rPr>
              <w:t>įrašyti</w:t>
            </w:r>
          </w:p>
        </w:tc>
      </w:tr>
      <w:tr w:rsidR="00171749" w:rsidRPr="00884C6E" w14:paraId="603489D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2F0070D5" w14:textId="51EEA05D" w:rsidR="00171749" w:rsidRDefault="00171749"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6877" w:type="dxa"/>
            <w:tcBorders>
              <w:top w:val="single" w:sz="4" w:space="0" w:color="auto"/>
              <w:left w:val="single" w:sz="4" w:space="0" w:color="auto"/>
              <w:bottom w:val="single" w:sz="4" w:space="0" w:color="auto"/>
              <w:right w:val="single" w:sz="4" w:space="0" w:color="auto"/>
            </w:tcBorders>
          </w:tcPr>
          <w:p w14:paraId="3EF559CB" w14:textId="5BAC432A" w:rsidR="00171749" w:rsidRDefault="00580372" w:rsidP="00CF3677">
            <w:pPr>
              <w:widowControl w:val="0"/>
              <w:rPr>
                <w:bCs/>
                <w:szCs w:val="24"/>
                <w:lang w:val="lt-LT"/>
              </w:rPr>
            </w:pPr>
            <w:r>
              <w:rPr>
                <w:bCs/>
                <w:szCs w:val="24"/>
                <w:lang w:val="lt-LT"/>
              </w:rPr>
              <w:t>Vandens a</w:t>
            </w:r>
            <w:r w:rsidRPr="002E33E1">
              <w:rPr>
                <w:bCs/>
                <w:szCs w:val="24"/>
                <w:lang w:val="lt-LT"/>
              </w:rPr>
              <w:t>ugmenijos valymas</w:t>
            </w:r>
          </w:p>
        </w:tc>
        <w:tc>
          <w:tcPr>
            <w:tcW w:w="1911" w:type="dxa"/>
            <w:tcBorders>
              <w:top w:val="single" w:sz="4" w:space="0" w:color="auto"/>
              <w:left w:val="single" w:sz="4" w:space="0" w:color="auto"/>
              <w:bottom w:val="single" w:sz="4" w:space="0" w:color="auto"/>
              <w:right w:val="single" w:sz="4" w:space="0" w:color="auto"/>
            </w:tcBorders>
          </w:tcPr>
          <w:p w14:paraId="6582A659" w14:textId="50BB7B05" w:rsidR="00171749" w:rsidRPr="00884C6E" w:rsidRDefault="00171749" w:rsidP="00CF3677">
            <w:pPr>
              <w:widowControl w:val="0"/>
              <w:rPr>
                <w:color w:val="FF0000"/>
                <w:lang w:val="lt-LT"/>
              </w:rPr>
            </w:pPr>
            <w:r w:rsidRPr="00884C6E">
              <w:rPr>
                <w:color w:val="FF0000"/>
                <w:lang w:val="lt-LT"/>
              </w:rPr>
              <w:t>įrašyti</w:t>
            </w:r>
          </w:p>
        </w:tc>
      </w:tr>
      <w:tr w:rsidR="00CF3677" w:rsidRPr="00884C6E" w14:paraId="67EFD4C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70154B2" w14:textId="4F76422F" w:rsidR="00CF3677" w:rsidRPr="00884C6E" w:rsidRDefault="00171749"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4</w:t>
            </w:r>
            <w:r w:rsidR="00CF3677" w:rsidRPr="00884C6E">
              <w:rPr>
                <w:rFonts w:ascii="Times New Roman" w:hAnsi="Times New Roman" w:cs="Times New Roman"/>
                <w:sz w:val="24"/>
                <w:szCs w:val="24"/>
                <w:lang w:val="lt-LT"/>
              </w:rPr>
              <w:t>.</w:t>
            </w:r>
          </w:p>
        </w:tc>
        <w:tc>
          <w:tcPr>
            <w:tcW w:w="6877" w:type="dxa"/>
            <w:tcBorders>
              <w:top w:val="single" w:sz="4" w:space="0" w:color="auto"/>
              <w:left w:val="single" w:sz="4" w:space="0" w:color="auto"/>
              <w:bottom w:val="single" w:sz="4" w:space="0" w:color="auto"/>
              <w:right w:val="single" w:sz="4" w:space="0" w:color="auto"/>
            </w:tcBorders>
          </w:tcPr>
          <w:p w14:paraId="191B0962" w14:textId="222DE211" w:rsidR="00CF3677" w:rsidRPr="006C1478" w:rsidRDefault="006C1478" w:rsidP="00CF3677">
            <w:pPr>
              <w:widowControl w:val="0"/>
              <w:rPr>
                <w:color w:val="FF0000"/>
                <w:lang w:val="lt-LT"/>
              </w:rPr>
            </w:pPr>
            <w:r w:rsidRPr="00C769AE">
              <w:rPr>
                <w:szCs w:val="24"/>
                <w:lang w:val="lt-LT"/>
              </w:rPr>
              <w:t>Išpildomųjų nuotraukų</w:t>
            </w:r>
            <w:r w:rsidR="00C769AE" w:rsidRPr="00C769AE">
              <w:rPr>
                <w:szCs w:val="24"/>
                <w:lang w:val="lt-LT"/>
              </w:rPr>
              <w:t xml:space="preserve"> </w:t>
            </w:r>
            <w:r w:rsidRPr="00C769AE">
              <w:rPr>
                <w:szCs w:val="24"/>
                <w:lang w:val="lt-LT"/>
              </w:rPr>
              <w:t xml:space="preserve">ir kadastrinių matavimų bylos </w:t>
            </w:r>
            <w:r w:rsidR="00C769AE" w:rsidRPr="006C1478">
              <w:rPr>
                <w:szCs w:val="24"/>
                <w:lang w:val="pt-BR"/>
              </w:rPr>
              <w:t>parengimas</w:t>
            </w:r>
            <w:r w:rsidRPr="00C769AE">
              <w:rPr>
                <w:szCs w:val="24"/>
                <w:lang w:val="lt-LT"/>
              </w:rPr>
              <w:t>, patikros atlikimas registracijai VĮ Registrų centre</w:t>
            </w:r>
          </w:p>
        </w:tc>
        <w:tc>
          <w:tcPr>
            <w:tcW w:w="1911" w:type="dxa"/>
            <w:tcBorders>
              <w:top w:val="single" w:sz="4" w:space="0" w:color="auto"/>
              <w:left w:val="single" w:sz="4" w:space="0" w:color="auto"/>
              <w:bottom w:val="single" w:sz="4" w:space="0" w:color="auto"/>
              <w:right w:val="single" w:sz="4" w:space="0" w:color="auto"/>
            </w:tcBorders>
          </w:tcPr>
          <w:p w14:paraId="3D43AA7A" w14:textId="77777777" w:rsidR="00CF3677" w:rsidRPr="00884C6E" w:rsidRDefault="00CF3677" w:rsidP="00CF3677">
            <w:pPr>
              <w:widowControl w:val="0"/>
              <w:rPr>
                <w:color w:val="FF0000"/>
                <w:lang w:val="lt-LT"/>
              </w:rPr>
            </w:pPr>
            <w:r w:rsidRPr="00884C6E">
              <w:rPr>
                <w:color w:val="FF0000"/>
                <w:lang w:val="lt-LT"/>
              </w:rPr>
              <w:t>įrašyti</w:t>
            </w:r>
          </w:p>
        </w:tc>
      </w:tr>
      <w:tr w:rsidR="00DA481E" w:rsidRPr="00884C6E" w14:paraId="1DCB7ED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DA481E" w:rsidRPr="00AD7B58"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AD7B58">
              <w:rPr>
                <w:rFonts w:ascii="Times New Roman" w:hAnsi="Times New Roman" w:cs="Times New Roman"/>
                <w:b/>
                <w:sz w:val="24"/>
                <w:szCs w:val="24"/>
                <w:lang w:val="lt-LT"/>
              </w:rPr>
              <w:t>Sutarties kaina be PVM</w:t>
            </w:r>
            <w:r w:rsidRPr="00AD7B58">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6150C09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DA481E" w:rsidRPr="00884C6E" w:rsidRDefault="00DA481E" w:rsidP="009C6BB8">
            <w:pPr>
              <w:widowControl w:val="0"/>
              <w:jc w:val="right"/>
              <w:rPr>
                <w:b/>
                <w:szCs w:val="24"/>
                <w:lang w:val="lt-LT"/>
              </w:rPr>
            </w:pPr>
            <w:r w:rsidRPr="00884C6E">
              <w:rPr>
                <w:rStyle w:val="Pagrindinistekstas4Nekursyvas"/>
                <w:b/>
                <w:szCs w:val="24"/>
                <w:lang w:val="lt-LT"/>
              </w:rPr>
              <w:t>PVM</w:t>
            </w:r>
            <w:r w:rsidRPr="00884C6E">
              <w:rPr>
                <w:b/>
                <w:i/>
                <w:szCs w:val="24"/>
                <w:lang w:val="lt-LT"/>
              </w:rPr>
              <w:t xml:space="preserve"> </w:t>
            </w:r>
            <w:r w:rsidRPr="00884C6E">
              <w:rPr>
                <w:b/>
                <w:color w:val="FF0000"/>
                <w:szCs w:val="24"/>
                <w:lang w:val="lt-LT"/>
              </w:rPr>
              <w:t>(</w:t>
            </w:r>
            <w:r w:rsidRPr="00884C6E">
              <w:rPr>
                <w:rStyle w:val="Pagrindinistekstas40"/>
                <w:b/>
                <w:color w:val="FF0000"/>
                <w:sz w:val="24"/>
                <w:szCs w:val="24"/>
                <w:lang w:val="lt-LT"/>
              </w:rPr>
              <w:t>įrašykite tarifą</w:t>
            </w:r>
            <w:r w:rsidRPr="00884C6E">
              <w:rPr>
                <w:rStyle w:val="Pagrindinistekstas4Nekursyvas"/>
                <w:b/>
                <w:color w:val="FF0000"/>
                <w:szCs w:val="24"/>
                <w:lang w:val="lt-LT"/>
              </w:rPr>
              <w:t>)</w:t>
            </w:r>
            <w:r w:rsidRPr="00884C6E">
              <w:rPr>
                <w:rStyle w:val="Pagrindinistekstas4Nekursyvas"/>
                <w:b/>
                <w:szCs w:val="24"/>
                <w:lang w:val="lt-LT"/>
              </w:rPr>
              <w:t xml:space="preserve"> kaina</w:t>
            </w:r>
            <w:r w:rsidRPr="00884C6E">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16DA4437" w14:textId="77777777" w:rsidTr="00CF3677">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884C6E">
              <w:rPr>
                <w:rFonts w:ascii="Times New Roman" w:hAnsi="Times New Roman" w:cs="Times New Roman"/>
                <w:b/>
                <w:sz w:val="24"/>
                <w:szCs w:val="24"/>
                <w:lang w:val="lt-LT"/>
              </w:rPr>
              <w:t>Sutarties kaina su PVM</w:t>
            </w:r>
            <w:r w:rsidRPr="00884C6E">
              <w:rPr>
                <w:rFonts w:ascii="Times New Roman" w:hAnsi="Times New Roman" w:cs="Times New Roman"/>
                <w:b/>
                <w:sz w:val="24"/>
                <w:szCs w:val="24"/>
                <w:vertAlign w:val="superscript"/>
                <w:lang w:val="lt-LT"/>
              </w:rPr>
              <w:t>2:</w:t>
            </w:r>
          </w:p>
          <w:p w14:paraId="7B48D5A7"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5DF0F83C" w14:textId="77777777" w:rsidTr="00CF3677">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884C6E">
              <w:rPr>
                <w:rFonts w:ascii="Times New Roman" w:hAnsi="Times New Roman" w:cs="Times New Roman"/>
                <w:b/>
                <w:sz w:val="24"/>
                <w:szCs w:val="24"/>
                <w:lang w:val="lt-LT"/>
              </w:rPr>
              <w:t>Bendra kaina su PVM žodžiais:</w:t>
            </w:r>
            <w:r w:rsidRPr="00884C6E">
              <w:rPr>
                <w:rFonts w:ascii="Times New Roman" w:hAnsi="Times New Roman" w:cs="Times New Roman"/>
                <w:b/>
                <w:i/>
                <w:sz w:val="24"/>
                <w:szCs w:val="24"/>
                <w:lang w:val="lt-LT"/>
              </w:rPr>
              <w:t xml:space="preserve"> </w:t>
            </w:r>
            <w:r w:rsidRPr="00884C6E">
              <w:rPr>
                <w:rFonts w:ascii="Times New Roman" w:hAnsi="Times New Roman" w:cs="Times New Roman"/>
                <w:b/>
                <w:color w:val="FF0000"/>
                <w:sz w:val="24"/>
                <w:szCs w:val="24"/>
                <w:lang w:val="lt-LT"/>
              </w:rPr>
              <w:t>įrašyti</w:t>
            </w:r>
          </w:p>
        </w:tc>
      </w:tr>
    </w:tbl>
    <w:p w14:paraId="00700FC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Jei suma skaičiais neatitinka sumos žodžiais, teisinga laikoma suma žodžiais.</w:t>
      </w:r>
    </w:p>
    <w:p w14:paraId="661A3A67" w14:textId="77777777" w:rsidR="00DA481E" w:rsidRPr="00884C6E"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darbų pavadinimas turi atitikti įkainotų veiklų sąraše nurodytą pavadinimą.</w:t>
      </w:r>
    </w:p>
    <w:p w14:paraId="173F7DF4" w14:textId="77777777" w:rsidR="00DA481E" w:rsidRPr="00884C6E"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79CFB43B" w14:textId="77777777" w:rsidR="00DA481E" w:rsidRPr="00884C6E"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4ABF5372" w14:textId="52F16276" w:rsidR="00DA481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15B28DA" w14:textId="0C2DC2AF" w:rsidR="002D4A2E" w:rsidRPr="00884C6E" w:rsidRDefault="002D4A2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9C6BB8">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726BA0F0" w14:textId="52926C85"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71123EC" w14:textId="77777777" w:rsidR="003F2EC9" w:rsidRPr="00AD162B" w:rsidRDefault="003F2EC9" w:rsidP="003F2EC9">
      <w:pPr>
        <w:tabs>
          <w:tab w:val="left" w:pos="2127"/>
        </w:tabs>
        <w:ind w:firstLine="1134"/>
        <w:jc w:val="both"/>
        <w:rPr>
          <w:szCs w:val="24"/>
          <w:lang w:val="lt-LT" w:eastAsia="lt-LT"/>
        </w:rPr>
      </w:pPr>
      <w:r w:rsidRPr="00AD162B">
        <w:rPr>
          <w:szCs w:val="24"/>
          <w:lang w:val="lt-LT" w:eastAsia="lt-LT"/>
        </w:rPr>
        <w:t xml:space="preserve">26. 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w:t>
      </w:r>
    </w:p>
    <w:p w14:paraId="279BF4F2" w14:textId="77777777" w:rsidR="003F2EC9" w:rsidRPr="003309D3" w:rsidRDefault="003F2EC9" w:rsidP="003F2EC9">
      <w:pPr>
        <w:pStyle w:val="Sraopastraipa"/>
        <w:autoSpaceDE w:val="0"/>
        <w:autoSpaceDN w:val="0"/>
        <w:spacing w:line="240" w:lineRule="auto"/>
        <w:ind w:left="0" w:firstLine="1134"/>
        <w:jc w:val="both"/>
        <w:rPr>
          <w:rFonts w:ascii="Times New Roman" w:eastAsia="Times New Roman" w:hAnsi="Times New Roman" w:cs="Times New Roman"/>
          <w:sz w:val="24"/>
          <w:szCs w:val="24"/>
          <w:lang w:eastAsia="lt-LT"/>
        </w:rPr>
      </w:pPr>
      <w:r w:rsidRPr="00AD162B">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7</w:t>
      </w:r>
      <w:r w:rsidRPr="00AD162B">
        <w:rPr>
          <w:rFonts w:ascii="Times New Roman" w:eastAsia="Times New Roman" w:hAnsi="Times New Roman" w:cs="Times New Roman"/>
          <w:sz w:val="24"/>
          <w:szCs w:val="24"/>
          <w:lang w:eastAsia="lt-LT"/>
        </w:rPr>
        <w:t xml:space="preserve">. Rangovas vykdant Sutartį privalo užtikrinti, kad Darbai, nurodyti Veiklų sąraše ,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w:t>
      </w:r>
      <w:r w:rsidRPr="00AD162B">
        <w:rPr>
          <w:rFonts w:ascii="Times New Roman" w:eastAsia="Times New Roman" w:hAnsi="Times New Roman" w:cs="Times New Roman"/>
          <w:sz w:val="24"/>
          <w:szCs w:val="24"/>
          <w:lang w:eastAsia="lt-LT"/>
        </w:rPr>
        <w:lastRenderedPageBreak/>
        <w:t>įstaigos, atitinkančios Europos Sąjungos teisės aktus arba atitinkamus Europos ar tarptautinius sertifikavimo standartus. Užsakovui paprašius, Rangovas turi per 10 (dešimt) kalendorinių dienų nuo prašymo gavimo dienos pateikti Užsakovui ataskaitą ir (ar) dokumentus, patvirtinančius nurodytų įsipareigojimų laikymąsi. Pažeidus šiame punkte numatytus reikalavimus, Rangovas įsipareigoja sumokėti Užsakovui 1 proc. nuo Sutarties vertės dydžio baudą.</w:t>
      </w:r>
    </w:p>
    <w:p w14:paraId="492AA0FD" w14:textId="77777777" w:rsidR="008A17BB" w:rsidRPr="00431C1A" w:rsidRDefault="008A17BB" w:rsidP="008A17BB">
      <w:pPr>
        <w:jc w:val="both"/>
        <w:rPr>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145ABB2C"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9E61D7">
        <w:rPr>
          <w:rFonts w:ascii="Times New Roman" w:hAnsi="Times New Roman" w:cs="Times New Roman"/>
          <w:sz w:val="24"/>
          <w:szCs w:val="24"/>
          <w:lang w:val="lt-LT"/>
        </w:rPr>
        <w:t>8</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884C6E"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Techninės specifikacijos, darbų kiekių </w:t>
      </w:r>
      <w:r w:rsidR="00F905FC" w:rsidRPr="00884C6E">
        <w:rPr>
          <w:rFonts w:ascii="Times New Roman" w:hAnsi="Times New Roman" w:cs="Times New Roman"/>
          <w:sz w:val="24"/>
          <w:szCs w:val="24"/>
          <w:lang w:val="lt-LT"/>
        </w:rPr>
        <w:t>žiniaraščiai</w:t>
      </w:r>
      <w:r w:rsidRPr="00884C6E">
        <w:rPr>
          <w:rFonts w:ascii="Times New Roman" w:hAnsi="Times New Roman" w:cs="Times New Roman"/>
          <w:sz w:val="24"/>
          <w:szCs w:val="24"/>
          <w:lang w:val="lt-LT"/>
        </w:rPr>
        <w:t xml:space="preserve"> ir perkančiosios organizacijos iki pasiūlymų pateikimo termino išsiųsti paaiškinimai</w:t>
      </w:r>
      <w:r w:rsidRPr="00884C6E">
        <w:rPr>
          <w:rStyle w:val="PagrindinistekstasKursyvas"/>
          <w:rFonts w:ascii="Times New Roman" w:hAnsi="Times New Roman" w:cs="Times New Roman"/>
          <w:sz w:val="24"/>
          <w:szCs w:val="24"/>
          <w:lang w:val="lt-LT"/>
        </w:rPr>
        <w:t xml:space="preserve"> (jei jų bus).</w:t>
      </w:r>
    </w:p>
    <w:p w14:paraId="351587E1" w14:textId="77777777"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4C99BB00"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9E61D7">
        <w:rPr>
          <w:rFonts w:ascii="Times New Roman" w:hAnsi="Times New Roman" w:cs="Times New Roman"/>
          <w:sz w:val="24"/>
          <w:szCs w:val="24"/>
          <w:lang w:val="lt-LT"/>
        </w:rPr>
        <w:t>9</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E574D39" w:rsidR="00DA481E" w:rsidRPr="00884C6E" w:rsidRDefault="009E61D7"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 xml:space="preserve">. Pirkėjo už Sutarties ir jos pakeitimų viešinimą atsakingu paskirtas asmuo: </w:t>
      </w:r>
      <w:r w:rsidR="00DA481E" w:rsidRPr="00884C6E">
        <w:rPr>
          <w:rFonts w:ascii="Times New Roman" w:hAnsi="Times New Roman" w:cs="Times New Roman"/>
          <w:color w:val="FF0000"/>
          <w:sz w:val="24"/>
          <w:szCs w:val="24"/>
          <w:lang w:val="lt-LT"/>
        </w:rPr>
        <w:t>įrašyti</w:t>
      </w:r>
      <w:r w:rsidR="00DA481E" w:rsidRPr="00884C6E">
        <w:rPr>
          <w:rFonts w:ascii="Times New Roman" w:hAnsi="Times New Roman" w:cs="Times New Roman"/>
          <w:sz w:val="24"/>
          <w:szCs w:val="24"/>
          <w:lang w:val="lt-LT"/>
        </w:rPr>
        <w:t xml:space="preserve"> </w:t>
      </w:r>
      <w:r w:rsidR="00DA481E" w:rsidRPr="00884C6E">
        <w:rPr>
          <w:rFonts w:ascii="Times New Roman" w:hAnsi="Times New Roman" w:cs="Times New Roman"/>
          <w:color w:val="FF0000"/>
          <w:sz w:val="24"/>
          <w:szCs w:val="24"/>
          <w:lang w:val="lt-LT"/>
        </w:rPr>
        <w:t>vardą pavardę, pareigas, kontaktinius duomenis ir kt</w:t>
      </w:r>
      <w:r w:rsidR="00DA481E" w:rsidRPr="00884C6E">
        <w:rPr>
          <w:rFonts w:ascii="Times New Roman" w:hAnsi="Times New Roman" w:cs="Times New Roman"/>
          <w:sz w:val="24"/>
          <w:szCs w:val="24"/>
          <w:lang w:val="lt-LT"/>
        </w:rPr>
        <w:t>.</w:t>
      </w:r>
    </w:p>
    <w:p w14:paraId="6BE21AEC" w14:textId="663D9D61"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9E61D7">
        <w:rPr>
          <w:rFonts w:ascii="Times New Roman" w:hAnsi="Times New Roman" w:cs="Times New Roman"/>
          <w:sz w:val="24"/>
          <w:szCs w:val="24"/>
          <w:lang w:val="lt-LT"/>
        </w:rPr>
        <w:t>1</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884C6E"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8"/>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884C6E">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884C6E">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 xml:space="preserve">Jei subrangovas išreiškia norą pasinaudoti tiesioginio atsiskaitymo galimybe, Rangovas </w:t>
      </w:r>
      <w:r w:rsidRPr="00884C6E">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884C6E">
        <w:rPr>
          <w:rFonts w:ascii="Times New Roman" w:hAnsi="Times New Roman" w:cs="Times New Roman"/>
          <w:sz w:val="24"/>
          <w:szCs w:val="24"/>
          <w:lang w:val="lt-LT"/>
        </w:rPr>
        <w:lastRenderedPageBreak/>
        <w:t>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0"/>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t>as) atsiskaitomąją (-ąsias) banko sąskaitą (-as). Rangovas raštu privalo informuoti Pirkėją apie atsiskaitomosios (-ųjų)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75067F95"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62.</w:t>
      </w:r>
      <w:r w:rsidRPr="00884C6E">
        <w:rPr>
          <w:rFonts w:ascii="Times New Roman" w:hAnsi="Times New Roman" w:cs="Times New Roman"/>
          <w:sz w:val="24"/>
          <w:szCs w:val="24"/>
          <w:lang w:val="lt-LT"/>
        </w:rPr>
        <w:tab/>
        <w:t xml:space="preserve">Elektroninės sąskaitos teikiamos per sistemą „E. sąskaita“ adresu </w:t>
      </w:r>
      <w:hyperlink r:id="rId9" w:history="1">
        <w:r w:rsidRPr="00884C6E">
          <w:rPr>
            <w:rStyle w:val="Hipersaitas"/>
            <w:rFonts w:ascii="Times New Roman" w:hAnsi="Times New Roman" w:cs="Times New Roman"/>
            <w:szCs w:val="24"/>
            <w:lang w:val="lt-LT"/>
          </w:rPr>
          <w:t>https://www.esaskaita.eu/</w:t>
        </w:r>
      </w:hyperlink>
      <w:r w:rsidRPr="00884C6E">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884C6E">
        <w:rPr>
          <w:rFonts w:ascii="Times New Roman" w:hAnsi="Times New Roman" w:cs="Times New Roman"/>
          <w:sz w:val="24"/>
          <w:szCs w:val="24"/>
          <w:lang w:val="lt-LT"/>
        </w:rPr>
        <w:lastRenderedPageBreak/>
        <w:t>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884C6E">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„Incoterms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1"/>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sandėliuoti arba išvežti perteklines medžiagas ir nereikalingus Rangovo įrengiius;</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 xml:space="preserve">valyti šiukšles, dulkes ar kitus teršalus, atsirandančius dėl Rangovo veiksmų, </w:t>
      </w:r>
      <w:r w:rsidRPr="00884C6E">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884C6E">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2"/>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884C6E">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 xml:space="preserve">jei Rangovas, subrangovui išreiškus norą pasinaudoti tiesioginio atsiskaitymo </w:t>
      </w:r>
      <w:r w:rsidRPr="00884C6E">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884C6E">
        <w:rPr>
          <w:rFonts w:ascii="Times New Roman" w:hAnsi="Times New Roman" w:cs="Times New Roman"/>
          <w:sz w:val="24"/>
          <w:szCs w:val="24"/>
          <w:lang w:val="lt-LT"/>
        </w:rPr>
        <w:lastRenderedPageBreak/>
        <w:t>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kai Rangovas pakeičia subrangovą ar sudaro naują subtiekimo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884C6E">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 xml:space="preserve">Šalys įsipareigoja tinkamai informuoti visus fizinius asmenis (darbuotojus, įgaliotinius, </w:t>
      </w:r>
      <w:r w:rsidRPr="00884C6E">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884C6E">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884C6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544A27"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5C8F51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2 priedo dalis</w:t>
      </w:r>
    </w:p>
    <w:p w14:paraId="396F009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884C6E" w:rsidRDefault="00DA481E" w:rsidP="00DA481E">
      <w:pPr>
        <w:pStyle w:val="Stilius5"/>
        <w:widowControl w:val="0"/>
        <w:suppressAutoHyphens/>
        <w:outlineLvl w:val="0"/>
        <w:rPr>
          <w:sz w:val="24"/>
          <w:szCs w:val="24"/>
        </w:rPr>
      </w:pPr>
      <w:r w:rsidRPr="00884C6E">
        <w:rPr>
          <w:sz w:val="24"/>
          <w:szCs w:val="24"/>
        </w:rPr>
        <w:t>Veiklų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7"/>
        <w:gridCol w:w="2119"/>
        <w:gridCol w:w="1835"/>
        <w:gridCol w:w="2129"/>
        <w:gridCol w:w="1985"/>
        <w:gridCol w:w="1311"/>
      </w:tblGrid>
      <w:tr w:rsidR="00ED26D2" w:rsidRPr="00884C6E" w14:paraId="5BF4977C" w14:textId="77777777" w:rsidTr="00C0248D">
        <w:trPr>
          <w:trHeight w:val="355"/>
        </w:trPr>
        <w:tc>
          <w:tcPr>
            <w:tcW w:w="308" w:type="pct"/>
            <w:vMerge w:val="restart"/>
            <w:vAlign w:val="center"/>
          </w:tcPr>
          <w:p w14:paraId="006249B3" w14:textId="77777777" w:rsidR="00ED26D2" w:rsidRDefault="00ED26D2" w:rsidP="009C6BB8">
            <w:pPr>
              <w:widowControl w:val="0"/>
              <w:ind w:right="-113"/>
              <w:jc w:val="center"/>
              <w:rPr>
                <w:b/>
                <w:lang w:val="lt-LT"/>
              </w:rPr>
            </w:pPr>
            <w:r w:rsidRPr="00884C6E">
              <w:rPr>
                <w:b/>
                <w:lang w:val="lt-LT"/>
              </w:rPr>
              <w:t xml:space="preserve">Eil. </w:t>
            </w:r>
          </w:p>
          <w:p w14:paraId="257D083E" w14:textId="5CB755C5" w:rsidR="00ED26D2" w:rsidRPr="00884C6E" w:rsidRDefault="00ED26D2" w:rsidP="009C6BB8">
            <w:pPr>
              <w:widowControl w:val="0"/>
              <w:ind w:right="-113"/>
              <w:jc w:val="center"/>
              <w:rPr>
                <w:b/>
                <w:iCs/>
                <w:lang w:val="lt-LT"/>
              </w:rPr>
            </w:pPr>
            <w:r w:rsidRPr="00884C6E">
              <w:rPr>
                <w:b/>
                <w:lang w:val="lt-LT"/>
              </w:rPr>
              <w:t>Nr.</w:t>
            </w:r>
          </w:p>
        </w:tc>
        <w:tc>
          <w:tcPr>
            <w:tcW w:w="1060" w:type="pct"/>
            <w:vMerge w:val="restart"/>
            <w:vAlign w:val="center"/>
          </w:tcPr>
          <w:p w14:paraId="48B1F7AF" w14:textId="77777777" w:rsidR="00ED26D2" w:rsidRPr="008C4292" w:rsidRDefault="00ED26D2" w:rsidP="009C6BB8">
            <w:pPr>
              <w:pStyle w:val="Antrat5"/>
              <w:keepNext w:val="0"/>
              <w:widowControl w:val="0"/>
              <w:numPr>
                <w:ilvl w:val="0"/>
                <w:numId w:val="0"/>
              </w:numPr>
              <w:suppressAutoHyphens/>
              <w:ind w:left="73"/>
              <w:jc w:val="center"/>
              <w:rPr>
                <w:sz w:val="24"/>
                <w:szCs w:val="24"/>
              </w:rPr>
            </w:pPr>
          </w:p>
          <w:p w14:paraId="6E77C126" w14:textId="77777777" w:rsidR="00ED26D2" w:rsidRPr="008C4292" w:rsidRDefault="00ED26D2" w:rsidP="009C6BB8">
            <w:pPr>
              <w:pStyle w:val="Antrat5"/>
              <w:keepNext w:val="0"/>
              <w:widowControl w:val="0"/>
              <w:numPr>
                <w:ilvl w:val="0"/>
                <w:numId w:val="0"/>
              </w:numPr>
              <w:suppressAutoHyphens/>
              <w:ind w:left="73"/>
              <w:jc w:val="center"/>
              <w:rPr>
                <w:sz w:val="24"/>
                <w:szCs w:val="24"/>
              </w:rPr>
            </w:pPr>
          </w:p>
          <w:p w14:paraId="0339C113" w14:textId="77777777" w:rsidR="00ED26D2" w:rsidRPr="008C4292" w:rsidRDefault="00ED26D2" w:rsidP="009C6BB8">
            <w:pPr>
              <w:pStyle w:val="Antrat5"/>
              <w:keepNext w:val="0"/>
              <w:widowControl w:val="0"/>
              <w:numPr>
                <w:ilvl w:val="0"/>
                <w:numId w:val="0"/>
              </w:numPr>
              <w:suppressAutoHyphens/>
              <w:ind w:left="73"/>
              <w:jc w:val="center"/>
              <w:rPr>
                <w:sz w:val="24"/>
                <w:szCs w:val="24"/>
              </w:rPr>
            </w:pPr>
          </w:p>
          <w:p w14:paraId="59B0A987" w14:textId="77777777" w:rsidR="00ED26D2" w:rsidRPr="008C4292" w:rsidRDefault="00ED26D2" w:rsidP="009C6BB8">
            <w:pPr>
              <w:pStyle w:val="Antrat5"/>
              <w:keepNext w:val="0"/>
              <w:widowControl w:val="0"/>
              <w:numPr>
                <w:ilvl w:val="0"/>
                <w:numId w:val="0"/>
              </w:numPr>
              <w:suppressAutoHyphens/>
              <w:ind w:left="73"/>
              <w:jc w:val="center"/>
              <w:rPr>
                <w:sz w:val="24"/>
                <w:szCs w:val="24"/>
              </w:rPr>
            </w:pPr>
            <w:r w:rsidRPr="008C4292">
              <w:rPr>
                <w:sz w:val="24"/>
                <w:szCs w:val="24"/>
              </w:rPr>
              <w:t>Darbų gupių (etapų) pavadinimai</w:t>
            </w:r>
          </w:p>
          <w:p w14:paraId="69647FA7" w14:textId="77777777" w:rsidR="00ED26D2" w:rsidRPr="008C4292" w:rsidRDefault="00ED26D2" w:rsidP="009C6BB8">
            <w:pPr>
              <w:widowControl w:val="0"/>
              <w:ind w:left="73"/>
              <w:jc w:val="center"/>
              <w:rPr>
                <w:lang w:val="lt-LT"/>
              </w:rPr>
            </w:pPr>
          </w:p>
          <w:p w14:paraId="4F8211D1" w14:textId="77777777" w:rsidR="00ED26D2" w:rsidRPr="008C4292" w:rsidRDefault="00ED26D2" w:rsidP="009C6BB8">
            <w:pPr>
              <w:widowControl w:val="0"/>
              <w:ind w:left="73"/>
              <w:jc w:val="center"/>
              <w:rPr>
                <w:lang w:val="lt-LT"/>
              </w:rPr>
            </w:pPr>
          </w:p>
        </w:tc>
        <w:tc>
          <w:tcPr>
            <w:tcW w:w="2976" w:type="pct"/>
            <w:gridSpan w:val="3"/>
            <w:vAlign w:val="center"/>
          </w:tcPr>
          <w:p w14:paraId="7A51C7E5" w14:textId="3160B373" w:rsidR="00ED26D2" w:rsidRPr="00884C6E" w:rsidRDefault="00ED26D2" w:rsidP="009C6BB8">
            <w:pPr>
              <w:widowControl w:val="0"/>
              <w:jc w:val="center"/>
              <w:rPr>
                <w:b/>
                <w:i/>
                <w:lang w:val="lt-LT"/>
              </w:rPr>
            </w:pPr>
            <w:r w:rsidRPr="00884C6E">
              <w:rPr>
                <w:b/>
                <w:i/>
                <w:lang w:val="lt-LT"/>
              </w:rPr>
              <w:t>Darbų grupės (etapo) kainos mėnesinis išskaidymas procentais pagal Rangovo planuojamą Darbų grupės (etapo) įvykdymą</w:t>
            </w:r>
          </w:p>
        </w:tc>
        <w:tc>
          <w:tcPr>
            <w:tcW w:w="657" w:type="pct"/>
            <w:vAlign w:val="center"/>
          </w:tcPr>
          <w:p w14:paraId="2E074910" w14:textId="24AC1FEF" w:rsidR="00ED26D2" w:rsidRPr="00884C6E" w:rsidRDefault="00ED26D2" w:rsidP="009C6BB8">
            <w:pPr>
              <w:widowControl w:val="0"/>
              <w:jc w:val="center"/>
              <w:rPr>
                <w:b/>
                <w:i/>
                <w:lang w:val="lt-LT"/>
              </w:rPr>
            </w:pPr>
            <w:bookmarkStart w:id="3" w:name="_Toc73434231"/>
            <w:bookmarkStart w:id="4" w:name="_Toc73434344"/>
            <w:bookmarkStart w:id="5" w:name="_Toc76448822"/>
            <w:bookmarkStart w:id="6" w:name="_Toc112567501"/>
          </w:p>
          <w:p w14:paraId="688AB3DE" w14:textId="77777777" w:rsidR="00ED26D2" w:rsidRPr="00884C6E" w:rsidRDefault="00ED26D2" w:rsidP="009C6BB8">
            <w:pPr>
              <w:widowControl w:val="0"/>
              <w:jc w:val="center"/>
              <w:rPr>
                <w:b/>
                <w:i/>
                <w:lang w:val="lt-LT"/>
              </w:rPr>
            </w:pPr>
            <w:r w:rsidRPr="00884C6E">
              <w:rPr>
                <w:b/>
                <w:i/>
                <w:lang w:val="lt-LT"/>
              </w:rPr>
              <w:t xml:space="preserve">Kaina </w:t>
            </w:r>
            <w:bookmarkStart w:id="7" w:name="_Toc42509141"/>
            <w:r w:rsidRPr="00884C6E">
              <w:rPr>
                <w:b/>
                <w:i/>
                <w:lang w:val="lt-LT"/>
              </w:rPr>
              <w:t>(Eur) be PVM</w:t>
            </w:r>
            <w:bookmarkEnd w:id="3"/>
            <w:bookmarkEnd w:id="4"/>
            <w:bookmarkEnd w:id="5"/>
            <w:bookmarkEnd w:id="6"/>
            <w:bookmarkEnd w:id="7"/>
            <w:r w:rsidRPr="00884C6E">
              <w:rPr>
                <w:b/>
                <w:i/>
                <w:lang w:val="lt-LT"/>
              </w:rPr>
              <w:t xml:space="preserve"> </w:t>
            </w:r>
          </w:p>
          <w:p w14:paraId="2C23294F" w14:textId="77777777" w:rsidR="00ED26D2" w:rsidRPr="00884C6E" w:rsidRDefault="00ED26D2" w:rsidP="009C6BB8">
            <w:pPr>
              <w:widowControl w:val="0"/>
              <w:jc w:val="center"/>
              <w:rPr>
                <w:i/>
                <w:lang w:val="lt-LT"/>
              </w:rPr>
            </w:pPr>
          </w:p>
        </w:tc>
      </w:tr>
      <w:tr w:rsidR="00ED26D2" w:rsidRPr="000B213D" w14:paraId="5851A0C0" w14:textId="77777777" w:rsidTr="00C0248D">
        <w:trPr>
          <w:cantSplit/>
          <w:trHeight w:val="1134"/>
        </w:trPr>
        <w:tc>
          <w:tcPr>
            <w:tcW w:w="308" w:type="pct"/>
            <w:vMerge/>
          </w:tcPr>
          <w:p w14:paraId="7C38CB76" w14:textId="77777777" w:rsidR="00ED26D2" w:rsidRPr="001F3746" w:rsidRDefault="00ED26D2" w:rsidP="00ED7BAA">
            <w:pPr>
              <w:widowControl w:val="0"/>
              <w:jc w:val="center"/>
              <w:rPr>
                <w:b/>
                <w:bCs/>
                <w:color w:val="000000" w:themeColor="text1"/>
                <w:lang w:val="lt-LT"/>
              </w:rPr>
            </w:pPr>
          </w:p>
        </w:tc>
        <w:tc>
          <w:tcPr>
            <w:tcW w:w="1060" w:type="pct"/>
            <w:vMerge/>
            <w:vAlign w:val="center"/>
          </w:tcPr>
          <w:p w14:paraId="29E263BB" w14:textId="77777777" w:rsidR="00ED26D2" w:rsidRPr="008C4292" w:rsidRDefault="00ED26D2" w:rsidP="00551A07">
            <w:pPr>
              <w:widowControl w:val="0"/>
              <w:rPr>
                <w:color w:val="000000" w:themeColor="text1"/>
                <w:szCs w:val="24"/>
                <w:lang w:val="lt-LT"/>
              </w:rPr>
            </w:pPr>
          </w:p>
        </w:tc>
        <w:tc>
          <w:tcPr>
            <w:tcW w:w="918" w:type="pct"/>
            <w:textDirection w:val="btLr"/>
          </w:tcPr>
          <w:p w14:paraId="105FB2AF" w14:textId="49BCB780" w:rsidR="00ED26D2" w:rsidRDefault="00ED26D2" w:rsidP="00410C11">
            <w:pPr>
              <w:widowControl w:val="0"/>
              <w:spacing w:before="120"/>
              <w:ind w:left="113" w:right="113"/>
              <w:jc w:val="center"/>
              <w:rPr>
                <w:b/>
                <w:bCs/>
                <w:lang w:val="lt-LT"/>
              </w:rPr>
            </w:pPr>
            <w:r>
              <w:rPr>
                <w:b/>
                <w:bCs/>
                <w:lang w:val="lt-LT"/>
              </w:rPr>
              <w:t xml:space="preserve">  </w:t>
            </w:r>
          </w:p>
          <w:p w14:paraId="5D598CD7" w14:textId="77777777" w:rsidR="00ED26D2" w:rsidRDefault="00ED26D2" w:rsidP="00EB3100">
            <w:pPr>
              <w:widowControl w:val="0"/>
              <w:ind w:left="113" w:right="113"/>
              <w:jc w:val="center"/>
              <w:rPr>
                <w:b/>
                <w:bCs/>
                <w:lang w:val="lt-LT"/>
              </w:rPr>
            </w:pPr>
            <w:r w:rsidRPr="0051061A">
              <w:rPr>
                <w:b/>
                <w:bCs/>
                <w:lang w:val="lt-LT"/>
              </w:rPr>
              <w:t>I</w:t>
            </w:r>
          </w:p>
          <w:p w14:paraId="6B5C0DF7" w14:textId="3D4A1021" w:rsidR="00ED26D2" w:rsidRPr="0051061A" w:rsidRDefault="00ED26D2" w:rsidP="00EB3100">
            <w:pPr>
              <w:widowControl w:val="0"/>
              <w:ind w:left="113" w:right="113"/>
              <w:jc w:val="center"/>
              <w:rPr>
                <w:b/>
                <w:bCs/>
                <w:lang w:val="lt-LT"/>
              </w:rPr>
            </w:pPr>
            <w:r w:rsidRPr="0051061A">
              <w:rPr>
                <w:b/>
                <w:bCs/>
                <w:lang w:val="lt-LT"/>
              </w:rPr>
              <w:t>mėnuo</w:t>
            </w:r>
          </w:p>
        </w:tc>
        <w:tc>
          <w:tcPr>
            <w:tcW w:w="1065" w:type="pct"/>
            <w:textDirection w:val="btLr"/>
          </w:tcPr>
          <w:p w14:paraId="55A5153D" w14:textId="77777777" w:rsidR="00ED26D2" w:rsidRDefault="00ED26D2" w:rsidP="00ED26D2">
            <w:pPr>
              <w:widowControl w:val="0"/>
              <w:spacing w:before="120"/>
              <w:ind w:left="113" w:right="113"/>
              <w:rPr>
                <w:b/>
                <w:bCs/>
                <w:lang w:val="lt-LT"/>
              </w:rPr>
            </w:pPr>
          </w:p>
          <w:p w14:paraId="1F95326A" w14:textId="07B15D49" w:rsidR="00ED26D2" w:rsidRDefault="00ED26D2" w:rsidP="00ED26D2">
            <w:pPr>
              <w:widowControl w:val="0"/>
              <w:spacing w:before="120"/>
              <w:ind w:left="113" w:right="113"/>
              <w:jc w:val="center"/>
              <w:rPr>
                <w:b/>
                <w:bCs/>
                <w:lang w:val="lt-LT"/>
              </w:rPr>
            </w:pPr>
            <w:r w:rsidRPr="0051061A">
              <w:rPr>
                <w:b/>
                <w:bCs/>
                <w:lang w:val="lt-LT"/>
              </w:rPr>
              <w:t>I</w:t>
            </w:r>
            <w:r>
              <w:rPr>
                <w:b/>
                <w:bCs/>
                <w:lang w:val="lt-LT"/>
              </w:rPr>
              <w:t>I</w:t>
            </w:r>
          </w:p>
          <w:p w14:paraId="23CD5D26" w14:textId="42569B52" w:rsidR="00ED26D2" w:rsidRPr="00884C6E" w:rsidRDefault="00ED26D2" w:rsidP="00ED26D2">
            <w:pPr>
              <w:widowControl w:val="0"/>
              <w:spacing w:before="120"/>
              <w:ind w:left="113" w:right="113"/>
              <w:jc w:val="center"/>
              <w:rPr>
                <w:lang w:val="lt-LT"/>
              </w:rPr>
            </w:pPr>
            <w:r w:rsidRPr="0051061A">
              <w:rPr>
                <w:b/>
                <w:bCs/>
                <w:lang w:val="lt-LT"/>
              </w:rPr>
              <w:t>mėnuo</w:t>
            </w:r>
          </w:p>
        </w:tc>
        <w:tc>
          <w:tcPr>
            <w:tcW w:w="993" w:type="pct"/>
            <w:textDirection w:val="btLr"/>
          </w:tcPr>
          <w:p w14:paraId="1585825D" w14:textId="77777777" w:rsidR="00ED26D2" w:rsidRDefault="00ED26D2" w:rsidP="00ED26D2">
            <w:pPr>
              <w:widowControl w:val="0"/>
              <w:spacing w:before="120"/>
              <w:ind w:left="113" w:right="113"/>
              <w:jc w:val="center"/>
              <w:rPr>
                <w:b/>
                <w:bCs/>
                <w:lang w:val="lt-LT"/>
              </w:rPr>
            </w:pPr>
          </w:p>
          <w:p w14:paraId="35B46972" w14:textId="405C1282" w:rsidR="00ED26D2" w:rsidRDefault="00ED26D2" w:rsidP="00ED26D2">
            <w:pPr>
              <w:widowControl w:val="0"/>
              <w:spacing w:before="120"/>
              <w:ind w:left="113" w:right="113"/>
              <w:jc w:val="center"/>
              <w:rPr>
                <w:b/>
                <w:bCs/>
                <w:lang w:val="lt-LT"/>
              </w:rPr>
            </w:pPr>
            <w:r w:rsidRPr="0051061A">
              <w:rPr>
                <w:b/>
                <w:bCs/>
                <w:lang w:val="lt-LT"/>
              </w:rPr>
              <w:t>I</w:t>
            </w:r>
            <w:r>
              <w:rPr>
                <w:b/>
                <w:bCs/>
                <w:lang w:val="lt-LT"/>
              </w:rPr>
              <w:t>II</w:t>
            </w:r>
          </w:p>
          <w:p w14:paraId="3DFB8E4B" w14:textId="7AE99200" w:rsidR="00ED26D2" w:rsidRPr="00884C6E" w:rsidRDefault="00ED26D2" w:rsidP="00ED26D2">
            <w:pPr>
              <w:widowControl w:val="0"/>
              <w:spacing w:before="120"/>
              <w:ind w:left="113" w:right="113"/>
              <w:jc w:val="center"/>
              <w:rPr>
                <w:lang w:val="lt-LT"/>
              </w:rPr>
            </w:pPr>
            <w:r w:rsidRPr="0051061A">
              <w:rPr>
                <w:b/>
                <w:bCs/>
                <w:lang w:val="lt-LT"/>
              </w:rPr>
              <w:t>mėnuo</w:t>
            </w:r>
          </w:p>
        </w:tc>
        <w:tc>
          <w:tcPr>
            <w:tcW w:w="657" w:type="pct"/>
          </w:tcPr>
          <w:p w14:paraId="45909FDC" w14:textId="18598978" w:rsidR="00ED26D2" w:rsidRPr="00884C6E" w:rsidRDefault="00ED26D2" w:rsidP="00551A07">
            <w:pPr>
              <w:widowControl w:val="0"/>
              <w:spacing w:before="120"/>
              <w:jc w:val="right"/>
              <w:rPr>
                <w:lang w:val="lt-LT"/>
              </w:rPr>
            </w:pPr>
          </w:p>
        </w:tc>
      </w:tr>
      <w:tr w:rsidR="00ED26D2" w:rsidRPr="00FD6BC1" w14:paraId="0293F5E7" w14:textId="77777777" w:rsidTr="00C0248D">
        <w:tc>
          <w:tcPr>
            <w:tcW w:w="308" w:type="pct"/>
          </w:tcPr>
          <w:p w14:paraId="6F9251F7" w14:textId="27F73FB3" w:rsidR="00ED26D2" w:rsidRPr="001F3746" w:rsidRDefault="00ED26D2" w:rsidP="00ED7BAA">
            <w:pPr>
              <w:widowControl w:val="0"/>
              <w:jc w:val="center"/>
              <w:rPr>
                <w:b/>
                <w:bCs/>
                <w:color w:val="000000" w:themeColor="text1"/>
                <w:lang w:val="lt-LT"/>
              </w:rPr>
            </w:pPr>
            <w:r w:rsidRPr="001F3746">
              <w:rPr>
                <w:b/>
                <w:bCs/>
                <w:color w:val="000000" w:themeColor="text1"/>
                <w:lang w:val="lt-LT"/>
              </w:rPr>
              <w:t>1.</w:t>
            </w:r>
          </w:p>
        </w:tc>
        <w:tc>
          <w:tcPr>
            <w:tcW w:w="1060" w:type="pct"/>
            <w:vAlign w:val="center"/>
          </w:tcPr>
          <w:p w14:paraId="5B5F5908" w14:textId="03F29E17" w:rsidR="00ED26D2" w:rsidRPr="009D58A6" w:rsidRDefault="00ED26D2" w:rsidP="00551A07">
            <w:pPr>
              <w:widowControl w:val="0"/>
              <w:rPr>
                <w:b/>
                <w:iCs/>
                <w:highlight w:val="lightGray"/>
                <w:lang w:val="lt-LT"/>
              </w:rPr>
            </w:pPr>
            <w:r w:rsidRPr="009D58A6">
              <w:rPr>
                <w:b/>
                <w:szCs w:val="24"/>
                <w:lang w:val="lt-LT"/>
              </w:rPr>
              <w:t>Sutvirtinto grunto</w:t>
            </w:r>
            <w:r w:rsidR="00470C2A">
              <w:rPr>
                <w:b/>
                <w:szCs w:val="24"/>
                <w:lang w:val="lt-LT"/>
              </w:rPr>
              <w:t xml:space="preserve"> </w:t>
            </w:r>
            <w:r w:rsidRPr="009D58A6">
              <w:rPr>
                <w:b/>
                <w:szCs w:val="24"/>
                <w:lang w:val="lt-LT"/>
              </w:rPr>
              <w:t>aikštelės</w:t>
            </w:r>
            <w:r w:rsidR="00470C2A">
              <w:rPr>
                <w:b/>
                <w:szCs w:val="24"/>
                <w:lang w:val="lt-LT"/>
              </w:rPr>
              <w:t xml:space="preserve"> </w:t>
            </w:r>
            <w:r w:rsidRPr="009D58A6">
              <w:rPr>
                <w:b/>
                <w:szCs w:val="24"/>
                <w:lang w:val="lt-LT"/>
              </w:rPr>
              <w:t>įrengimas</w:t>
            </w:r>
          </w:p>
        </w:tc>
        <w:tc>
          <w:tcPr>
            <w:tcW w:w="918" w:type="pct"/>
          </w:tcPr>
          <w:p w14:paraId="0FD76648" w14:textId="77777777" w:rsidR="00ED26D2" w:rsidRPr="00884C6E" w:rsidRDefault="00ED26D2" w:rsidP="00551A07">
            <w:pPr>
              <w:widowControl w:val="0"/>
              <w:spacing w:before="120"/>
              <w:jc w:val="right"/>
              <w:rPr>
                <w:lang w:val="lt-LT"/>
              </w:rPr>
            </w:pPr>
          </w:p>
        </w:tc>
        <w:tc>
          <w:tcPr>
            <w:tcW w:w="1065" w:type="pct"/>
          </w:tcPr>
          <w:p w14:paraId="44A34D33" w14:textId="41E379FB" w:rsidR="00ED26D2" w:rsidRPr="00884C6E" w:rsidRDefault="00ED26D2" w:rsidP="00551A07">
            <w:pPr>
              <w:widowControl w:val="0"/>
              <w:spacing w:before="120"/>
              <w:jc w:val="right"/>
              <w:rPr>
                <w:lang w:val="lt-LT"/>
              </w:rPr>
            </w:pPr>
          </w:p>
        </w:tc>
        <w:tc>
          <w:tcPr>
            <w:tcW w:w="993" w:type="pct"/>
          </w:tcPr>
          <w:p w14:paraId="317AA26A" w14:textId="77777777" w:rsidR="00ED26D2" w:rsidRPr="00884C6E" w:rsidRDefault="00ED26D2" w:rsidP="00551A07">
            <w:pPr>
              <w:widowControl w:val="0"/>
              <w:spacing w:before="120"/>
              <w:jc w:val="right"/>
              <w:rPr>
                <w:lang w:val="lt-LT"/>
              </w:rPr>
            </w:pPr>
          </w:p>
        </w:tc>
        <w:tc>
          <w:tcPr>
            <w:tcW w:w="657" w:type="pct"/>
          </w:tcPr>
          <w:p w14:paraId="557B9F1D" w14:textId="03F03700" w:rsidR="00ED26D2" w:rsidRPr="00884C6E" w:rsidRDefault="00ED26D2" w:rsidP="00551A07">
            <w:pPr>
              <w:widowControl w:val="0"/>
              <w:spacing w:before="120"/>
              <w:jc w:val="right"/>
              <w:rPr>
                <w:lang w:val="lt-LT"/>
              </w:rPr>
            </w:pPr>
          </w:p>
        </w:tc>
      </w:tr>
      <w:tr w:rsidR="00ED26D2" w:rsidRPr="009D58A6" w14:paraId="257C1DE9" w14:textId="77777777" w:rsidTr="00C0248D">
        <w:tc>
          <w:tcPr>
            <w:tcW w:w="308" w:type="pct"/>
          </w:tcPr>
          <w:p w14:paraId="709A80C3" w14:textId="414E6F2E" w:rsidR="00ED26D2" w:rsidRPr="001F3746" w:rsidRDefault="00ED26D2" w:rsidP="00ED7BAA">
            <w:pPr>
              <w:widowControl w:val="0"/>
              <w:jc w:val="center"/>
              <w:rPr>
                <w:b/>
                <w:bCs/>
                <w:color w:val="000000" w:themeColor="text1"/>
                <w:lang w:val="lt-LT"/>
              </w:rPr>
            </w:pPr>
            <w:r>
              <w:rPr>
                <w:b/>
                <w:bCs/>
                <w:color w:val="000000" w:themeColor="text1"/>
                <w:lang w:val="lt-LT"/>
              </w:rPr>
              <w:t>2.</w:t>
            </w:r>
          </w:p>
        </w:tc>
        <w:tc>
          <w:tcPr>
            <w:tcW w:w="1060" w:type="pct"/>
            <w:vAlign w:val="center"/>
          </w:tcPr>
          <w:p w14:paraId="724AA08A" w14:textId="739350F9" w:rsidR="00ED26D2" w:rsidRPr="00C0248D" w:rsidRDefault="00C0248D" w:rsidP="00551A07">
            <w:pPr>
              <w:widowControl w:val="0"/>
              <w:rPr>
                <w:b/>
                <w:bCs/>
                <w:szCs w:val="24"/>
                <w:lang w:val="lt-LT"/>
              </w:rPr>
            </w:pPr>
            <w:r w:rsidRPr="00C0248D">
              <w:rPr>
                <w:b/>
                <w:bCs/>
                <w:szCs w:val="24"/>
                <w:lang w:val="lt-LT"/>
              </w:rPr>
              <w:t>Medžio skydų takų įrengimas</w:t>
            </w:r>
          </w:p>
        </w:tc>
        <w:tc>
          <w:tcPr>
            <w:tcW w:w="918" w:type="pct"/>
          </w:tcPr>
          <w:p w14:paraId="33FDB6F5" w14:textId="77777777" w:rsidR="00ED26D2" w:rsidRPr="00884C6E" w:rsidRDefault="00ED26D2" w:rsidP="00551A07">
            <w:pPr>
              <w:widowControl w:val="0"/>
              <w:spacing w:before="120"/>
              <w:jc w:val="right"/>
              <w:rPr>
                <w:lang w:val="lt-LT"/>
              </w:rPr>
            </w:pPr>
          </w:p>
        </w:tc>
        <w:tc>
          <w:tcPr>
            <w:tcW w:w="1065" w:type="pct"/>
          </w:tcPr>
          <w:p w14:paraId="2760B357" w14:textId="77777777" w:rsidR="00ED26D2" w:rsidRPr="00884C6E" w:rsidRDefault="00ED26D2" w:rsidP="00551A07">
            <w:pPr>
              <w:widowControl w:val="0"/>
              <w:spacing w:before="120"/>
              <w:jc w:val="right"/>
              <w:rPr>
                <w:lang w:val="lt-LT"/>
              </w:rPr>
            </w:pPr>
          </w:p>
        </w:tc>
        <w:tc>
          <w:tcPr>
            <w:tcW w:w="993" w:type="pct"/>
          </w:tcPr>
          <w:p w14:paraId="32C863F8" w14:textId="77777777" w:rsidR="00ED26D2" w:rsidRPr="00884C6E" w:rsidRDefault="00ED26D2" w:rsidP="00551A07">
            <w:pPr>
              <w:widowControl w:val="0"/>
              <w:spacing w:before="120"/>
              <w:jc w:val="right"/>
              <w:rPr>
                <w:lang w:val="lt-LT"/>
              </w:rPr>
            </w:pPr>
          </w:p>
        </w:tc>
        <w:tc>
          <w:tcPr>
            <w:tcW w:w="657" w:type="pct"/>
          </w:tcPr>
          <w:p w14:paraId="43CCDE62" w14:textId="19718357" w:rsidR="00ED26D2" w:rsidRPr="00884C6E" w:rsidRDefault="00ED26D2" w:rsidP="00551A07">
            <w:pPr>
              <w:widowControl w:val="0"/>
              <w:spacing w:before="120"/>
              <w:jc w:val="right"/>
              <w:rPr>
                <w:lang w:val="lt-LT"/>
              </w:rPr>
            </w:pPr>
          </w:p>
        </w:tc>
      </w:tr>
      <w:tr w:rsidR="00004C05" w:rsidRPr="00FD6BC1" w14:paraId="7904EFF6" w14:textId="77777777" w:rsidTr="00C0248D">
        <w:tc>
          <w:tcPr>
            <w:tcW w:w="308" w:type="pct"/>
          </w:tcPr>
          <w:p w14:paraId="3B32C7AA" w14:textId="6168A49B" w:rsidR="00004C05" w:rsidRPr="001F3746" w:rsidRDefault="00004C05" w:rsidP="00004C05">
            <w:pPr>
              <w:widowControl w:val="0"/>
              <w:jc w:val="center"/>
              <w:rPr>
                <w:b/>
                <w:bCs/>
                <w:color w:val="000000" w:themeColor="text1"/>
                <w:lang w:val="lt-LT"/>
              </w:rPr>
            </w:pPr>
            <w:r>
              <w:rPr>
                <w:b/>
                <w:bCs/>
                <w:color w:val="000000" w:themeColor="text1"/>
                <w:lang w:val="lt-LT"/>
              </w:rPr>
              <w:t>3</w:t>
            </w:r>
            <w:r w:rsidRPr="001F3746">
              <w:rPr>
                <w:b/>
                <w:bCs/>
                <w:color w:val="000000" w:themeColor="text1"/>
                <w:lang w:val="lt-LT"/>
              </w:rPr>
              <w:t>.</w:t>
            </w:r>
          </w:p>
        </w:tc>
        <w:tc>
          <w:tcPr>
            <w:tcW w:w="1060" w:type="pct"/>
          </w:tcPr>
          <w:p w14:paraId="26228C8B" w14:textId="191D6840" w:rsidR="00004C05" w:rsidRPr="00004C05" w:rsidRDefault="00C0248D" w:rsidP="00004C05">
            <w:pPr>
              <w:widowControl w:val="0"/>
              <w:rPr>
                <w:b/>
                <w:bCs/>
                <w:szCs w:val="24"/>
                <w:shd w:val="clear" w:color="auto" w:fill="FFFFFF"/>
                <w:lang w:val="lt-LT"/>
              </w:rPr>
            </w:pPr>
            <w:r w:rsidRPr="009D58A6">
              <w:rPr>
                <w:b/>
                <w:szCs w:val="24"/>
                <w:lang w:val="lt-LT"/>
              </w:rPr>
              <w:t>Vandens augmenijos valymas</w:t>
            </w:r>
          </w:p>
        </w:tc>
        <w:tc>
          <w:tcPr>
            <w:tcW w:w="918" w:type="pct"/>
          </w:tcPr>
          <w:p w14:paraId="6A9C98AE" w14:textId="77777777" w:rsidR="00004C05" w:rsidRPr="00884C6E" w:rsidRDefault="00004C05" w:rsidP="00004C05">
            <w:pPr>
              <w:widowControl w:val="0"/>
              <w:spacing w:before="120"/>
              <w:jc w:val="right"/>
              <w:rPr>
                <w:lang w:val="lt-LT"/>
              </w:rPr>
            </w:pPr>
          </w:p>
        </w:tc>
        <w:tc>
          <w:tcPr>
            <w:tcW w:w="1065" w:type="pct"/>
          </w:tcPr>
          <w:p w14:paraId="31E60E3E" w14:textId="3D0C8157" w:rsidR="00004C05" w:rsidRPr="00884C6E" w:rsidRDefault="00004C05" w:rsidP="00004C05">
            <w:pPr>
              <w:widowControl w:val="0"/>
              <w:spacing w:before="120"/>
              <w:jc w:val="right"/>
              <w:rPr>
                <w:lang w:val="lt-LT"/>
              </w:rPr>
            </w:pPr>
          </w:p>
        </w:tc>
        <w:tc>
          <w:tcPr>
            <w:tcW w:w="993" w:type="pct"/>
          </w:tcPr>
          <w:p w14:paraId="3207C112" w14:textId="77777777" w:rsidR="00004C05" w:rsidRPr="00884C6E" w:rsidRDefault="00004C05" w:rsidP="00004C05">
            <w:pPr>
              <w:widowControl w:val="0"/>
              <w:spacing w:before="120"/>
              <w:jc w:val="right"/>
              <w:rPr>
                <w:lang w:val="lt-LT"/>
              </w:rPr>
            </w:pPr>
          </w:p>
        </w:tc>
        <w:tc>
          <w:tcPr>
            <w:tcW w:w="657" w:type="pct"/>
          </w:tcPr>
          <w:p w14:paraId="149A2833" w14:textId="5A48B2FF" w:rsidR="00004C05" w:rsidRPr="00884C6E" w:rsidRDefault="00004C05" w:rsidP="00004C05">
            <w:pPr>
              <w:widowControl w:val="0"/>
              <w:spacing w:before="120"/>
              <w:jc w:val="right"/>
              <w:rPr>
                <w:lang w:val="lt-LT"/>
              </w:rPr>
            </w:pPr>
          </w:p>
        </w:tc>
      </w:tr>
      <w:tr w:rsidR="00C0248D" w:rsidRPr="00FD6BC1" w14:paraId="192FAC4E" w14:textId="77777777" w:rsidTr="00C0248D">
        <w:tc>
          <w:tcPr>
            <w:tcW w:w="308" w:type="pct"/>
          </w:tcPr>
          <w:p w14:paraId="5D85E4C7" w14:textId="62684F17" w:rsidR="00C0248D" w:rsidRDefault="00C0248D" w:rsidP="00004C05">
            <w:pPr>
              <w:widowControl w:val="0"/>
              <w:jc w:val="center"/>
              <w:rPr>
                <w:b/>
                <w:bCs/>
                <w:color w:val="000000" w:themeColor="text1"/>
                <w:lang w:val="lt-LT"/>
              </w:rPr>
            </w:pPr>
            <w:r>
              <w:rPr>
                <w:b/>
                <w:bCs/>
                <w:color w:val="000000" w:themeColor="text1"/>
                <w:lang w:val="lt-LT"/>
              </w:rPr>
              <w:t>4.</w:t>
            </w:r>
          </w:p>
        </w:tc>
        <w:tc>
          <w:tcPr>
            <w:tcW w:w="1060" w:type="pct"/>
          </w:tcPr>
          <w:p w14:paraId="74A6909D" w14:textId="039867BC" w:rsidR="00C0248D" w:rsidRPr="00004C05" w:rsidRDefault="00C0248D" w:rsidP="00004C05">
            <w:pPr>
              <w:widowControl w:val="0"/>
              <w:rPr>
                <w:b/>
                <w:bCs/>
                <w:szCs w:val="24"/>
                <w:lang w:val="lt-LT"/>
              </w:rPr>
            </w:pPr>
            <w:r w:rsidRPr="00004C05">
              <w:rPr>
                <w:b/>
                <w:bCs/>
                <w:szCs w:val="24"/>
                <w:lang w:val="lt-LT"/>
              </w:rPr>
              <w:t xml:space="preserve">Išpildomųjų nuotraukų ir kadastrinių matavimų bylos </w:t>
            </w:r>
            <w:r w:rsidRPr="00004C05">
              <w:rPr>
                <w:b/>
                <w:bCs/>
                <w:szCs w:val="24"/>
                <w:lang w:val="pt-BR"/>
              </w:rPr>
              <w:t>parengimas</w:t>
            </w:r>
            <w:r w:rsidRPr="00004C05">
              <w:rPr>
                <w:b/>
                <w:bCs/>
                <w:szCs w:val="24"/>
                <w:lang w:val="lt-LT"/>
              </w:rPr>
              <w:t>, patikros atlikimas registracijai VĮ Registrų centre</w:t>
            </w:r>
          </w:p>
        </w:tc>
        <w:tc>
          <w:tcPr>
            <w:tcW w:w="918" w:type="pct"/>
          </w:tcPr>
          <w:p w14:paraId="3506CD93" w14:textId="77777777" w:rsidR="00C0248D" w:rsidRPr="00884C6E" w:rsidRDefault="00C0248D" w:rsidP="00004C05">
            <w:pPr>
              <w:widowControl w:val="0"/>
              <w:spacing w:before="120"/>
              <w:jc w:val="right"/>
              <w:rPr>
                <w:lang w:val="lt-LT"/>
              </w:rPr>
            </w:pPr>
          </w:p>
        </w:tc>
        <w:tc>
          <w:tcPr>
            <w:tcW w:w="1065" w:type="pct"/>
          </w:tcPr>
          <w:p w14:paraId="610941AA" w14:textId="77777777" w:rsidR="00C0248D" w:rsidRPr="00884C6E" w:rsidRDefault="00C0248D" w:rsidP="00004C05">
            <w:pPr>
              <w:widowControl w:val="0"/>
              <w:spacing w:before="120"/>
              <w:jc w:val="right"/>
              <w:rPr>
                <w:lang w:val="lt-LT"/>
              </w:rPr>
            </w:pPr>
          </w:p>
        </w:tc>
        <w:tc>
          <w:tcPr>
            <w:tcW w:w="993" w:type="pct"/>
          </w:tcPr>
          <w:p w14:paraId="3B28F89D" w14:textId="77777777" w:rsidR="00C0248D" w:rsidRPr="00884C6E" w:rsidRDefault="00C0248D" w:rsidP="00004C05">
            <w:pPr>
              <w:widowControl w:val="0"/>
              <w:spacing w:before="120"/>
              <w:jc w:val="right"/>
              <w:rPr>
                <w:lang w:val="lt-LT"/>
              </w:rPr>
            </w:pPr>
          </w:p>
        </w:tc>
        <w:tc>
          <w:tcPr>
            <w:tcW w:w="657" w:type="pct"/>
          </w:tcPr>
          <w:p w14:paraId="2DD6816B" w14:textId="77777777" w:rsidR="00C0248D" w:rsidRPr="00884C6E" w:rsidRDefault="00C0248D" w:rsidP="00004C05">
            <w:pPr>
              <w:widowControl w:val="0"/>
              <w:spacing w:before="120"/>
              <w:jc w:val="right"/>
              <w:rPr>
                <w:lang w:val="lt-LT"/>
              </w:rPr>
            </w:pPr>
          </w:p>
        </w:tc>
      </w:tr>
      <w:tr w:rsidR="00004C05" w:rsidRPr="00884C6E" w14:paraId="59E3655B" w14:textId="77777777" w:rsidTr="00C0248D">
        <w:trPr>
          <w:trHeight w:val="277"/>
        </w:trPr>
        <w:tc>
          <w:tcPr>
            <w:tcW w:w="4343" w:type="pct"/>
            <w:gridSpan w:val="5"/>
          </w:tcPr>
          <w:p w14:paraId="58378AA4" w14:textId="11A708CA" w:rsidR="00004C05" w:rsidRPr="00884C6E" w:rsidRDefault="00004C05" w:rsidP="00004C05">
            <w:pPr>
              <w:widowControl w:val="0"/>
              <w:ind w:left="-1383" w:firstLine="1383"/>
              <w:jc w:val="right"/>
              <w:rPr>
                <w:lang w:val="lt-LT"/>
              </w:rPr>
            </w:pPr>
            <w:r w:rsidRPr="00884C6E">
              <w:rPr>
                <w:b/>
                <w:lang w:val="lt-LT"/>
              </w:rPr>
              <w:t xml:space="preserve">Suma </w:t>
            </w:r>
            <w:r w:rsidRPr="00884C6E">
              <w:rPr>
                <w:b/>
                <w:bCs/>
                <w:lang w:val="lt-LT"/>
              </w:rPr>
              <w:t>be PVM (Eur):</w:t>
            </w:r>
          </w:p>
        </w:tc>
        <w:tc>
          <w:tcPr>
            <w:tcW w:w="657" w:type="pct"/>
          </w:tcPr>
          <w:p w14:paraId="30B63A32" w14:textId="66CCC1E6" w:rsidR="00004C05" w:rsidRPr="00884C6E" w:rsidRDefault="00004C05" w:rsidP="00004C05">
            <w:pPr>
              <w:widowControl w:val="0"/>
              <w:ind w:left="-1383" w:firstLine="1383"/>
              <w:jc w:val="right"/>
              <w:rPr>
                <w:lang w:val="lt-LT"/>
              </w:rPr>
            </w:pPr>
          </w:p>
        </w:tc>
      </w:tr>
      <w:tr w:rsidR="00004C05" w:rsidRPr="00884C6E" w14:paraId="60C6A90C" w14:textId="77777777" w:rsidTr="00C0248D">
        <w:trPr>
          <w:trHeight w:val="147"/>
        </w:trPr>
        <w:tc>
          <w:tcPr>
            <w:tcW w:w="4343" w:type="pct"/>
            <w:gridSpan w:val="5"/>
          </w:tcPr>
          <w:p w14:paraId="2CFD3C45" w14:textId="008C21EE" w:rsidR="00004C05" w:rsidRPr="00884C6E" w:rsidRDefault="00004C05" w:rsidP="00004C05">
            <w:pPr>
              <w:widowControl w:val="0"/>
              <w:jc w:val="right"/>
              <w:rPr>
                <w:lang w:val="lt-LT"/>
              </w:rPr>
            </w:pPr>
            <w:r w:rsidRPr="00884C6E">
              <w:rPr>
                <w:b/>
                <w:lang w:val="lt-LT"/>
              </w:rPr>
              <w:t xml:space="preserve">PVM </w:t>
            </w:r>
            <w:r w:rsidRPr="00884C6E">
              <w:rPr>
                <w:b/>
                <w:i/>
                <w:color w:val="000000" w:themeColor="text1"/>
                <w:lang w:val="lt-LT"/>
              </w:rPr>
              <w:t>[tarifas]</w:t>
            </w:r>
            <w:r w:rsidRPr="00884C6E">
              <w:rPr>
                <w:b/>
                <w:lang w:val="lt-LT"/>
              </w:rPr>
              <w:t>:</w:t>
            </w:r>
          </w:p>
        </w:tc>
        <w:tc>
          <w:tcPr>
            <w:tcW w:w="657" w:type="pct"/>
          </w:tcPr>
          <w:p w14:paraId="3556DF70" w14:textId="72226803" w:rsidR="00004C05" w:rsidRPr="00884C6E" w:rsidRDefault="00004C05" w:rsidP="00004C05">
            <w:pPr>
              <w:widowControl w:val="0"/>
              <w:jc w:val="right"/>
              <w:rPr>
                <w:lang w:val="lt-LT"/>
              </w:rPr>
            </w:pPr>
          </w:p>
        </w:tc>
      </w:tr>
      <w:tr w:rsidR="00004C05" w:rsidRPr="00FD6BC1" w14:paraId="48A7A8C4" w14:textId="77777777" w:rsidTr="00C0248D">
        <w:trPr>
          <w:trHeight w:val="147"/>
        </w:trPr>
        <w:tc>
          <w:tcPr>
            <w:tcW w:w="4343" w:type="pct"/>
            <w:gridSpan w:val="5"/>
          </w:tcPr>
          <w:p w14:paraId="2AF7D3CD" w14:textId="242B412C" w:rsidR="00004C05" w:rsidRPr="00884C6E" w:rsidRDefault="00004C05" w:rsidP="00004C05">
            <w:pPr>
              <w:widowControl w:val="0"/>
              <w:jc w:val="right"/>
              <w:rPr>
                <w:lang w:val="lt-LT"/>
              </w:rPr>
            </w:pPr>
            <w:r w:rsidRPr="00884C6E">
              <w:rPr>
                <w:b/>
                <w:lang w:val="lt-LT"/>
              </w:rPr>
              <w:t xml:space="preserve">Bendra suma su PVM </w:t>
            </w:r>
            <w:r w:rsidRPr="00884C6E">
              <w:rPr>
                <w:b/>
                <w:bCs/>
                <w:lang w:val="lt-LT"/>
              </w:rPr>
              <w:t>(Eur):</w:t>
            </w:r>
          </w:p>
        </w:tc>
        <w:tc>
          <w:tcPr>
            <w:tcW w:w="657" w:type="pct"/>
          </w:tcPr>
          <w:p w14:paraId="5BA79FBB" w14:textId="1B230EB4" w:rsidR="00004C05" w:rsidRPr="00884C6E" w:rsidRDefault="00004C05" w:rsidP="00004C05">
            <w:pPr>
              <w:widowControl w:val="0"/>
              <w:jc w:val="right"/>
              <w:rPr>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41B129DE" w14:textId="77777777" w:rsidR="00DA481E" w:rsidRPr="00884C6E" w:rsidRDefault="00DA481E" w:rsidP="00DA481E">
      <w:pPr>
        <w:pStyle w:val="Stilius3"/>
        <w:widowControl w:val="0"/>
        <w:suppressAutoHyphens/>
        <w:rPr>
          <w:sz w:val="24"/>
          <w:szCs w:val="24"/>
        </w:rPr>
      </w:pPr>
    </w:p>
    <w:p w14:paraId="449FF6D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r w:rsidRPr="00884C6E">
        <w:rPr>
          <w:rFonts w:ascii="Times New Roman" w:hAnsi="Times New Roman" w:cs="Times New Roman"/>
          <w:sz w:val="24"/>
          <w:szCs w:val="24"/>
          <w:lang w:val="lt-LT"/>
        </w:rPr>
        <w:tab/>
      </w:r>
    </w:p>
    <w:p w14:paraId="47CCD9F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66815DB" w14:textId="77777777" w:rsidR="008805A3" w:rsidRDefault="008805A3" w:rsidP="00410C1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1861AF4" w14:textId="77777777" w:rsidR="00410C11" w:rsidRDefault="00410C11" w:rsidP="00410C1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76252A" w14:textId="77777777" w:rsidR="00564E56" w:rsidRDefault="00564E56" w:rsidP="00410C1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292219B3" w14:textId="53150E00" w:rsidR="008805A3" w:rsidRDefault="008805A3"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9C6FDB3" w14:textId="77777777" w:rsidR="00A002E9" w:rsidRPr="00884C6E" w:rsidRDefault="00A002E9"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47EBECE2" w14:textId="335A93B0" w:rsidR="00DA481E" w:rsidRPr="00884C6E" w:rsidRDefault="00A002E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Sutarties </w:t>
      </w:r>
      <w:r w:rsidR="00DA481E" w:rsidRPr="00884C6E">
        <w:rPr>
          <w:rFonts w:ascii="Times New Roman" w:hAnsi="Times New Roman" w:cs="Times New Roman"/>
          <w:sz w:val="24"/>
          <w:szCs w:val="24"/>
          <w:lang w:val="lt-LT"/>
        </w:rPr>
        <w:t>3 priedas</w:t>
      </w:r>
    </w:p>
    <w:p w14:paraId="33C8A7D2"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33DAEAC6"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Ažvinčių ežere“ </w:t>
      </w:r>
    </w:p>
    <w:p w14:paraId="706D6C58"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8"/>
          <w:szCs w:val="18"/>
          <w:lang w:val="lt-LT"/>
        </w:rPr>
      </w:pPr>
      <w:r w:rsidRPr="00A002E9">
        <w:rPr>
          <w:rFonts w:ascii="Times New Roman" w:eastAsia="Times New Roman" w:hAnsi="Times New Roman" w:cs="Times New Roman"/>
          <w:color w:val="000000"/>
          <w:sz w:val="18"/>
          <w:szCs w:val="18"/>
          <w:lang w:val="lt-LT"/>
        </w:rPr>
        <w:t xml:space="preserve">Nr. </w:t>
      </w:r>
      <w:r w:rsidRPr="00A002E9">
        <w:rPr>
          <w:rFonts w:ascii="Times New Roman" w:hAnsi="Times New Roman" w:cs="Times New Roman"/>
          <w:color w:val="000000" w:themeColor="text1"/>
          <w:sz w:val="18"/>
          <w:szCs w:val="18"/>
          <w:lang w:val="lt-LT"/>
        </w:rPr>
        <w:t>31SI1-25</w:t>
      </w:r>
      <w:r w:rsidRPr="00A002E9">
        <w:rPr>
          <w:rFonts w:ascii="Times New Roman" w:hAnsi="Times New Roman" w:cs="Times New Roman"/>
          <w:color w:val="000000" w:themeColor="text1"/>
          <w:sz w:val="18"/>
          <w:szCs w:val="18"/>
        </w:rPr>
        <w:t>-04-K-002-PR001</w:t>
      </w:r>
      <w:r>
        <w:rPr>
          <w:rFonts w:ascii="Times New Roman" w:hAnsi="Times New Roman" w:cs="Times New Roman"/>
          <w:color w:val="000000" w:themeColor="text1"/>
          <w:sz w:val="18"/>
          <w:szCs w:val="18"/>
        </w:rPr>
        <w:t>)</w:t>
      </w:r>
    </w:p>
    <w:p w14:paraId="263E5A0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______m.__________mėn.</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FD6BC1"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FD6BC1"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FD6BC1"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FD6BC1"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FD6BC1"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FD6BC1"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FD6BC1"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FD6BC1"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FD6BC1"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FD6BC1"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FD6BC1"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FD6BC1"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FD6BC1"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FD6BC1"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5356E13C" w14:textId="4FB23CBD" w:rsidR="00343CF7" w:rsidRDefault="00DA481E"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1A394C2E" w14:textId="4CEF819E" w:rsidR="00DA481E" w:rsidRPr="00884C6E" w:rsidRDefault="00A002E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Sutarties </w:t>
      </w:r>
      <w:r w:rsidR="00DA481E" w:rsidRPr="00884C6E">
        <w:rPr>
          <w:rFonts w:ascii="Times New Roman" w:hAnsi="Times New Roman" w:cs="Times New Roman"/>
          <w:sz w:val="24"/>
          <w:szCs w:val="24"/>
          <w:lang w:val="lt-LT"/>
        </w:rPr>
        <w:t>4 priedas</w:t>
      </w:r>
    </w:p>
    <w:p w14:paraId="53BC1B82"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727836F2"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Ažvinčių ežere“ </w:t>
      </w:r>
    </w:p>
    <w:p w14:paraId="08E0D143"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8"/>
          <w:szCs w:val="18"/>
          <w:lang w:val="lt-LT"/>
        </w:rPr>
      </w:pPr>
      <w:r w:rsidRPr="00A002E9">
        <w:rPr>
          <w:rFonts w:ascii="Times New Roman" w:eastAsia="Times New Roman" w:hAnsi="Times New Roman" w:cs="Times New Roman"/>
          <w:color w:val="000000"/>
          <w:sz w:val="18"/>
          <w:szCs w:val="18"/>
          <w:lang w:val="lt-LT"/>
        </w:rPr>
        <w:t xml:space="preserve">Nr. </w:t>
      </w:r>
      <w:r w:rsidRPr="00A002E9">
        <w:rPr>
          <w:rFonts w:ascii="Times New Roman" w:hAnsi="Times New Roman" w:cs="Times New Roman"/>
          <w:color w:val="000000" w:themeColor="text1"/>
          <w:sz w:val="18"/>
          <w:szCs w:val="18"/>
          <w:lang w:val="lt-LT"/>
        </w:rPr>
        <w:t>31SI1-25</w:t>
      </w:r>
      <w:r w:rsidRPr="00A002E9">
        <w:rPr>
          <w:rFonts w:ascii="Times New Roman" w:hAnsi="Times New Roman" w:cs="Times New Roman"/>
          <w:color w:val="000000" w:themeColor="text1"/>
          <w:sz w:val="18"/>
          <w:szCs w:val="18"/>
        </w:rPr>
        <w:t>-04-K-002-PR001</w:t>
      </w:r>
      <w:r>
        <w:rPr>
          <w:rFonts w:ascii="Times New Roman" w:hAnsi="Times New Roman" w:cs="Times New Roman"/>
          <w:color w:val="000000" w:themeColor="text1"/>
          <w:sz w:val="18"/>
          <w:szCs w:val="18"/>
        </w:rPr>
        <w:t>)</w:t>
      </w:r>
    </w:p>
    <w:p w14:paraId="17641D75" w14:textId="77777777" w:rsidR="00A002E9" w:rsidRDefault="00A002E9"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5ED9417D" w14:textId="77777777" w:rsidR="00A002E9" w:rsidRDefault="00A002E9"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32C328A" w14:textId="76CAD84F"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FD6BC1"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24CD464F" w14:textId="1B4C582D" w:rsidR="00343CF7" w:rsidRDefault="00343CF7"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ADF7EA7" w14:textId="4B0AB15F" w:rsidR="00A002E9" w:rsidRDefault="00A002E9"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74436825" w14:textId="77777777" w:rsidR="00A002E9" w:rsidRPr="00884C6E" w:rsidRDefault="00A002E9"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07CEC8F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1AC9F8D8" w:rsidR="00DA481E" w:rsidRPr="00884C6E" w:rsidRDefault="00A002E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Sutarties </w:t>
      </w:r>
      <w:r w:rsidR="00DA481E" w:rsidRPr="00884C6E">
        <w:rPr>
          <w:rFonts w:ascii="Times New Roman" w:hAnsi="Times New Roman" w:cs="Times New Roman"/>
          <w:sz w:val="24"/>
          <w:szCs w:val="24"/>
          <w:lang w:val="lt-LT"/>
        </w:rPr>
        <w:t>5 priedas</w:t>
      </w:r>
    </w:p>
    <w:p w14:paraId="1A0771E9"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2AA9A98C"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Ažvinčių ežere“ </w:t>
      </w:r>
    </w:p>
    <w:p w14:paraId="49DA38A6" w14:textId="77777777" w:rsidR="00F80401" w:rsidRPr="00A002E9" w:rsidRDefault="00F80401" w:rsidP="00F8040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8"/>
          <w:szCs w:val="18"/>
          <w:lang w:val="lt-LT"/>
        </w:rPr>
      </w:pPr>
      <w:r w:rsidRPr="00A002E9">
        <w:rPr>
          <w:rFonts w:ascii="Times New Roman" w:eastAsia="Times New Roman" w:hAnsi="Times New Roman" w:cs="Times New Roman"/>
          <w:color w:val="000000"/>
          <w:sz w:val="18"/>
          <w:szCs w:val="18"/>
          <w:lang w:val="lt-LT"/>
        </w:rPr>
        <w:t xml:space="preserve">Nr. </w:t>
      </w:r>
      <w:r w:rsidRPr="00A002E9">
        <w:rPr>
          <w:rFonts w:ascii="Times New Roman" w:hAnsi="Times New Roman" w:cs="Times New Roman"/>
          <w:color w:val="000000" w:themeColor="text1"/>
          <w:sz w:val="18"/>
          <w:szCs w:val="18"/>
          <w:lang w:val="lt-LT"/>
        </w:rPr>
        <w:t>31SI1-25</w:t>
      </w:r>
      <w:r w:rsidRPr="00A002E9">
        <w:rPr>
          <w:rFonts w:ascii="Times New Roman" w:hAnsi="Times New Roman" w:cs="Times New Roman"/>
          <w:color w:val="000000" w:themeColor="text1"/>
          <w:sz w:val="18"/>
          <w:szCs w:val="18"/>
        </w:rPr>
        <w:t>-04-K-002-PR001</w:t>
      </w:r>
      <w:r>
        <w:rPr>
          <w:rFonts w:ascii="Times New Roman" w:hAnsi="Times New Roman" w:cs="Times New Roman"/>
          <w:color w:val="000000" w:themeColor="text1"/>
          <w:sz w:val="18"/>
          <w:szCs w:val="18"/>
        </w:rPr>
        <w:t>)</w:t>
      </w:r>
    </w:p>
    <w:p w14:paraId="4B85B570" w14:textId="58FF3D1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2D779B0" w14:textId="2F644914" w:rsidR="00A002E9" w:rsidRDefault="00A002E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5544C93" w14:textId="77777777" w:rsidR="00A002E9" w:rsidRPr="00884C6E" w:rsidRDefault="00A002E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FD6BC1"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FD6BC1"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FD6BC1"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4C0B798" w14:textId="515C2CF1" w:rsidR="00343CF7" w:rsidRDefault="00343CF7"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834F569" w14:textId="77777777" w:rsidR="00A002E9" w:rsidRPr="00884C6E" w:rsidRDefault="00A002E9" w:rsidP="00A002E9">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BC12B86" w14:textId="72081380" w:rsidR="00DA481E" w:rsidRPr="00884C6E" w:rsidRDefault="00A002E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Sutarties </w:t>
      </w:r>
      <w:r w:rsidR="00DA481E" w:rsidRPr="00884C6E">
        <w:rPr>
          <w:rFonts w:ascii="Times New Roman" w:hAnsi="Times New Roman" w:cs="Times New Roman"/>
          <w:sz w:val="24"/>
          <w:szCs w:val="24"/>
          <w:lang w:val="lt-LT"/>
        </w:rPr>
        <w:t>6 priedas</w:t>
      </w:r>
    </w:p>
    <w:p w14:paraId="61523F5A" w14:textId="1A5F9227" w:rsidR="00A002E9" w:rsidRPr="00A002E9" w:rsidRDefault="00A002E9" w:rsidP="00A002E9">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hAnsi="Times New Roman" w:cs="Times New Roman"/>
          <w:color w:val="000000" w:themeColor="text1"/>
          <w:sz w:val="18"/>
          <w:szCs w:val="18"/>
          <w:lang w:val="lt-LT"/>
        </w:rPr>
        <w:t xml:space="preserve"> </w:t>
      </w:r>
      <w:r w:rsidR="00F80401">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sidR="00F80401">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2B554D9E" w14:textId="77777777" w:rsidR="00A002E9" w:rsidRPr="00A002E9" w:rsidRDefault="00A002E9" w:rsidP="00A002E9">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Ažvinčių ežere“ </w:t>
      </w:r>
    </w:p>
    <w:p w14:paraId="028F6BC9" w14:textId="77777777" w:rsidR="00A002E9" w:rsidRPr="00A002E9" w:rsidRDefault="00A002E9" w:rsidP="00A002E9">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8"/>
          <w:szCs w:val="18"/>
          <w:lang w:val="lt-LT"/>
        </w:rPr>
      </w:pPr>
      <w:r w:rsidRPr="00A002E9">
        <w:rPr>
          <w:rFonts w:ascii="Times New Roman" w:eastAsia="Times New Roman" w:hAnsi="Times New Roman" w:cs="Times New Roman"/>
          <w:color w:val="000000"/>
          <w:sz w:val="18"/>
          <w:szCs w:val="18"/>
          <w:lang w:val="lt-LT"/>
        </w:rPr>
        <w:t xml:space="preserve">Nr. </w:t>
      </w:r>
      <w:r w:rsidRPr="00A002E9">
        <w:rPr>
          <w:rFonts w:ascii="Times New Roman" w:hAnsi="Times New Roman" w:cs="Times New Roman"/>
          <w:color w:val="000000" w:themeColor="text1"/>
          <w:sz w:val="18"/>
          <w:szCs w:val="18"/>
          <w:lang w:val="lt-LT"/>
        </w:rPr>
        <w:t>31SI1-25</w:t>
      </w:r>
      <w:r w:rsidRPr="00A002E9">
        <w:rPr>
          <w:rFonts w:ascii="Times New Roman" w:hAnsi="Times New Roman" w:cs="Times New Roman"/>
          <w:color w:val="000000" w:themeColor="text1"/>
          <w:sz w:val="18"/>
          <w:szCs w:val="18"/>
        </w:rPr>
        <w:t>-04-K-002-PR001</w:t>
      </w:r>
      <w:r>
        <w:rPr>
          <w:rFonts w:ascii="Times New Roman" w:hAnsi="Times New Roman" w:cs="Times New Roman"/>
          <w:color w:val="000000" w:themeColor="text1"/>
          <w:sz w:val="18"/>
          <w:szCs w:val="18"/>
        </w:rPr>
        <w:t>)</w:t>
      </w:r>
    </w:p>
    <w:p w14:paraId="7CAF99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F30D4E" w14:textId="77777777" w:rsidR="00A002E9" w:rsidRDefault="00A002E9" w:rsidP="00A002E9">
      <w:pPr>
        <w:pStyle w:val="Pagrindinistekstas2"/>
        <w:widowControl w:val="0"/>
        <w:shd w:val="clear" w:color="auto" w:fill="auto"/>
        <w:tabs>
          <w:tab w:val="left" w:pos="553"/>
        </w:tabs>
        <w:suppressAutoHyphens/>
        <w:spacing w:before="0" w:after="0" w:line="240" w:lineRule="auto"/>
        <w:ind w:firstLine="0"/>
        <w:jc w:val="left"/>
        <w:rPr>
          <w:rStyle w:val="Temosantrat320"/>
          <w:rFonts w:ascii="Times New Roman" w:hAnsi="Times New Roman" w:cs="Times New Roman"/>
          <w:b/>
          <w:sz w:val="24"/>
          <w:szCs w:val="24"/>
          <w:lang w:val="lt-LT"/>
        </w:rPr>
      </w:pPr>
    </w:p>
    <w:p w14:paraId="778FA512" w14:textId="11D49209"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(-ųjų) sąskaitos (-ų) numeris (-iai)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(-ųjų) sąskaitos (-ų) numeris (-iai)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 xml:space="preserve">13. Jei Subrangovas pateikia sąskaitą kitomis priemonėmis, Pirkėjas turi teisę tokios </w:t>
      </w:r>
      <w:r w:rsidRPr="00884C6E">
        <w:rPr>
          <w:sz w:val="24"/>
          <w:szCs w:val="24"/>
        </w:rPr>
        <w:lastRenderedPageBreak/>
        <w:t>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 xml:space="preserve">24. Bet kokios nuostatos negaliojimas ar prieštaravimas Lietuvos Respublikos įstatymams ar kitiems norminiams teisės aktams šioje Sutartyje neatleidžia Šalių nuo prisiimtų įsipareigojimų </w:t>
      </w:r>
      <w:r w:rsidRPr="00884C6E">
        <w:rPr>
          <w:sz w:val="24"/>
          <w:szCs w:val="24"/>
        </w:rPr>
        <w:lastRenderedPageBreak/>
        <w:t>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884C6E"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77777777" w:rsidR="00B32563" w:rsidRPr="00884C6E"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884C6E">
        <w:rPr>
          <w:rFonts w:ascii="Times New Roman" w:hAnsi="Times New Roman" w:cs="Times New Roman"/>
          <w:b/>
          <w:sz w:val="24"/>
          <w:szCs w:val="24"/>
          <w:lang w:val="lt-LT"/>
        </w:rPr>
        <w:t>ATLIKTŲ DARBŲ AKTAS NR.</w:t>
      </w:r>
      <w:bookmarkEnd w:id="8"/>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FD6BC1"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FD6BC1"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FD6BC1"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FD6BC1"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510B" w14:textId="77777777" w:rsidR="00CB3CCB" w:rsidRDefault="00CB3CCB">
      <w:r>
        <w:separator/>
      </w:r>
    </w:p>
  </w:endnote>
  <w:endnote w:type="continuationSeparator" w:id="0">
    <w:p w14:paraId="281F887C" w14:textId="77777777" w:rsidR="00CB3CCB" w:rsidRDefault="00CB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B3B4" w14:textId="77777777" w:rsidR="00CB3CCB" w:rsidRDefault="00CB3CCB">
      <w:r>
        <w:separator/>
      </w:r>
    </w:p>
  </w:footnote>
  <w:footnote w:type="continuationSeparator" w:id="0">
    <w:p w14:paraId="716ADC06" w14:textId="77777777" w:rsidR="00CB3CCB" w:rsidRDefault="00CB3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04C05"/>
    <w:rsid w:val="00017F86"/>
    <w:rsid w:val="000223DB"/>
    <w:rsid w:val="000472E7"/>
    <w:rsid w:val="000564F7"/>
    <w:rsid w:val="00080CC8"/>
    <w:rsid w:val="00081295"/>
    <w:rsid w:val="000A51C0"/>
    <w:rsid w:val="000B14CB"/>
    <w:rsid w:val="000B213D"/>
    <w:rsid w:val="000F3947"/>
    <w:rsid w:val="000F45FE"/>
    <w:rsid w:val="00130384"/>
    <w:rsid w:val="001303A2"/>
    <w:rsid w:val="00165888"/>
    <w:rsid w:val="00171749"/>
    <w:rsid w:val="001B65D0"/>
    <w:rsid w:val="001E240B"/>
    <w:rsid w:val="001F3746"/>
    <w:rsid w:val="00212F0D"/>
    <w:rsid w:val="00236E40"/>
    <w:rsid w:val="00264E23"/>
    <w:rsid w:val="00270928"/>
    <w:rsid w:val="00290EC3"/>
    <w:rsid w:val="002A4184"/>
    <w:rsid w:val="002D2027"/>
    <w:rsid w:val="002D4A2E"/>
    <w:rsid w:val="002E06A2"/>
    <w:rsid w:val="002E33E1"/>
    <w:rsid w:val="00314AAA"/>
    <w:rsid w:val="0031668D"/>
    <w:rsid w:val="00323994"/>
    <w:rsid w:val="003356C1"/>
    <w:rsid w:val="00335F57"/>
    <w:rsid w:val="00343CF7"/>
    <w:rsid w:val="00363B54"/>
    <w:rsid w:val="003948F1"/>
    <w:rsid w:val="003E76F2"/>
    <w:rsid w:val="003F2EC9"/>
    <w:rsid w:val="00402CFA"/>
    <w:rsid w:val="00410C11"/>
    <w:rsid w:val="00423F1D"/>
    <w:rsid w:val="00431C1A"/>
    <w:rsid w:val="00455A67"/>
    <w:rsid w:val="00465C5D"/>
    <w:rsid w:val="00470C2A"/>
    <w:rsid w:val="00475171"/>
    <w:rsid w:val="00475602"/>
    <w:rsid w:val="00484FF1"/>
    <w:rsid w:val="004915BE"/>
    <w:rsid w:val="004C31A1"/>
    <w:rsid w:val="0051061A"/>
    <w:rsid w:val="00536349"/>
    <w:rsid w:val="00541D17"/>
    <w:rsid w:val="00551A07"/>
    <w:rsid w:val="00555863"/>
    <w:rsid w:val="005613F6"/>
    <w:rsid w:val="005644ED"/>
    <w:rsid w:val="00564CBC"/>
    <w:rsid w:val="00564E56"/>
    <w:rsid w:val="005740B0"/>
    <w:rsid w:val="005758A5"/>
    <w:rsid w:val="00580372"/>
    <w:rsid w:val="005C14CF"/>
    <w:rsid w:val="005E408D"/>
    <w:rsid w:val="00614A59"/>
    <w:rsid w:val="00652BC1"/>
    <w:rsid w:val="00657FAE"/>
    <w:rsid w:val="006C1478"/>
    <w:rsid w:val="006C1932"/>
    <w:rsid w:val="006C50E5"/>
    <w:rsid w:val="006D3E13"/>
    <w:rsid w:val="006E3D70"/>
    <w:rsid w:val="007313A7"/>
    <w:rsid w:val="00735EA3"/>
    <w:rsid w:val="007372B4"/>
    <w:rsid w:val="00741435"/>
    <w:rsid w:val="007636EA"/>
    <w:rsid w:val="00786607"/>
    <w:rsid w:val="007E2FF9"/>
    <w:rsid w:val="00834F61"/>
    <w:rsid w:val="008653E6"/>
    <w:rsid w:val="00871A9A"/>
    <w:rsid w:val="008805A3"/>
    <w:rsid w:val="00884C6E"/>
    <w:rsid w:val="008A17BB"/>
    <w:rsid w:val="008A446F"/>
    <w:rsid w:val="008A5BA3"/>
    <w:rsid w:val="008B12ED"/>
    <w:rsid w:val="008C4292"/>
    <w:rsid w:val="008E154C"/>
    <w:rsid w:val="008E5C6D"/>
    <w:rsid w:val="0093412D"/>
    <w:rsid w:val="009566C0"/>
    <w:rsid w:val="0097332B"/>
    <w:rsid w:val="009734CB"/>
    <w:rsid w:val="009C337D"/>
    <w:rsid w:val="009D58A6"/>
    <w:rsid w:val="009E61D7"/>
    <w:rsid w:val="00A002E9"/>
    <w:rsid w:val="00AC3D2A"/>
    <w:rsid w:val="00AC629E"/>
    <w:rsid w:val="00AD27C6"/>
    <w:rsid w:val="00AD7307"/>
    <w:rsid w:val="00AD7B58"/>
    <w:rsid w:val="00AF3F07"/>
    <w:rsid w:val="00B0436E"/>
    <w:rsid w:val="00B23D28"/>
    <w:rsid w:val="00B24C17"/>
    <w:rsid w:val="00B32563"/>
    <w:rsid w:val="00B71E8A"/>
    <w:rsid w:val="00B80F35"/>
    <w:rsid w:val="00B845BE"/>
    <w:rsid w:val="00B905D6"/>
    <w:rsid w:val="00B97E4D"/>
    <w:rsid w:val="00BA1838"/>
    <w:rsid w:val="00BB0ECC"/>
    <w:rsid w:val="00BB5AF4"/>
    <w:rsid w:val="00BD312F"/>
    <w:rsid w:val="00C0248D"/>
    <w:rsid w:val="00C117BF"/>
    <w:rsid w:val="00C24B05"/>
    <w:rsid w:val="00C31ECC"/>
    <w:rsid w:val="00C769AE"/>
    <w:rsid w:val="00CB3CCB"/>
    <w:rsid w:val="00CB6EF8"/>
    <w:rsid w:val="00CC50A7"/>
    <w:rsid w:val="00CD0642"/>
    <w:rsid w:val="00CF3677"/>
    <w:rsid w:val="00D215B1"/>
    <w:rsid w:val="00D749CA"/>
    <w:rsid w:val="00D94794"/>
    <w:rsid w:val="00D96D2E"/>
    <w:rsid w:val="00DA481E"/>
    <w:rsid w:val="00DB4964"/>
    <w:rsid w:val="00DC08BC"/>
    <w:rsid w:val="00DD71FA"/>
    <w:rsid w:val="00DD7B8A"/>
    <w:rsid w:val="00DE3399"/>
    <w:rsid w:val="00DF6419"/>
    <w:rsid w:val="00E1302D"/>
    <w:rsid w:val="00E2508A"/>
    <w:rsid w:val="00E43393"/>
    <w:rsid w:val="00E43FAD"/>
    <w:rsid w:val="00E47376"/>
    <w:rsid w:val="00E5784F"/>
    <w:rsid w:val="00E63442"/>
    <w:rsid w:val="00E83B30"/>
    <w:rsid w:val="00EA0F2C"/>
    <w:rsid w:val="00EB3100"/>
    <w:rsid w:val="00ED26D2"/>
    <w:rsid w:val="00ED720F"/>
    <w:rsid w:val="00ED7BAA"/>
    <w:rsid w:val="00EE15BE"/>
    <w:rsid w:val="00EF5BA3"/>
    <w:rsid w:val="00F22678"/>
    <w:rsid w:val="00F33842"/>
    <w:rsid w:val="00F34832"/>
    <w:rsid w:val="00F40644"/>
    <w:rsid w:val="00F5141A"/>
    <w:rsid w:val="00F52482"/>
    <w:rsid w:val="00F61FEF"/>
    <w:rsid w:val="00F74729"/>
    <w:rsid w:val="00F80401"/>
    <w:rsid w:val="00F905FC"/>
    <w:rsid w:val="00F90DA0"/>
    <w:rsid w:val="00FC07F0"/>
    <w:rsid w:val="00FD2C6B"/>
    <w:rsid w:val="00FD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6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56881</Words>
  <Characters>32423</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Aistė Graznovaitė</cp:lastModifiedBy>
  <cp:revision>64</cp:revision>
  <dcterms:created xsi:type="dcterms:W3CDTF">2024-11-26T09:43:00Z</dcterms:created>
  <dcterms:modified xsi:type="dcterms:W3CDTF">2025-09-26T09:13:00Z</dcterms:modified>
</cp:coreProperties>
</file>