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68"/>
      </w:tblGrid>
      <w:tr w:rsidR="00027B83" w14:paraId="06BD45D9" w14:textId="77777777" w:rsidTr="00F936E5">
        <w:tc>
          <w:tcPr>
            <w:tcW w:w="2448" w:type="dxa"/>
          </w:tcPr>
          <w:p w14:paraId="40177F4F" w14:textId="77777777" w:rsidR="00027B83" w:rsidRDefault="000B0897">
            <w:pPr>
              <w:jc w:val="both"/>
              <w:rPr>
                <w:b/>
                <w:kern w:val="2"/>
                <w:szCs w:val="24"/>
              </w:rPr>
            </w:pPr>
            <w:r>
              <w:rPr>
                <w:b/>
                <w:kern w:val="2"/>
                <w:szCs w:val="24"/>
              </w:rPr>
              <w:t>Sutarties pavadinimas</w:t>
            </w:r>
          </w:p>
        </w:tc>
        <w:tc>
          <w:tcPr>
            <w:tcW w:w="7807" w:type="dxa"/>
            <w:gridSpan w:val="3"/>
          </w:tcPr>
          <w:p w14:paraId="607BC18E" w14:textId="61F7DFC5" w:rsidR="00027B83" w:rsidRDefault="003F73B7">
            <w:pPr>
              <w:jc w:val="both"/>
              <w:rPr>
                <w:kern w:val="2"/>
                <w:szCs w:val="24"/>
              </w:rPr>
            </w:pPr>
            <w:r w:rsidRPr="00A22120">
              <w:rPr>
                <w:b/>
                <w:szCs w:val="24"/>
                <w:lang w:eastAsia="x-none"/>
              </w:rPr>
              <w:t>JUDRIOJO TELEFONO RYŠIO IR SKAMBUČIŲ CENTRO VALDYMO PASLAUG</w:t>
            </w:r>
            <w:r>
              <w:rPr>
                <w:b/>
                <w:szCs w:val="24"/>
                <w:lang w:eastAsia="x-none"/>
              </w:rPr>
              <w:t xml:space="preserve">Ų </w:t>
            </w:r>
            <w:r>
              <w:rPr>
                <w:b/>
                <w:bCs/>
                <w:caps/>
                <w:szCs w:val="24"/>
              </w:rPr>
              <w:t>pirkimo-pardavimo sutartIS</w:t>
            </w:r>
          </w:p>
        </w:tc>
      </w:tr>
      <w:tr w:rsidR="00027B83" w14:paraId="2F08ABA7" w14:textId="77777777" w:rsidTr="00F936E5">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3268"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207"/>
      </w:tblGrid>
      <w:tr w:rsidR="00027B83" w14:paraId="2A8CDD09" w14:textId="77777777" w:rsidTr="000C24D1">
        <w:tc>
          <w:tcPr>
            <w:tcW w:w="10255"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rsidTr="000C24D1">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4207" w:type="dxa"/>
          </w:tcPr>
          <w:p w14:paraId="53FF09A2" w14:textId="77777777" w:rsidR="00027B83" w:rsidRDefault="00027B83">
            <w:pPr>
              <w:jc w:val="center"/>
              <w:rPr>
                <w:kern w:val="2"/>
                <w:szCs w:val="24"/>
              </w:rPr>
            </w:pPr>
          </w:p>
        </w:tc>
      </w:tr>
      <w:tr w:rsidR="00027B83" w14:paraId="46894EEE" w14:textId="77777777" w:rsidTr="000C24D1">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4207" w:type="dxa"/>
          </w:tcPr>
          <w:p w14:paraId="63476F65" w14:textId="77777777" w:rsidR="00027B83" w:rsidRDefault="00027B83">
            <w:pPr>
              <w:jc w:val="center"/>
              <w:rPr>
                <w:kern w:val="2"/>
                <w:szCs w:val="24"/>
              </w:rPr>
            </w:pPr>
          </w:p>
        </w:tc>
      </w:tr>
      <w:tr w:rsidR="00027B83" w14:paraId="356739C7" w14:textId="77777777" w:rsidTr="000C24D1">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4207" w:type="dxa"/>
          </w:tcPr>
          <w:p w14:paraId="4FB387A2" w14:textId="77777777" w:rsidR="00027B83" w:rsidRDefault="00027B83">
            <w:pPr>
              <w:jc w:val="center"/>
              <w:rPr>
                <w:kern w:val="2"/>
                <w:szCs w:val="24"/>
              </w:rPr>
            </w:pPr>
          </w:p>
        </w:tc>
      </w:tr>
      <w:tr w:rsidR="00027B83" w14:paraId="00E15A94" w14:textId="77777777" w:rsidTr="000C24D1">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4207" w:type="dxa"/>
          </w:tcPr>
          <w:p w14:paraId="3641442E" w14:textId="77777777" w:rsidR="00027B83" w:rsidRDefault="00027B83">
            <w:pPr>
              <w:jc w:val="center"/>
              <w:rPr>
                <w:kern w:val="2"/>
                <w:szCs w:val="24"/>
              </w:rPr>
            </w:pPr>
          </w:p>
        </w:tc>
      </w:tr>
      <w:tr w:rsidR="00027B83" w14:paraId="164424F3" w14:textId="77777777" w:rsidTr="000C24D1">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4207" w:type="dxa"/>
          </w:tcPr>
          <w:p w14:paraId="62E56AEE" w14:textId="77777777" w:rsidR="00027B83" w:rsidRDefault="00027B83">
            <w:pPr>
              <w:jc w:val="center"/>
              <w:rPr>
                <w:kern w:val="2"/>
                <w:szCs w:val="24"/>
              </w:rPr>
            </w:pPr>
          </w:p>
        </w:tc>
      </w:tr>
      <w:tr w:rsidR="00027B83" w14:paraId="6B7E848E" w14:textId="77777777" w:rsidTr="000C24D1">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4207" w:type="dxa"/>
          </w:tcPr>
          <w:p w14:paraId="7CD0A608" w14:textId="77777777" w:rsidR="00027B83" w:rsidRDefault="00027B83">
            <w:pPr>
              <w:jc w:val="center"/>
              <w:rPr>
                <w:kern w:val="2"/>
                <w:szCs w:val="24"/>
              </w:rPr>
            </w:pPr>
          </w:p>
        </w:tc>
      </w:tr>
      <w:tr w:rsidR="00027B83" w14:paraId="3C8A477F" w14:textId="77777777" w:rsidTr="000C24D1">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4207" w:type="dxa"/>
          </w:tcPr>
          <w:p w14:paraId="04975451" w14:textId="77777777" w:rsidR="00027B83" w:rsidRDefault="00027B83">
            <w:pPr>
              <w:jc w:val="center"/>
              <w:rPr>
                <w:kern w:val="2"/>
                <w:szCs w:val="24"/>
              </w:rPr>
            </w:pPr>
          </w:p>
        </w:tc>
      </w:tr>
      <w:tr w:rsidR="00027B83" w14:paraId="7B8191B7" w14:textId="77777777" w:rsidTr="000C24D1">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4207" w:type="dxa"/>
          </w:tcPr>
          <w:p w14:paraId="06155599" w14:textId="77777777" w:rsidR="00027B83" w:rsidRDefault="00027B83">
            <w:pPr>
              <w:jc w:val="center"/>
              <w:rPr>
                <w:kern w:val="2"/>
                <w:szCs w:val="24"/>
              </w:rPr>
            </w:pPr>
          </w:p>
        </w:tc>
      </w:tr>
      <w:tr w:rsidR="00027B83" w14:paraId="1959C3F5" w14:textId="77777777" w:rsidTr="000C24D1">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4207" w:type="dxa"/>
          </w:tcPr>
          <w:p w14:paraId="04FDD825" w14:textId="77777777" w:rsidR="00027B83" w:rsidRDefault="00027B83">
            <w:pPr>
              <w:jc w:val="center"/>
              <w:rPr>
                <w:kern w:val="2"/>
                <w:szCs w:val="24"/>
              </w:rPr>
            </w:pPr>
          </w:p>
        </w:tc>
      </w:tr>
      <w:tr w:rsidR="00027B83" w14:paraId="475D93E9" w14:textId="77777777" w:rsidTr="000C24D1">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4207" w:type="dxa"/>
          </w:tcPr>
          <w:p w14:paraId="7164E978" w14:textId="77777777" w:rsidR="00027B83" w:rsidRDefault="00027B83">
            <w:pPr>
              <w:jc w:val="center"/>
              <w:rPr>
                <w:kern w:val="2"/>
                <w:szCs w:val="24"/>
              </w:rPr>
            </w:pPr>
          </w:p>
        </w:tc>
      </w:tr>
      <w:tr w:rsidR="00027B83" w14:paraId="208DA5AB" w14:textId="77777777" w:rsidTr="000C24D1">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4207" w:type="dxa"/>
          </w:tcPr>
          <w:p w14:paraId="02EEDC7F" w14:textId="77777777" w:rsidR="00027B83" w:rsidRDefault="00027B83">
            <w:pPr>
              <w:jc w:val="center"/>
              <w:rPr>
                <w:kern w:val="2"/>
                <w:szCs w:val="24"/>
              </w:rPr>
            </w:pPr>
          </w:p>
        </w:tc>
      </w:tr>
      <w:tr w:rsidR="00027B83" w14:paraId="3EAB2D74" w14:textId="77777777" w:rsidTr="000C24D1">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4207" w:type="dxa"/>
          </w:tcPr>
          <w:p w14:paraId="53FD7CD7" w14:textId="77777777" w:rsidR="00027B83" w:rsidRDefault="00027B83">
            <w:pPr>
              <w:jc w:val="center"/>
              <w:rPr>
                <w:kern w:val="2"/>
                <w:szCs w:val="24"/>
              </w:rPr>
            </w:pPr>
          </w:p>
        </w:tc>
      </w:tr>
      <w:tr w:rsidR="00027B83" w14:paraId="666244A6" w14:textId="77777777" w:rsidTr="000C24D1">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4207" w:type="dxa"/>
          </w:tcPr>
          <w:p w14:paraId="7014BB4C" w14:textId="77777777" w:rsidR="00027B83" w:rsidRDefault="00027B83">
            <w:pPr>
              <w:jc w:val="center"/>
              <w:rPr>
                <w:kern w:val="2"/>
                <w:szCs w:val="24"/>
              </w:rPr>
            </w:pPr>
          </w:p>
        </w:tc>
      </w:tr>
      <w:tr w:rsidR="00027B83" w14:paraId="29C53A2D" w14:textId="77777777" w:rsidTr="000C24D1">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4207" w:type="dxa"/>
          </w:tcPr>
          <w:p w14:paraId="1570F720" w14:textId="77777777" w:rsidR="00027B83" w:rsidRDefault="00027B83">
            <w:pPr>
              <w:jc w:val="center"/>
              <w:rPr>
                <w:kern w:val="2"/>
                <w:szCs w:val="24"/>
              </w:rPr>
            </w:pPr>
          </w:p>
        </w:tc>
      </w:tr>
      <w:tr w:rsidR="00027B83" w14:paraId="5B9A0B4B" w14:textId="77777777" w:rsidTr="000C24D1">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4207" w:type="dxa"/>
          </w:tcPr>
          <w:p w14:paraId="5B25FE4F" w14:textId="77777777" w:rsidR="00027B83" w:rsidRDefault="00027B83">
            <w:pPr>
              <w:jc w:val="center"/>
              <w:rPr>
                <w:kern w:val="2"/>
                <w:szCs w:val="24"/>
              </w:rPr>
            </w:pPr>
          </w:p>
        </w:tc>
      </w:tr>
      <w:tr w:rsidR="00027B83" w14:paraId="0D812494" w14:textId="77777777" w:rsidTr="000C24D1">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4207" w:type="dxa"/>
          </w:tcPr>
          <w:p w14:paraId="261BA477" w14:textId="77777777" w:rsidR="00027B83" w:rsidRDefault="00027B83">
            <w:pPr>
              <w:jc w:val="center"/>
              <w:rPr>
                <w:kern w:val="2"/>
                <w:szCs w:val="24"/>
              </w:rPr>
            </w:pPr>
          </w:p>
        </w:tc>
      </w:tr>
      <w:tr w:rsidR="00027B83" w14:paraId="3A61E74A" w14:textId="77777777" w:rsidTr="000C24D1">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4207" w:type="dxa"/>
          </w:tcPr>
          <w:p w14:paraId="779C186C" w14:textId="77777777" w:rsidR="00027B83" w:rsidRDefault="00027B83">
            <w:pPr>
              <w:jc w:val="center"/>
              <w:rPr>
                <w:kern w:val="2"/>
                <w:szCs w:val="24"/>
              </w:rPr>
            </w:pPr>
          </w:p>
        </w:tc>
      </w:tr>
      <w:tr w:rsidR="00027B83" w14:paraId="4A6AF2AD" w14:textId="77777777" w:rsidTr="000C24D1">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4207" w:type="dxa"/>
          </w:tcPr>
          <w:p w14:paraId="5FE40A45" w14:textId="77777777" w:rsidR="00027B83" w:rsidRDefault="00027B83">
            <w:pPr>
              <w:jc w:val="center"/>
              <w:rPr>
                <w:kern w:val="2"/>
                <w:szCs w:val="24"/>
              </w:rPr>
            </w:pPr>
          </w:p>
        </w:tc>
      </w:tr>
      <w:tr w:rsidR="00027B83" w14:paraId="67CA8A8E" w14:textId="77777777" w:rsidTr="000C24D1">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4207" w:type="dxa"/>
          </w:tcPr>
          <w:p w14:paraId="6AA5701A" w14:textId="77777777" w:rsidR="00027B83" w:rsidRDefault="00027B83">
            <w:pPr>
              <w:jc w:val="center"/>
              <w:rPr>
                <w:kern w:val="2"/>
                <w:szCs w:val="24"/>
              </w:rPr>
            </w:pPr>
          </w:p>
        </w:tc>
      </w:tr>
      <w:tr w:rsidR="00027B83" w14:paraId="21B1C29D" w14:textId="77777777" w:rsidTr="000C24D1">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4207"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360"/>
        <w:gridCol w:w="1873"/>
        <w:gridCol w:w="6047"/>
      </w:tblGrid>
      <w:tr w:rsidR="00027B83" w14:paraId="65ACB567" w14:textId="77777777" w:rsidTr="009C1B70">
        <w:trPr>
          <w:trHeight w:val="300"/>
        </w:trPr>
        <w:tc>
          <w:tcPr>
            <w:tcW w:w="1025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9C1B70">
        <w:trPr>
          <w:trHeight w:val="300"/>
        </w:trPr>
        <w:tc>
          <w:tcPr>
            <w:tcW w:w="2335"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w:t>
            </w:r>
            <w:r>
              <w:rPr>
                <w:b/>
                <w:kern w:val="2"/>
                <w:szCs w:val="24"/>
              </w:rPr>
              <w:lastRenderedPageBreak/>
              <w:t>sistemą SABIS priėmimą</w:t>
            </w:r>
          </w:p>
        </w:tc>
        <w:tc>
          <w:tcPr>
            <w:tcW w:w="7920"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rsidTr="009C1B70">
        <w:trPr>
          <w:trHeight w:val="300"/>
        </w:trPr>
        <w:tc>
          <w:tcPr>
            <w:tcW w:w="2335"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7920"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9C1B70">
        <w:trPr>
          <w:trHeight w:val="300"/>
        </w:trPr>
        <w:tc>
          <w:tcPr>
            <w:tcW w:w="1025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9C1B70">
        <w:trPr>
          <w:trHeight w:val="300"/>
        </w:trPr>
        <w:tc>
          <w:tcPr>
            <w:tcW w:w="2335" w:type="dxa"/>
            <w:gridSpan w:val="2"/>
          </w:tcPr>
          <w:p w14:paraId="27B75B6A" w14:textId="77777777" w:rsidR="00027B83" w:rsidRDefault="000B0897">
            <w:pPr>
              <w:rPr>
                <w:b/>
                <w:kern w:val="2"/>
                <w:szCs w:val="24"/>
              </w:rPr>
            </w:pPr>
            <w:r>
              <w:rPr>
                <w:b/>
                <w:kern w:val="2"/>
                <w:szCs w:val="24"/>
              </w:rPr>
              <w:t>3.1. Sutarties dalykas</w:t>
            </w:r>
          </w:p>
        </w:tc>
        <w:tc>
          <w:tcPr>
            <w:tcW w:w="7920" w:type="dxa"/>
            <w:gridSpan w:val="2"/>
          </w:tcPr>
          <w:p w14:paraId="403AB65E" w14:textId="2A665E1F" w:rsidR="00027B83" w:rsidRDefault="00BE36F6" w:rsidP="001157D0">
            <w:pPr>
              <w:jc w:val="both"/>
              <w:rPr>
                <w:color w:val="000000"/>
                <w:kern w:val="2"/>
                <w:szCs w:val="24"/>
              </w:rPr>
            </w:pPr>
            <w:r>
              <w:rPr>
                <w:kern w:val="2"/>
                <w:szCs w:val="24"/>
                <w:lang w:val="en-US"/>
              </w:rPr>
              <w:t xml:space="preserve">3.1.1. </w:t>
            </w:r>
            <w:r w:rsidR="000B0897">
              <w:rPr>
                <w:kern w:val="2"/>
                <w:szCs w:val="24"/>
              </w:rPr>
              <w:t xml:space="preserve">Tiekėjas įsipareigoja Sutartyje numatytomis sąlygomis suteikti Pirkėjui </w:t>
            </w:r>
            <w:r w:rsidR="003F73B7">
              <w:rPr>
                <w:kern w:val="2"/>
                <w:szCs w:val="24"/>
              </w:rPr>
              <w:t xml:space="preserve">judriojo telefono ryšio ir skambučių centro paslaugas </w:t>
            </w:r>
            <w:r w:rsidR="000B0897">
              <w:rPr>
                <w:color w:val="000000"/>
                <w:kern w:val="2"/>
                <w:szCs w:val="24"/>
              </w:rPr>
              <w:t>(toliau – Paslaugos)</w:t>
            </w:r>
            <w:r w:rsidR="00AA654C">
              <w:rPr>
                <w:color w:val="000000"/>
                <w:kern w:val="2"/>
                <w:szCs w:val="24"/>
              </w:rPr>
              <w:t>, kurias sudaro:</w:t>
            </w:r>
          </w:p>
          <w:p w14:paraId="08CBD197" w14:textId="1320EFDE" w:rsidR="007E026D" w:rsidRPr="00BE36F6" w:rsidRDefault="00AA654C" w:rsidP="00BE36F6">
            <w:pPr>
              <w:pStyle w:val="Sraopastraipa"/>
              <w:numPr>
                <w:ilvl w:val="3"/>
                <w:numId w:val="10"/>
              </w:numPr>
              <w:tabs>
                <w:tab w:val="left" w:pos="952"/>
              </w:tabs>
              <w:autoSpaceDN w:val="0"/>
              <w:ind w:left="0" w:firstLine="0"/>
              <w:jc w:val="both"/>
              <w:textAlignment w:val="baseline"/>
              <w:rPr>
                <w:noProof/>
                <w:szCs w:val="24"/>
              </w:rPr>
            </w:pPr>
            <w:r w:rsidRPr="00132E9A">
              <w:rPr>
                <w:b/>
                <w:bCs/>
                <w:noProof/>
                <w:szCs w:val="24"/>
              </w:rPr>
              <w:t>Judriojo telefono ryšio paslaugos</w:t>
            </w:r>
            <w:r w:rsidR="007E026D" w:rsidRPr="00BE36F6">
              <w:rPr>
                <w:bCs/>
                <w:szCs w:val="24"/>
              </w:rPr>
              <w:t>, kurias sudaro</w:t>
            </w:r>
            <w:r w:rsidR="00F07554">
              <w:rPr>
                <w:bCs/>
                <w:szCs w:val="24"/>
              </w:rPr>
              <w:t>:</w:t>
            </w:r>
            <w:r w:rsidR="007E026D" w:rsidRPr="00BE36F6">
              <w:rPr>
                <w:bCs/>
                <w:szCs w:val="24"/>
              </w:rPr>
              <w:t xml:space="preserve"> </w:t>
            </w:r>
            <w:r w:rsidR="007E026D" w:rsidRPr="468BEAB5">
              <w:rPr>
                <w:lang w:eastAsia="ar-SA"/>
              </w:rPr>
              <w:t>neriboti skambučiai į fiksuotus Lietuvos tinklus</w:t>
            </w:r>
            <w:r w:rsidR="007E026D" w:rsidRPr="7BCEC9BD">
              <w:rPr>
                <w:lang w:eastAsia="ar-SA"/>
              </w:rPr>
              <w:t xml:space="preserve"> (visi įeinantys ir išeinantys skambučiai)</w:t>
            </w:r>
            <w:r w:rsidR="007E026D">
              <w:rPr>
                <w:lang w:eastAsia="ar-SA"/>
              </w:rPr>
              <w:t xml:space="preserve">; </w:t>
            </w:r>
            <w:r w:rsidR="007E026D" w:rsidRPr="468BEAB5">
              <w:rPr>
                <w:lang w:eastAsia="ar-SA"/>
              </w:rPr>
              <w:t>neriboti skambučiai į judriuosius Lietuvos tinklus</w:t>
            </w:r>
            <w:r w:rsidR="007E026D" w:rsidRPr="7BCEC9BD">
              <w:rPr>
                <w:lang w:eastAsia="ar-SA"/>
              </w:rPr>
              <w:t xml:space="preserve"> (visi įeinantys ir išeinantys skambučiai)</w:t>
            </w:r>
            <w:r w:rsidR="007E026D">
              <w:rPr>
                <w:lang w:eastAsia="ar-SA"/>
              </w:rPr>
              <w:t xml:space="preserve">; </w:t>
            </w:r>
            <w:r w:rsidR="007E026D" w:rsidRPr="468BEAB5">
              <w:rPr>
                <w:lang w:eastAsia="ar-SA"/>
              </w:rPr>
              <w:t>neribotas duomenų perdavimas Lietuvoje</w:t>
            </w:r>
            <w:r w:rsidR="007E026D">
              <w:rPr>
                <w:lang w:eastAsia="ar-SA"/>
              </w:rPr>
              <w:t xml:space="preserve">; </w:t>
            </w:r>
            <w:r w:rsidR="007E026D" w:rsidRPr="4AC4E12C">
              <w:rPr>
                <w:lang w:eastAsia="ar-SA"/>
              </w:rPr>
              <w:t xml:space="preserve">neribotas SMS žinučių siuntimas į visus Lietuvos operatorių tinklus; duomenų perdavimas ES valstybėse ir </w:t>
            </w:r>
            <w:r w:rsidR="007E026D">
              <w:t xml:space="preserve">Europos ekonominės erdvės valstybėse </w:t>
            </w:r>
            <w:r w:rsidR="007E026D" w:rsidRPr="4AC4E12C">
              <w:rPr>
                <w:lang w:eastAsia="ar-SA"/>
              </w:rPr>
              <w:t>paslaugos (suteikiant 5 GB limitą kiekvienam abonentui atskirai per mėnesį</w:t>
            </w:r>
            <w:r w:rsidR="001157D0">
              <w:rPr>
                <w:lang w:eastAsia="ar-SA"/>
              </w:rPr>
              <w:t>;</w:t>
            </w:r>
          </w:p>
          <w:p w14:paraId="0D140405" w14:textId="2E0E51D4" w:rsidR="00BE36F6" w:rsidRPr="00EA5B95" w:rsidRDefault="00BE36F6" w:rsidP="00BE36F6">
            <w:pPr>
              <w:tabs>
                <w:tab w:val="left" w:pos="709"/>
                <w:tab w:val="left" w:pos="851"/>
              </w:tabs>
              <w:jc w:val="both"/>
              <w:rPr>
                <w:szCs w:val="24"/>
              </w:rPr>
            </w:pPr>
            <w:r>
              <w:rPr>
                <w:lang w:val="lt"/>
              </w:rPr>
              <w:t>3.1.1.2.</w:t>
            </w:r>
            <w:r w:rsidR="007E026D" w:rsidRPr="00BE36F6">
              <w:rPr>
                <w:lang w:val="lt"/>
              </w:rPr>
              <w:t xml:space="preserve">kitos judriojo ryšio paslaugos, kurios yra perkamos pagal </w:t>
            </w:r>
            <w:proofErr w:type="spellStart"/>
            <w:r w:rsidR="007E026D" w:rsidRPr="00BE36F6">
              <w:rPr>
                <w:lang w:val="lt"/>
              </w:rPr>
              <w:t>poreik</w:t>
            </w:r>
            <w:proofErr w:type="spellEnd"/>
            <w:r w:rsidR="007E026D">
              <w:t>į ir kurias sudaro</w:t>
            </w:r>
            <w:r w:rsidR="00F07554">
              <w:t>:</w:t>
            </w:r>
            <w:r w:rsidR="007E026D">
              <w:t xml:space="preserve"> g</w:t>
            </w:r>
            <w:r w:rsidR="007E026D" w:rsidRPr="00316A65">
              <w:t>alimybė skambinti trečioms šalims trumpaisiais numeriais (pvz. pagalba, taksi, bankams</w:t>
            </w:r>
            <w:r w:rsidR="007E026D">
              <w:t>)</w:t>
            </w:r>
            <w:r w:rsidR="00F07554">
              <w:t xml:space="preserve">; </w:t>
            </w:r>
            <w:r w:rsidR="007E026D">
              <w:t>g</w:t>
            </w:r>
            <w:r w:rsidR="007E026D" w:rsidRPr="00A474D3">
              <w:t>alimyb</w:t>
            </w:r>
            <w:r w:rsidR="007E026D">
              <w:t>ė sumokėti SMS žinute ar kitu būdu (naudojant judriojo ryšio paslaugas) už automobilio stovėjimą;</w:t>
            </w:r>
            <w:r>
              <w:rPr>
                <w:noProof/>
                <w:szCs w:val="24"/>
              </w:rPr>
              <w:t xml:space="preserve"> </w:t>
            </w:r>
            <w:r w:rsidR="00AA654C" w:rsidRPr="00BE36F6">
              <w:rPr>
                <w:bCs/>
                <w:szCs w:val="24"/>
              </w:rPr>
              <w:t>Balso pašto paslauga;</w:t>
            </w:r>
            <w:r>
              <w:rPr>
                <w:noProof/>
                <w:szCs w:val="24"/>
              </w:rPr>
              <w:t xml:space="preserve"> </w:t>
            </w:r>
            <w:r w:rsidR="00AA654C" w:rsidRPr="00BE36F6">
              <w:rPr>
                <w:bCs/>
                <w:szCs w:val="24"/>
              </w:rPr>
              <w:t xml:space="preserve">Papildomas duomenų perdavimo </w:t>
            </w:r>
            <w:r w:rsidR="00AA654C" w:rsidRPr="00BE36F6">
              <w:rPr>
                <w:szCs w:val="24"/>
              </w:rPr>
              <w:t>ES valstybėse</w:t>
            </w:r>
            <w:r w:rsidR="00AA654C" w:rsidRPr="00BE36F6">
              <w:rPr>
                <w:bCs/>
                <w:szCs w:val="24"/>
              </w:rPr>
              <w:t xml:space="preserve"> ir Europos ekonominės erdvės valstybėse paslaugos (internetas telefone), kai išnaudojamas abonentui skirtas 5 GB limitas (t. y. jį viršijus);</w:t>
            </w:r>
            <w:r>
              <w:rPr>
                <w:noProof/>
                <w:szCs w:val="24"/>
              </w:rPr>
              <w:t xml:space="preserve"> </w:t>
            </w:r>
            <w:r w:rsidR="00F07554">
              <w:t xml:space="preserve">Duomenų perdavimas </w:t>
            </w:r>
            <w:r w:rsidR="00F07554" w:rsidRPr="4AC4E12C">
              <w:rPr>
                <w:b/>
                <w:bCs/>
              </w:rPr>
              <w:t>ne ES valstybėse</w:t>
            </w:r>
            <w:r w:rsidR="00F07554">
              <w:t xml:space="preserve"> ir ne </w:t>
            </w:r>
            <w:r w:rsidR="00F07554" w:rsidRPr="4AC4E12C">
              <w:rPr>
                <w:color w:val="000000" w:themeColor="text1"/>
              </w:rPr>
              <w:t>Europos ekonominės erdvės valstybėse</w:t>
            </w:r>
            <w:r w:rsidR="00F07554">
              <w:t xml:space="preserve"> paslaugos (internetas telefone); </w:t>
            </w:r>
            <w:r w:rsidR="00AA654C" w:rsidRPr="00BE36F6">
              <w:rPr>
                <w:bCs/>
                <w:szCs w:val="24"/>
              </w:rPr>
              <w:t>Tarptautinių pokalbių paslaugos;</w:t>
            </w:r>
            <w:r>
              <w:rPr>
                <w:noProof/>
                <w:szCs w:val="24"/>
              </w:rPr>
              <w:t xml:space="preserve"> </w:t>
            </w:r>
            <w:r w:rsidR="00AA654C" w:rsidRPr="00BE36F6">
              <w:rPr>
                <w:bCs/>
                <w:szCs w:val="24"/>
              </w:rPr>
              <w:t xml:space="preserve">Tarptinklinio ryšio </w:t>
            </w:r>
            <w:r w:rsidR="00AA654C" w:rsidRPr="00BE36F6">
              <w:rPr>
                <w:szCs w:val="24"/>
              </w:rPr>
              <w:t>(</w:t>
            </w:r>
            <w:proofErr w:type="spellStart"/>
            <w:r w:rsidR="00AA654C" w:rsidRPr="00BE36F6">
              <w:rPr>
                <w:szCs w:val="24"/>
              </w:rPr>
              <w:t>roaming'as</w:t>
            </w:r>
            <w:proofErr w:type="spellEnd"/>
            <w:r w:rsidR="00AA654C" w:rsidRPr="00BE36F6">
              <w:rPr>
                <w:szCs w:val="24"/>
              </w:rPr>
              <w:t>)</w:t>
            </w:r>
            <w:r w:rsidR="00AA654C" w:rsidRPr="00BE36F6">
              <w:rPr>
                <w:b/>
                <w:bCs/>
                <w:szCs w:val="24"/>
              </w:rPr>
              <w:t xml:space="preserve"> </w:t>
            </w:r>
            <w:r w:rsidR="00AA654C" w:rsidRPr="00BE36F6">
              <w:rPr>
                <w:szCs w:val="24"/>
              </w:rPr>
              <w:t>paslaugos;</w:t>
            </w:r>
            <w:r>
              <w:rPr>
                <w:szCs w:val="24"/>
              </w:rPr>
              <w:t xml:space="preserve"> </w:t>
            </w:r>
            <w:r w:rsidRPr="00A474D3">
              <w:t>Kitos</w:t>
            </w:r>
            <w:r w:rsidRPr="004E4D3E">
              <w:rPr>
                <w:szCs w:val="24"/>
              </w:rPr>
              <w:t xml:space="preserve"> susijusios paslaugos, kurios yra susijusios su </w:t>
            </w:r>
            <w:r>
              <w:rPr>
                <w:szCs w:val="24"/>
              </w:rPr>
              <w:t xml:space="preserve">judriojo ryšio paslaugomis </w:t>
            </w:r>
            <w:r w:rsidRPr="004E4D3E">
              <w:rPr>
                <w:szCs w:val="24"/>
              </w:rPr>
              <w:t>ir</w:t>
            </w:r>
            <w:r>
              <w:rPr>
                <w:szCs w:val="24"/>
              </w:rPr>
              <w:t xml:space="preserve"> (</w:t>
            </w:r>
            <w:r w:rsidRPr="004E4D3E">
              <w:rPr>
                <w:szCs w:val="24"/>
              </w:rPr>
              <w:t>ar</w:t>
            </w:r>
            <w:r>
              <w:rPr>
                <w:szCs w:val="24"/>
              </w:rPr>
              <w:t>)</w:t>
            </w:r>
            <w:r w:rsidRPr="004E4D3E">
              <w:rPr>
                <w:szCs w:val="24"/>
              </w:rPr>
              <w:t xml:space="preserve"> būtinos tinkamam Paslaugų suteikimui</w:t>
            </w:r>
            <w:r>
              <w:rPr>
                <w:szCs w:val="24"/>
              </w:rPr>
              <w:t xml:space="preserve">. </w:t>
            </w:r>
            <w:r w:rsidRPr="0065044B">
              <w:rPr>
                <w:szCs w:val="24"/>
              </w:rPr>
              <w:t>Kitomis susijusiomis paslaugomis nelaikomos ir Pirkėjui Sutarties pagrindu negali būti teikiamos duomenų perdavimo skirtosiomis linijomis, telekomunikacinių tinklų sujungimo bei fiksuoto telefono ryšio paslaugos.</w:t>
            </w:r>
            <w:r>
              <w:rPr>
                <w:szCs w:val="24"/>
              </w:rPr>
              <w:t xml:space="preserve"> Kitos susijusios paslaugos užsakomos sudarant susitarimą tarp abiejų Šalių raštu arba užsakomos žodžiu / el. paštu iškilus poreikiui.  Pagrindas </w:t>
            </w:r>
            <w:r w:rsidRPr="00BC62E8">
              <w:rPr>
                <w:szCs w:val="24"/>
              </w:rPr>
              <w:t>Viešųjų pirkimų tarnybos direktoriaus 2017 m. birželio 28 d. įsakymu Nr. 1S-95 ,,Dėl Kainodaros taisyklių nustatyto metodikos patvirtinimo“ patvirtintos Kainodaros taisyklių nustatymo metodikos 19 punkt</w:t>
            </w:r>
            <w:r>
              <w:rPr>
                <w:szCs w:val="24"/>
              </w:rPr>
              <w:t>as</w:t>
            </w:r>
            <w:r w:rsidRPr="00BC62E8">
              <w:rPr>
                <w:szCs w:val="24"/>
                <w:vertAlign w:val="superscript"/>
              </w:rPr>
              <w:footnoteReference w:id="2"/>
            </w:r>
            <w:r w:rsidRPr="00BC62E8">
              <w:rPr>
                <w:szCs w:val="24"/>
              </w:rPr>
              <w:t>, įsigyti Techninėje specifikacijoje nenurodytų, tačiau su pirkimo objektu susijusių prekių ir (ar) paslaugų neviršijant 10 procentų pradinės sutarties vertės, nurodytos Sutart</w:t>
            </w:r>
            <w:r>
              <w:rPr>
                <w:szCs w:val="24"/>
              </w:rPr>
              <w:t>yje.</w:t>
            </w:r>
          </w:p>
          <w:p w14:paraId="061C84C0" w14:textId="6237BCBE" w:rsidR="00AA654C" w:rsidRDefault="00AA654C" w:rsidP="00F07554">
            <w:pPr>
              <w:pStyle w:val="Sraopastraipa"/>
              <w:numPr>
                <w:ilvl w:val="3"/>
                <w:numId w:val="11"/>
              </w:numPr>
              <w:tabs>
                <w:tab w:val="left" w:pos="280"/>
                <w:tab w:val="left" w:pos="750"/>
              </w:tabs>
              <w:autoSpaceDN w:val="0"/>
              <w:ind w:left="0" w:firstLine="0"/>
              <w:jc w:val="both"/>
              <w:textAlignment w:val="baseline"/>
              <w:rPr>
                <w:noProof/>
                <w:szCs w:val="24"/>
              </w:rPr>
            </w:pPr>
            <w:r w:rsidRPr="00132E9A">
              <w:rPr>
                <w:b/>
                <w:bCs/>
                <w:szCs w:val="24"/>
              </w:rPr>
              <w:t>Mobilaus parašo paslaugos</w:t>
            </w:r>
            <w:r w:rsidR="00105619" w:rsidRPr="00132E9A">
              <w:rPr>
                <w:b/>
                <w:bCs/>
                <w:szCs w:val="24"/>
              </w:rPr>
              <w:t xml:space="preserve"> </w:t>
            </w:r>
            <w:r w:rsidR="00105619" w:rsidRPr="00F07554">
              <w:rPr>
                <w:bCs/>
                <w:szCs w:val="24"/>
              </w:rPr>
              <w:t>(perkama pagal poreikį)</w:t>
            </w:r>
            <w:r w:rsidRPr="00F07554">
              <w:rPr>
                <w:szCs w:val="24"/>
              </w:rPr>
              <w:t>;</w:t>
            </w:r>
          </w:p>
          <w:p w14:paraId="26008C8D" w14:textId="366D828B" w:rsidR="00AA654C" w:rsidRPr="00F07554" w:rsidRDefault="00F07554" w:rsidP="00F07554">
            <w:pPr>
              <w:pStyle w:val="Sraopastraipa"/>
              <w:numPr>
                <w:ilvl w:val="3"/>
                <w:numId w:val="11"/>
              </w:numPr>
              <w:tabs>
                <w:tab w:val="left" w:pos="280"/>
                <w:tab w:val="left" w:pos="750"/>
              </w:tabs>
              <w:autoSpaceDN w:val="0"/>
              <w:ind w:left="0" w:firstLine="0"/>
              <w:jc w:val="both"/>
              <w:textAlignment w:val="baseline"/>
              <w:rPr>
                <w:noProof/>
                <w:szCs w:val="24"/>
              </w:rPr>
            </w:pPr>
            <w:r w:rsidRPr="003ABA6A">
              <w:rPr>
                <w:b/>
                <w:bCs/>
                <w:lang w:eastAsia="ar-SA"/>
              </w:rPr>
              <w:t>Skambučių centro valdymo paslaugos</w:t>
            </w:r>
            <w:r>
              <w:rPr>
                <w:b/>
                <w:bCs/>
                <w:lang w:eastAsia="ar-SA"/>
              </w:rPr>
              <w:t xml:space="preserve">: </w:t>
            </w:r>
            <w:r w:rsidR="00AA654C" w:rsidRPr="00F07554">
              <w:rPr>
                <w:szCs w:val="24"/>
              </w:rPr>
              <w:t>Skambučių centro valdymo įdiegimo, paleidimo ir testavimo paslaugos;</w:t>
            </w:r>
            <w:r>
              <w:rPr>
                <w:szCs w:val="24"/>
              </w:rPr>
              <w:t xml:space="preserve"> </w:t>
            </w:r>
            <w:r w:rsidR="00AA654C" w:rsidRPr="00F07554">
              <w:rPr>
                <w:szCs w:val="24"/>
              </w:rPr>
              <w:t xml:space="preserve">Skambučių centro palaikymo </w:t>
            </w:r>
            <w:r w:rsidR="00AA654C" w:rsidRPr="00F07554">
              <w:rPr>
                <w:szCs w:val="24"/>
              </w:rPr>
              <w:lastRenderedPageBreak/>
              <w:t>paslaugos</w:t>
            </w:r>
            <w:r w:rsidR="009C1B70" w:rsidRPr="00F07554">
              <w:rPr>
                <w:szCs w:val="24"/>
              </w:rPr>
              <w:t>;</w:t>
            </w:r>
            <w:r>
              <w:rPr>
                <w:szCs w:val="24"/>
              </w:rPr>
              <w:t xml:space="preserve"> </w:t>
            </w:r>
            <w:r w:rsidR="00AA654C" w:rsidRPr="00F07554">
              <w:rPr>
                <w:szCs w:val="24"/>
              </w:rPr>
              <w:t>Pirmo</w:t>
            </w:r>
            <w:r w:rsidR="00105619" w:rsidRPr="00F07554">
              <w:rPr>
                <w:szCs w:val="24"/>
              </w:rPr>
              <w:t xml:space="preserve"> </w:t>
            </w:r>
            <w:r w:rsidR="00AA654C" w:rsidRPr="00F07554">
              <w:rPr>
                <w:szCs w:val="24"/>
              </w:rPr>
              <w:t>lygio konsultanto funkcijų palaikymas;</w:t>
            </w:r>
            <w:r>
              <w:rPr>
                <w:szCs w:val="24"/>
              </w:rPr>
              <w:t xml:space="preserve"> </w:t>
            </w:r>
            <w:r w:rsidR="00A5148A" w:rsidRPr="00F07554">
              <w:rPr>
                <w:szCs w:val="24"/>
              </w:rPr>
              <w:t>Antro lygio konsultanto funkcijų palaikymas;</w:t>
            </w:r>
            <w:r>
              <w:rPr>
                <w:szCs w:val="24"/>
              </w:rPr>
              <w:t xml:space="preserve"> </w:t>
            </w:r>
            <w:r w:rsidR="009C1B70" w:rsidRPr="00F07554">
              <w:rPr>
                <w:szCs w:val="24"/>
              </w:rPr>
              <w:t xml:space="preserve">Pirkėjo </w:t>
            </w:r>
            <w:r w:rsidR="00AA654C" w:rsidRPr="00F07554">
              <w:rPr>
                <w:szCs w:val="24"/>
              </w:rPr>
              <w:t>atsakingų darbuotojų nuotolinių mokymų paslaugos</w:t>
            </w:r>
            <w:r w:rsidR="009C1B70" w:rsidRPr="00F07554">
              <w:rPr>
                <w:szCs w:val="24"/>
              </w:rPr>
              <w:t xml:space="preserve"> (toliau – mokymo paslaugos)</w:t>
            </w:r>
            <w:r w:rsidR="00AA654C" w:rsidRPr="00F07554">
              <w:rPr>
                <w:szCs w:val="24"/>
              </w:rPr>
              <w:t>;</w:t>
            </w:r>
            <w:r>
              <w:rPr>
                <w:szCs w:val="24"/>
              </w:rPr>
              <w:t xml:space="preserve"> s</w:t>
            </w:r>
            <w:r w:rsidR="00AA654C" w:rsidRPr="00F07554">
              <w:rPr>
                <w:szCs w:val="24"/>
              </w:rPr>
              <w:t>kambučių centro valdymo ir funkcionalumo vystymo (tobulinimo) paslaugos</w:t>
            </w:r>
            <w:r w:rsidR="00105619" w:rsidRPr="00F07554">
              <w:rPr>
                <w:szCs w:val="24"/>
              </w:rPr>
              <w:t xml:space="preserve"> </w:t>
            </w:r>
            <w:r w:rsidR="00105619" w:rsidRPr="00F07554">
              <w:rPr>
                <w:bCs/>
                <w:szCs w:val="24"/>
              </w:rPr>
              <w:t>(perkama pagal poreikį)</w:t>
            </w:r>
            <w:r w:rsidR="009C1B70" w:rsidRPr="00F07554">
              <w:rPr>
                <w:bCs/>
                <w:szCs w:val="24"/>
              </w:rPr>
              <w:t xml:space="preserve"> (toliau – vystymo paslaugos)</w:t>
            </w:r>
            <w:r w:rsidR="00AA654C" w:rsidRPr="00F07554">
              <w:rPr>
                <w:szCs w:val="24"/>
              </w:rPr>
              <w:t>;</w:t>
            </w:r>
            <w:r>
              <w:rPr>
                <w:szCs w:val="24"/>
              </w:rPr>
              <w:t xml:space="preserve"> </w:t>
            </w:r>
            <w:r w:rsidR="00AA654C" w:rsidRPr="00F07554">
              <w:rPr>
                <w:szCs w:val="24"/>
              </w:rPr>
              <w:t>800-osios linijos paslaugos</w:t>
            </w:r>
            <w:r w:rsidR="00105619" w:rsidRPr="00F07554">
              <w:rPr>
                <w:bCs/>
                <w:szCs w:val="24"/>
              </w:rPr>
              <w:t>.</w:t>
            </w:r>
          </w:p>
          <w:p w14:paraId="51E9D8C7" w14:textId="77777777" w:rsidR="00D80BB8" w:rsidRPr="00AA654C" w:rsidRDefault="00D80BB8" w:rsidP="00D80BB8">
            <w:pPr>
              <w:pStyle w:val="Sraopastraipa"/>
              <w:autoSpaceDN w:val="0"/>
              <w:jc w:val="both"/>
              <w:textAlignment w:val="baseline"/>
              <w:rPr>
                <w:noProof/>
                <w:szCs w:val="24"/>
              </w:rPr>
            </w:pPr>
          </w:p>
          <w:p w14:paraId="27730B38" w14:textId="0362FB00" w:rsidR="00027B83" w:rsidRDefault="000B0897" w:rsidP="00AA654C">
            <w:pPr>
              <w:autoSpaceDN w:val="0"/>
              <w:jc w:val="both"/>
              <w:textAlignment w:val="baseline"/>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20C46499" w14:textId="77777777" w:rsidTr="009C1B70">
        <w:trPr>
          <w:trHeight w:val="300"/>
        </w:trPr>
        <w:tc>
          <w:tcPr>
            <w:tcW w:w="2335"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7920" w:type="dxa"/>
            <w:gridSpan w:val="2"/>
          </w:tcPr>
          <w:p w14:paraId="67D99209" w14:textId="06B120DC" w:rsidR="00027B83" w:rsidRDefault="00105619">
            <w:pPr>
              <w:rPr>
                <w:kern w:val="2"/>
                <w:szCs w:val="24"/>
              </w:rPr>
            </w:pPr>
            <w:r w:rsidRPr="00100DAD">
              <w:rPr>
                <w:kern w:val="2"/>
                <w:szCs w:val="24"/>
                <w:highlight w:val="yellow"/>
              </w:rPr>
              <w:t>Nr.</w:t>
            </w:r>
          </w:p>
        </w:tc>
      </w:tr>
      <w:tr w:rsidR="00027B83" w14:paraId="5A252299" w14:textId="77777777" w:rsidTr="009C1B70">
        <w:trPr>
          <w:trHeight w:val="300"/>
        </w:trPr>
        <w:tc>
          <w:tcPr>
            <w:tcW w:w="2335"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7920"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54465DD4" w:rsidR="00027B83" w:rsidRDefault="00027B83">
            <w:pPr>
              <w:rPr>
                <w:kern w:val="2"/>
                <w:szCs w:val="24"/>
              </w:rPr>
            </w:pPr>
          </w:p>
        </w:tc>
      </w:tr>
      <w:tr w:rsidR="00027B83" w14:paraId="56639858" w14:textId="77777777" w:rsidTr="009C1B70">
        <w:trPr>
          <w:trHeight w:val="300"/>
        </w:trPr>
        <w:tc>
          <w:tcPr>
            <w:tcW w:w="1025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9C1B70">
        <w:trPr>
          <w:trHeight w:val="6830"/>
        </w:trPr>
        <w:tc>
          <w:tcPr>
            <w:tcW w:w="2335"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F34549A" w14:textId="77777777" w:rsidR="00027B83" w:rsidRDefault="00027B83">
            <w:pPr>
              <w:rPr>
                <w:b/>
                <w:kern w:val="2"/>
                <w:szCs w:val="24"/>
              </w:rPr>
            </w:pPr>
          </w:p>
          <w:p w14:paraId="459E7BE6" w14:textId="77777777" w:rsidR="00027B83" w:rsidRDefault="00027B83">
            <w:pPr>
              <w:rPr>
                <w:b/>
                <w:kern w:val="2"/>
                <w:szCs w:val="24"/>
              </w:rPr>
            </w:pPr>
          </w:p>
          <w:p w14:paraId="6C040C61" w14:textId="77777777" w:rsidR="00027B83" w:rsidRDefault="00027B83">
            <w:pPr>
              <w:rPr>
                <w:b/>
                <w:kern w:val="2"/>
                <w:szCs w:val="24"/>
              </w:rPr>
            </w:pPr>
          </w:p>
          <w:p w14:paraId="725BDFAB" w14:textId="77777777" w:rsidR="00027B83" w:rsidRDefault="00027B83">
            <w:pPr>
              <w:rPr>
                <w:b/>
                <w:kern w:val="2"/>
                <w:szCs w:val="24"/>
              </w:rPr>
            </w:pPr>
          </w:p>
          <w:p w14:paraId="49A09BD5" w14:textId="77777777" w:rsidR="00027B83" w:rsidRDefault="00027B83">
            <w:pPr>
              <w:rPr>
                <w:b/>
                <w:kern w:val="2"/>
                <w:szCs w:val="24"/>
              </w:rPr>
            </w:pPr>
          </w:p>
          <w:p w14:paraId="318705D5" w14:textId="77777777" w:rsidR="00027B83" w:rsidRDefault="00027B83">
            <w:pPr>
              <w:rPr>
                <w:b/>
                <w:color w:val="FF0000"/>
                <w:kern w:val="2"/>
                <w:szCs w:val="24"/>
              </w:rPr>
            </w:pPr>
          </w:p>
          <w:p w14:paraId="6BC959D5" w14:textId="77777777" w:rsidR="00027B83" w:rsidRDefault="00027B83" w:rsidP="00995C7B">
            <w:pPr>
              <w:rPr>
                <w:b/>
                <w:color w:val="FF0000"/>
                <w:kern w:val="2"/>
                <w:szCs w:val="24"/>
              </w:rPr>
            </w:pPr>
          </w:p>
        </w:tc>
        <w:tc>
          <w:tcPr>
            <w:tcW w:w="7920" w:type="dxa"/>
            <w:gridSpan w:val="2"/>
          </w:tcPr>
          <w:p w14:paraId="09EE0276" w14:textId="1F5C2C5E" w:rsidR="00105619" w:rsidRDefault="00D80BB8" w:rsidP="00105619">
            <w:pPr>
              <w:tabs>
                <w:tab w:val="left" w:pos="567"/>
                <w:tab w:val="left" w:pos="851"/>
              </w:tabs>
              <w:suppressAutoHyphens/>
              <w:contextualSpacing/>
              <w:jc w:val="both"/>
              <w:rPr>
                <w:iCs/>
                <w:szCs w:val="24"/>
                <w:lang w:eastAsia="ar-SA"/>
              </w:rPr>
            </w:pPr>
            <w:r>
              <w:rPr>
                <w:iCs/>
                <w:szCs w:val="24"/>
                <w:lang w:eastAsia="ar-SA"/>
              </w:rPr>
              <w:t>4.1.1.</w:t>
            </w:r>
            <w:r w:rsidR="003A7F79">
              <w:rPr>
                <w:iCs/>
                <w:szCs w:val="24"/>
                <w:lang w:eastAsia="ar-SA"/>
              </w:rPr>
              <w:t xml:space="preserve"> </w:t>
            </w:r>
            <w:r w:rsidR="003A7F79" w:rsidRPr="4AC4E12C">
              <w:rPr>
                <w:rFonts w:eastAsia="SimSun"/>
              </w:rPr>
              <w:t>Parengiamieji paslaugų teikimo darbai (konfigūravimo paslaugos, derinimas (pvz., abonentų skaičiaus nurodymas Tiekėjui ir kita), kurie reikalingi nepertraukiamam Paslaugų teikimui</w:t>
            </w:r>
            <w:r w:rsidR="003A7F79">
              <w:rPr>
                <w:rFonts w:eastAsia="SimSun"/>
              </w:rPr>
              <w:t xml:space="preserve">, </w:t>
            </w:r>
            <w:r w:rsidR="003A7F79" w:rsidRPr="003ABA6A">
              <w:rPr>
                <w:lang w:eastAsia="ar-SA"/>
              </w:rPr>
              <w:t>Skambučių centro valdymo įdiegimas, paleidimas ir testavimas</w:t>
            </w:r>
            <w:r w:rsidR="003A7F79" w:rsidRPr="4AC4E12C">
              <w:rPr>
                <w:rFonts w:eastAsia="SimSun"/>
              </w:rPr>
              <w:t xml:space="preserve">  turi būti atlikti per 10 d. d. nuo Sutarties įsigaliojimo dienos (Tiekėjas ir Pirkėjas turi bendradarbiauti parengiamųjų paslaugų teikimo darbų proceso metu).</w:t>
            </w:r>
          </w:p>
          <w:p w14:paraId="14EE8977" w14:textId="5303E8C0" w:rsidR="00FD7C9D" w:rsidRDefault="00FD7C9D" w:rsidP="00105619">
            <w:pPr>
              <w:tabs>
                <w:tab w:val="left" w:pos="567"/>
                <w:tab w:val="left" w:pos="851"/>
              </w:tabs>
              <w:suppressAutoHyphens/>
              <w:contextualSpacing/>
              <w:jc w:val="both"/>
              <w:rPr>
                <w:lang w:eastAsia="ar-SA"/>
              </w:rPr>
            </w:pPr>
            <w:r>
              <w:rPr>
                <w:lang w:eastAsia="ar-SA"/>
              </w:rPr>
              <w:t>4.1.2. Judriojo ryšio paslaugos</w:t>
            </w:r>
            <w:r w:rsidR="00955C2E">
              <w:rPr>
                <w:lang w:eastAsia="ar-SA"/>
              </w:rPr>
              <w:t xml:space="preserve"> </w:t>
            </w:r>
            <w:r w:rsidR="00955C2E" w:rsidRPr="4AC4E12C">
              <w:rPr>
                <w:lang w:eastAsia="ar-SA"/>
              </w:rPr>
              <w:t>(mato vienetas – 1 abonentas</w:t>
            </w:r>
            <w:r w:rsidR="00955C2E">
              <w:rPr>
                <w:lang w:eastAsia="ar-SA"/>
              </w:rPr>
              <w:t>, p</w:t>
            </w:r>
            <w:r w:rsidR="00955C2E" w:rsidRPr="4AC4E12C">
              <w:rPr>
                <w:lang w:eastAsia="ar-SA"/>
              </w:rPr>
              <w:t>reliminarus abonentų skaičius – 205)</w:t>
            </w:r>
            <w:r w:rsidR="00955C2E">
              <w:rPr>
                <w:lang w:eastAsia="ar-SA"/>
              </w:rPr>
              <w:t xml:space="preserve"> </w:t>
            </w:r>
            <w:r>
              <w:rPr>
                <w:lang w:eastAsia="ar-SA"/>
              </w:rPr>
              <w:t xml:space="preserve">teikiamos ne </w:t>
            </w:r>
            <w:r w:rsidRPr="00B5544B">
              <w:rPr>
                <w:szCs w:val="24"/>
              </w:rPr>
              <w:t>ilgi</w:t>
            </w:r>
            <w:r>
              <w:rPr>
                <w:szCs w:val="24"/>
              </w:rPr>
              <w:t>au</w:t>
            </w:r>
            <w:r w:rsidRPr="00B5544B">
              <w:rPr>
                <w:szCs w:val="24"/>
              </w:rPr>
              <w:t xml:space="preserve"> nei 36 mėn. nuo Sutarties įsigaliojimo dienos</w:t>
            </w:r>
            <w:r>
              <w:rPr>
                <w:szCs w:val="24"/>
              </w:rPr>
              <w:t>.</w:t>
            </w:r>
            <w:r>
              <w:rPr>
                <w:lang w:eastAsia="ar-SA"/>
              </w:rPr>
              <w:t xml:space="preserve"> </w:t>
            </w:r>
            <w:r w:rsidRPr="4AC4E12C">
              <w:rPr>
                <w:lang w:eastAsia="ar-SA"/>
              </w:rPr>
              <w:t>Pirkėjas įsipareigoja per 2 d. d. nuo Sutarties įsigaliojimo dienos nurodyti Paslaugų teikėjui tikslų užsakomų vartotojų abonentų skaičių (skaičius Sutarties eigoje gali kisti, taikant Techninėje specifikacijoje nurodytą taisyklę).</w:t>
            </w:r>
          </w:p>
          <w:p w14:paraId="1809958E" w14:textId="0B81E751" w:rsidR="00DD309B" w:rsidRPr="00DD309B" w:rsidRDefault="00DD309B" w:rsidP="00DD309B">
            <w:pPr>
              <w:tabs>
                <w:tab w:val="left" w:pos="709"/>
                <w:tab w:val="left" w:pos="851"/>
              </w:tabs>
              <w:suppressAutoHyphens/>
              <w:ind w:firstLine="30"/>
              <w:contextualSpacing/>
              <w:jc w:val="both"/>
              <w:rPr>
                <w:lang w:eastAsia="ar-SA"/>
              </w:rPr>
            </w:pPr>
            <w:r w:rsidRPr="00FD7C9D">
              <w:rPr>
                <w:iCs/>
                <w:szCs w:val="24"/>
                <w:lang w:eastAsia="ar-SA"/>
              </w:rPr>
              <w:t>4.1.</w:t>
            </w:r>
            <w:r>
              <w:rPr>
                <w:iCs/>
                <w:szCs w:val="24"/>
                <w:lang w:eastAsia="ar-SA"/>
              </w:rPr>
              <w:t>3</w:t>
            </w:r>
            <w:r w:rsidRPr="00FD7C9D">
              <w:rPr>
                <w:iCs/>
                <w:szCs w:val="24"/>
                <w:lang w:eastAsia="ar-SA"/>
              </w:rPr>
              <w:t xml:space="preserve">. </w:t>
            </w:r>
            <w:r w:rsidRPr="00DD309B">
              <w:t xml:space="preserve">Kitos judriojo ryšio paslaugos (Techninės specifikacijos </w:t>
            </w:r>
            <w:r w:rsidRPr="00DD309B">
              <w:rPr>
                <w:iCs/>
                <w:szCs w:val="24"/>
                <w:lang w:eastAsia="ar-SA"/>
              </w:rPr>
              <w:t>2.2. papunktis)</w:t>
            </w:r>
            <w:r w:rsidRPr="00DD309B">
              <w:t xml:space="preserve"> gali būti perkamos pagal poreikį </w:t>
            </w:r>
            <w:r w:rsidRPr="00DD309B">
              <w:rPr>
                <w:szCs w:val="24"/>
              </w:rPr>
              <w:t>36 mėn. laikotarpyje nuo Sutarties įsigaliojimo dienos,</w:t>
            </w:r>
            <w:r w:rsidRPr="00DD309B">
              <w:t xml:space="preserve"> </w:t>
            </w:r>
            <w:r w:rsidRPr="00DD309B">
              <w:rPr>
                <w:lang w:eastAsia="ar-SA"/>
              </w:rPr>
              <w:t>tačiau šių paslaugų teikimas negali trukti ilgiau nei 36 mėn. nuo Sutarties įsigaliojimo dienos.</w:t>
            </w:r>
          </w:p>
          <w:p w14:paraId="0FFA3E7C" w14:textId="1DBF1754" w:rsidR="00215940" w:rsidRPr="00BA3CBA" w:rsidRDefault="00060B84" w:rsidP="00BA3CBA">
            <w:pPr>
              <w:tabs>
                <w:tab w:val="left" w:pos="567"/>
                <w:tab w:val="left" w:pos="851"/>
              </w:tabs>
              <w:suppressAutoHyphens/>
              <w:contextualSpacing/>
              <w:jc w:val="both"/>
              <w:rPr>
                <w:lang w:eastAsia="ar-SA"/>
              </w:rPr>
            </w:pPr>
            <w:r>
              <w:rPr>
                <w:lang w:val="en-US" w:eastAsia="ar-SA"/>
              </w:rPr>
              <w:t>4.1.</w:t>
            </w:r>
            <w:r w:rsidR="00DD309B">
              <w:rPr>
                <w:lang w:val="en-US" w:eastAsia="ar-SA"/>
              </w:rPr>
              <w:t>4</w:t>
            </w:r>
            <w:r>
              <w:rPr>
                <w:lang w:val="en-US" w:eastAsia="ar-SA"/>
              </w:rPr>
              <w:t xml:space="preserve">. </w:t>
            </w:r>
            <w:r w:rsidRPr="4AC4E12C">
              <w:rPr>
                <w:lang w:eastAsia="ar-SA"/>
              </w:rPr>
              <w:t>Mobilaus parašo paslaugos (mato vienetas – 1 abonentas</w:t>
            </w:r>
            <w:r w:rsidR="00955C2E">
              <w:rPr>
                <w:lang w:eastAsia="ar-SA"/>
              </w:rPr>
              <w:t>, p</w:t>
            </w:r>
            <w:r w:rsidR="00955C2E" w:rsidRPr="4AC4E12C">
              <w:rPr>
                <w:lang w:eastAsia="ar-SA"/>
              </w:rPr>
              <w:t>reliminarus abonentų skaičius –</w:t>
            </w:r>
            <w:r w:rsidR="00215940">
              <w:rPr>
                <w:lang w:eastAsia="ar-SA"/>
              </w:rPr>
              <w:t xml:space="preserve"> </w:t>
            </w:r>
            <w:r w:rsidR="00F07554">
              <w:rPr>
                <w:lang w:eastAsia="ar-SA"/>
              </w:rPr>
              <w:t>72</w:t>
            </w:r>
            <w:r w:rsidRPr="4AC4E12C">
              <w:rPr>
                <w:lang w:eastAsia="ar-SA"/>
              </w:rPr>
              <w:t>)</w:t>
            </w:r>
            <w:r w:rsidR="00955C2E">
              <w:rPr>
                <w:lang w:eastAsia="ar-SA"/>
              </w:rPr>
              <w:t xml:space="preserve"> teikiamos ne </w:t>
            </w:r>
            <w:r w:rsidR="00955C2E" w:rsidRPr="00B5544B">
              <w:rPr>
                <w:szCs w:val="24"/>
              </w:rPr>
              <w:t>ilgi</w:t>
            </w:r>
            <w:r w:rsidR="00955C2E">
              <w:rPr>
                <w:szCs w:val="24"/>
              </w:rPr>
              <w:t>au</w:t>
            </w:r>
            <w:r w:rsidR="00955C2E" w:rsidRPr="00B5544B">
              <w:rPr>
                <w:szCs w:val="24"/>
              </w:rPr>
              <w:t xml:space="preserve"> nei 36 mėn. nuo Sutarties įsigaliojimo dienos</w:t>
            </w:r>
            <w:r w:rsidRPr="4AC4E12C">
              <w:rPr>
                <w:lang w:eastAsia="ar-SA"/>
              </w:rPr>
              <w:t>. Mokamas abonentinis mėnesinis mokestis už kiekvieną užsakytą abonentą. Pirkėjas įsipareigoja per 2 d. d. nuo Sutarties įsigaliojimo dienos nurodyti Paslaugų teikėjui tikslų užsakomų vartotojų abonentų skaičių (skaičius Sutarties eigoje gali kisti, apmokama pagal faktinį užsakytą abonentų skaičių)</w:t>
            </w:r>
            <w:r w:rsidR="00955C2E">
              <w:rPr>
                <w:lang w:eastAsia="ar-SA"/>
              </w:rPr>
              <w:t>.</w:t>
            </w:r>
          </w:p>
          <w:p w14:paraId="457D9D47" w14:textId="549DFE83" w:rsidR="003A7F79" w:rsidRDefault="003A7F79" w:rsidP="003A7F79">
            <w:pPr>
              <w:tabs>
                <w:tab w:val="left" w:pos="709"/>
                <w:tab w:val="left" w:pos="851"/>
              </w:tabs>
              <w:suppressAutoHyphens/>
              <w:contextualSpacing/>
              <w:jc w:val="both"/>
              <w:rPr>
                <w:lang w:eastAsia="ar-SA"/>
              </w:rPr>
            </w:pPr>
            <w:r>
              <w:rPr>
                <w:lang w:val="en-US" w:eastAsia="ar-SA"/>
              </w:rPr>
              <w:t xml:space="preserve">4.1.5. </w:t>
            </w:r>
            <w:r w:rsidRPr="003ABA6A">
              <w:rPr>
                <w:b/>
                <w:bCs/>
                <w:lang w:eastAsia="ar-SA"/>
              </w:rPr>
              <w:t>Skambučių centro valdymo paslaugos:</w:t>
            </w:r>
          </w:p>
          <w:p w14:paraId="1AF6E1E8" w14:textId="66B341D1" w:rsidR="003F6DAE" w:rsidRDefault="003A7F79" w:rsidP="00BA3CBA">
            <w:pPr>
              <w:tabs>
                <w:tab w:val="left" w:pos="709"/>
                <w:tab w:val="left" w:pos="851"/>
              </w:tabs>
              <w:suppressAutoHyphens/>
              <w:contextualSpacing/>
              <w:jc w:val="both"/>
              <w:rPr>
                <w:rFonts w:eastAsia="SimSun"/>
              </w:rPr>
            </w:pPr>
            <w:r>
              <w:rPr>
                <w:lang w:eastAsia="ar-SA"/>
              </w:rPr>
              <w:t xml:space="preserve">4.1.5.1. </w:t>
            </w:r>
            <w:r w:rsidRPr="003ABA6A">
              <w:rPr>
                <w:lang w:eastAsia="ar-SA"/>
              </w:rPr>
              <w:t>Skambučių centro valdymo įdiegimas, paleidimas ir testavimas (Mato vienetas – 1 komplektas)</w:t>
            </w:r>
            <w:r>
              <w:rPr>
                <w:lang w:eastAsia="ar-SA"/>
              </w:rPr>
              <w:t xml:space="preserve"> turi būti atlikti</w:t>
            </w:r>
            <w:r w:rsidRPr="003ABA6A">
              <w:rPr>
                <w:lang w:eastAsia="ar-SA"/>
              </w:rPr>
              <w:t xml:space="preserve"> </w:t>
            </w:r>
            <w:r w:rsidRPr="4AC4E12C">
              <w:rPr>
                <w:rFonts w:eastAsia="SimSun"/>
              </w:rPr>
              <w:t>per 10 d. d. nuo Sutarties įsigaliojimo dienos</w:t>
            </w:r>
            <w:r>
              <w:rPr>
                <w:rFonts w:eastAsia="SimSun"/>
              </w:rPr>
              <w:t>.</w:t>
            </w:r>
          </w:p>
          <w:p w14:paraId="7AD0E301" w14:textId="51AA41FF" w:rsidR="003A7F79" w:rsidRDefault="003A7F79" w:rsidP="00BA3CBA">
            <w:pPr>
              <w:tabs>
                <w:tab w:val="left" w:pos="709"/>
                <w:tab w:val="left" w:pos="851"/>
              </w:tabs>
              <w:suppressAutoHyphens/>
              <w:contextualSpacing/>
              <w:jc w:val="both"/>
              <w:rPr>
                <w:lang w:val="lt"/>
              </w:rPr>
            </w:pPr>
            <w:r>
              <w:rPr>
                <w:lang w:eastAsia="ar-SA"/>
              </w:rPr>
              <w:t xml:space="preserve">4.1.5.2. </w:t>
            </w:r>
            <w:r w:rsidRPr="00811847">
              <w:rPr>
                <w:lang w:eastAsia="ar-SA"/>
              </w:rPr>
              <w:t>S</w:t>
            </w:r>
            <w:r w:rsidRPr="00004159">
              <w:rPr>
                <w:lang w:eastAsia="ar-SA"/>
              </w:rPr>
              <w:t>kambučių centro palaikymas (mato vienetas  - 1 komplektas / per mėn.).</w:t>
            </w:r>
            <w:r>
              <w:rPr>
                <w:lang w:eastAsia="ar-SA"/>
              </w:rPr>
              <w:t xml:space="preserve"> </w:t>
            </w:r>
            <w:r w:rsidRPr="4AC4E12C">
              <w:rPr>
                <w:lang w:val="lt"/>
              </w:rPr>
              <w:t>Paslaugos teikiamos ne ilgiau kaip 36 mėnesius nuo Sutarties įsigaliojimo dienos.</w:t>
            </w:r>
          </w:p>
          <w:p w14:paraId="0C62E97E" w14:textId="787842D4" w:rsidR="003A7F79" w:rsidRDefault="003A7F79" w:rsidP="00BA3CBA">
            <w:pPr>
              <w:tabs>
                <w:tab w:val="left" w:pos="709"/>
                <w:tab w:val="left" w:pos="851"/>
              </w:tabs>
              <w:suppressAutoHyphens/>
              <w:contextualSpacing/>
              <w:jc w:val="both"/>
              <w:rPr>
                <w:lang w:val="lt"/>
              </w:rPr>
            </w:pPr>
            <w:r>
              <w:rPr>
                <w:lang w:eastAsia="ar-SA"/>
              </w:rPr>
              <w:lastRenderedPageBreak/>
              <w:t xml:space="preserve">4.1.5.3. </w:t>
            </w:r>
            <w:r w:rsidRPr="00004159">
              <w:rPr>
                <w:lang w:eastAsia="ar-SA"/>
              </w:rPr>
              <w:t>Pirmo lygio konsultantų funkcijų palaikymas.</w:t>
            </w:r>
            <w:r>
              <w:rPr>
                <w:lang w:eastAsia="ar-SA"/>
              </w:rPr>
              <w:t xml:space="preserve"> </w:t>
            </w:r>
            <w:r w:rsidRPr="00004159">
              <w:rPr>
                <w:lang w:eastAsia="ar-SA"/>
              </w:rPr>
              <w:t>Pirkėjas įsipareigoja per 5 d. d. nuo Sutarties įsigaliojimo dienos nurodyti Paslaugų teikėjui tikslų pirmo lygio skambučių  centro funkcijas palaikančių judriojo ryšio vartotojų (konsultantų) skaičių;</w:t>
            </w:r>
            <w:r>
              <w:rPr>
                <w:lang w:eastAsia="ar-SA"/>
              </w:rPr>
              <w:t xml:space="preserve"> </w:t>
            </w:r>
            <w:r w:rsidRPr="4AC4E12C">
              <w:rPr>
                <w:lang w:val="lt"/>
              </w:rPr>
              <w:t>Paslaugos teikiamos ne ilgiau kaip 36 mėnesius nuo Sutarties įsigaliojimo dienos.</w:t>
            </w:r>
          </w:p>
          <w:p w14:paraId="3AE52E4D" w14:textId="2FBF3038" w:rsidR="003A7F79" w:rsidRPr="003A7F79" w:rsidRDefault="003A7F79" w:rsidP="00BA3CBA">
            <w:pPr>
              <w:tabs>
                <w:tab w:val="left" w:pos="709"/>
                <w:tab w:val="left" w:pos="851"/>
              </w:tabs>
              <w:suppressAutoHyphens/>
              <w:contextualSpacing/>
              <w:jc w:val="both"/>
              <w:rPr>
                <w:lang w:val="lt"/>
              </w:rPr>
            </w:pPr>
            <w:r>
              <w:rPr>
                <w:lang w:val="lt"/>
              </w:rPr>
              <w:t xml:space="preserve">4.1.5.4. </w:t>
            </w:r>
            <w:r w:rsidRPr="00004159">
              <w:rPr>
                <w:lang w:eastAsia="ar-SA"/>
              </w:rPr>
              <w:t>Antro lygio konsultantų funkcijų palaikymas. Pirkėjas įsipareigoja per 5 d. d. nuo Sutarties įsigaliojimo dienos nurodyti Paslaugų teikėjui tikslų antro lygio skambučių  centro funkcijas palaikančių judriojo ryšio vartotojų (konsultantų) skaičių;</w:t>
            </w:r>
            <w:r>
              <w:rPr>
                <w:lang w:eastAsia="ar-SA"/>
              </w:rPr>
              <w:t xml:space="preserve"> </w:t>
            </w:r>
            <w:r w:rsidRPr="4AC4E12C">
              <w:rPr>
                <w:lang w:val="lt"/>
              </w:rPr>
              <w:t>Paslaugos teikiamos ne ilgiau kaip 36 mėnesius nuo Sutarties įsigaliojimo dienos.</w:t>
            </w:r>
          </w:p>
          <w:p w14:paraId="5A105FD9" w14:textId="27F717BF" w:rsidR="004F3C9F" w:rsidRDefault="009C5A99" w:rsidP="004F3C9F">
            <w:pPr>
              <w:jc w:val="both"/>
              <w:rPr>
                <w:szCs w:val="24"/>
              </w:rPr>
            </w:pPr>
            <w:r>
              <w:rPr>
                <w:szCs w:val="24"/>
              </w:rPr>
              <w:t>4.1.5.5.</w:t>
            </w:r>
            <w:r w:rsidR="009C1B70">
              <w:rPr>
                <w:szCs w:val="24"/>
              </w:rPr>
              <w:t>Vystymo</w:t>
            </w:r>
            <w:r w:rsidR="004F3C9F" w:rsidRPr="001D0535">
              <w:rPr>
                <w:szCs w:val="24"/>
              </w:rPr>
              <w:t xml:space="preserve"> paslaug</w:t>
            </w:r>
            <w:r w:rsidR="004F3C9F">
              <w:rPr>
                <w:szCs w:val="24"/>
              </w:rPr>
              <w:t>a</w:t>
            </w:r>
            <w:r w:rsidR="004F3C9F" w:rsidRPr="001D0535">
              <w:rPr>
                <w:szCs w:val="24"/>
              </w:rPr>
              <w:t>s</w:t>
            </w:r>
            <w:r w:rsidR="004F3C9F">
              <w:rPr>
                <w:szCs w:val="24"/>
              </w:rPr>
              <w:t xml:space="preserve"> Pirkėjas gali </w:t>
            </w:r>
            <w:r w:rsidR="004F3C9F" w:rsidRPr="006B0460">
              <w:rPr>
                <w:szCs w:val="24"/>
              </w:rPr>
              <w:t>užsakyti 36 mėn. laikotarpyje nuo Sutarties įsigaliojimo dienos</w:t>
            </w:r>
            <w:r w:rsidR="004F3C9F" w:rsidRPr="00B5544B">
              <w:rPr>
                <w:bCs/>
                <w:szCs w:val="24"/>
              </w:rPr>
              <w:t>. Šių p</w:t>
            </w:r>
            <w:r w:rsidR="004F3C9F" w:rsidRPr="00B5544B">
              <w:rPr>
                <w:szCs w:val="24"/>
              </w:rPr>
              <w:t>aslaugų užsakymo teikimo terminas yra suderinamas užsakyme ir negali būti ilgesnis nei 36 mėn. nuo Sutarties įsigaliojimo dienos.</w:t>
            </w:r>
          </w:p>
          <w:p w14:paraId="6AB3513D" w14:textId="4B1288B3" w:rsidR="00E73FC6" w:rsidRDefault="005E328C" w:rsidP="005E328C">
            <w:pPr>
              <w:tabs>
                <w:tab w:val="left" w:pos="709"/>
                <w:tab w:val="left" w:pos="851"/>
              </w:tabs>
              <w:suppressAutoHyphens/>
              <w:ind w:firstLine="30"/>
              <w:contextualSpacing/>
              <w:jc w:val="both"/>
              <w:rPr>
                <w:lang w:eastAsia="ar-SA"/>
              </w:rPr>
            </w:pPr>
            <w:r w:rsidRPr="00FD7C9D">
              <w:rPr>
                <w:lang w:val="en-US" w:eastAsia="ar-SA"/>
              </w:rPr>
              <w:t>4.1</w:t>
            </w:r>
            <w:r w:rsidR="009C5A99">
              <w:rPr>
                <w:lang w:val="en-US" w:eastAsia="ar-SA"/>
              </w:rPr>
              <w:t xml:space="preserve">.5.6. </w:t>
            </w:r>
            <w:r w:rsidR="009C1B70" w:rsidRPr="00FD7C9D">
              <w:rPr>
                <w:lang w:eastAsia="ar-SA"/>
              </w:rPr>
              <w:t>Mokymų paslaugas</w:t>
            </w:r>
            <w:r w:rsidRPr="00FD7C9D">
              <w:rPr>
                <w:lang w:eastAsia="ar-SA"/>
              </w:rPr>
              <w:t xml:space="preserve"> </w:t>
            </w:r>
            <w:r w:rsidR="00E73FC6" w:rsidRPr="00FD7C9D">
              <w:rPr>
                <w:szCs w:val="24"/>
              </w:rPr>
              <w:t>Pirkėjas gali užsakyti 36 mėn. laikotarpyje nuo Sutarties įsigaliojimo dienos</w:t>
            </w:r>
            <w:r w:rsidR="00E73FC6" w:rsidRPr="00FD7C9D">
              <w:rPr>
                <w:bCs/>
                <w:szCs w:val="24"/>
              </w:rPr>
              <w:t xml:space="preserve">. </w:t>
            </w:r>
            <w:r w:rsidR="00E73FC6" w:rsidRPr="00FD7C9D">
              <w:rPr>
                <w:lang w:eastAsia="ar-SA"/>
              </w:rPr>
              <w:t>Mokymų paslaugų užsakymai raštu gali būti teikiami tiekėjui 36 mėnesių laikotarpyje nuo Sutarties įsigaliojimo dienos, tačiau mokymų teikimas negali trukti ilgiau nei 36 mėn. nuo Sutarties įsigaliojimo dienos.</w:t>
            </w:r>
          </w:p>
          <w:p w14:paraId="0763D76D" w14:textId="5A66DF4D" w:rsidR="009C5A99" w:rsidRPr="009C5A99" w:rsidRDefault="009C5A99" w:rsidP="009C5A99">
            <w:pPr>
              <w:tabs>
                <w:tab w:val="left" w:pos="709"/>
                <w:tab w:val="left" w:pos="851"/>
              </w:tabs>
              <w:suppressAutoHyphens/>
              <w:contextualSpacing/>
              <w:jc w:val="both"/>
              <w:rPr>
                <w:lang w:val="lt"/>
              </w:rPr>
            </w:pPr>
            <w:r>
              <w:rPr>
                <w:lang w:eastAsia="ar-SA"/>
              </w:rPr>
              <w:t xml:space="preserve">4.1.5.7. </w:t>
            </w:r>
            <w:r w:rsidRPr="4AC4E12C">
              <w:rPr>
                <w:lang w:eastAsia="ar-SA"/>
              </w:rPr>
              <w:t>800-osios linijos paslaugos</w:t>
            </w:r>
            <w:r>
              <w:rPr>
                <w:lang w:eastAsia="ar-SA"/>
              </w:rPr>
              <w:t xml:space="preserve">. </w:t>
            </w:r>
            <w:r w:rsidRPr="4AC4E12C">
              <w:rPr>
                <w:lang w:val="lt"/>
              </w:rPr>
              <w:t>Paslaugos teikiamos ne ilgiau kaip 36 mėnesius nuo Sutarties įsigaliojimo dienos.</w:t>
            </w:r>
            <w:r>
              <w:rPr>
                <w:lang w:eastAsia="ar-SA"/>
              </w:rPr>
              <w:t xml:space="preserve"> </w:t>
            </w:r>
          </w:p>
          <w:p w14:paraId="297741C4" w14:textId="70D85D93" w:rsidR="00D80BB8" w:rsidRDefault="00D80BB8" w:rsidP="00DD309B">
            <w:pPr>
              <w:tabs>
                <w:tab w:val="left" w:pos="709"/>
                <w:tab w:val="left" w:pos="851"/>
              </w:tabs>
              <w:suppressAutoHyphens/>
              <w:ind w:firstLine="30"/>
              <w:contextualSpacing/>
              <w:jc w:val="both"/>
              <w:rPr>
                <w:lang w:val="lt"/>
              </w:rPr>
            </w:pPr>
            <w:r>
              <w:rPr>
                <w:szCs w:val="24"/>
              </w:rPr>
              <w:t>4.</w:t>
            </w:r>
            <w:r w:rsidR="009C5A99">
              <w:rPr>
                <w:szCs w:val="24"/>
              </w:rPr>
              <w:t>1.6</w:t>
            </w:r>
            <w:r>
              <w:rPr>
                <w:szCs w:val="24"/>
              </w:rPr>
              <w:t xml:space="preserve">. </w:t>
            </w:r>
            <w:r w:rsidRPr="4AC4E12C">
              <w:rPr>
                <w:lang w:val="lt"/>
              </w:rPr>
              <w:t>Pirkėjas turi teisę nutraukti 800 linijos ir (ar) skambučių centro paslaugų teikimą, apie tai Paslaugų teikėją informavęs raštu / el. paštu ne mažiau kaip prieš vieną mėnesį, nepatirdamas dėl to jokių papildomų įsipareigojimų ar išlaidų. Pirkėjui atsisakius vienos Paslaugų dalies, kitos Paslaugos turi išlikti aktyvios.</w:t>
            </w:r>
          </w:p>
          <w:p w14:paraId="36B51A80" w14:textId="556F6250" w:rsidR="00995C7B" w:rsidRDefault="00995C7B" w:rsidP="00995C7B">
            <w:pPr>
              <w:tabs>
                <w:tab w:val="left" w:pos="567"/>
                <w:tab w:val="left" w:pos="851"/>
              </w:tabs>
              <w:suppressAutoHyphens/>
              <w:contextualSpacing/>
              <w:jc w:val="both"/>
              <w:rPr>
                <w:color w:val="4472C4"/>
                <w:szCs w:val="24"/>
              </w:rPr>
            </w:pPr>
            <w:r>
              <w:rPr>
                <w:lang w:eastAsia="ar-SA"/>
              </w:rPr>
              <w:t>4.1.</w:t>
            </w:r>
            <w:r w:rsidR="009C5A99">
              <w:rPr>
                <w:lang w:eastAsia="ar-SA"/>
              </w:rPr>
              <w:t>7</w:t>
            </w:r>
            <w:r>
              <w:rPr>
                <w:lang w:eastAsia="ar-SA"/>
              </w:rPr>
              <w:t xml:space="preserve">. </w:t>
            </w:r>
            <w:r w:rsidRPr="4AC4E12C">
              <w:rPr>
                <w:lang w:eastAsia="ar-SA"/>
              </w:rPr>
              <w:t xml:space="preserve">Pirkėjas neįsipareigoja </w:t>
            </w:r>
            <w:r>
              <w:rPr>
                <w:lang w:eastAsia="ar-SA"/>
              </w:rPr>
              <w:t xml:space="preserve">užsakyti ir </w:t>
            </w:r>
            <w:r w:rsidRPr="4AC4E12C">
              <w:rPr>
                <w:lang w:eastAsia="ar-SA"/>
              </w:rPr>
              <w:t>nupirkti visų Techninės specifikacijoje nurodytų Paslaugų</w:t>
            </w:r>
            <w:r w:rsidR="00DE55E9">
              <w:rPr>
                <w:lang w:eastAsia="ar-SA"/>
              </w:rPr>
              <w:t xml:space="preserve"> ir jų</w:t>
            </w:r>
            <w:r w:rsidRPr="4AC4E12C">
              <w:rPr>
                <w:lang w:eastAsia="ar-SA"/>
              </w:rPr>
              <w:t xml:space="preserve"> apimčių</w:t>
            </w:r>
            <w:r w:rsidR="003A1239">
              <w:rPr>
                <w:lang w:eastAsia="ar-SA"/>
              </w:rPr>
              <w:t>.</w:t>
            </w:r>
          </w:p>
        </w:tc>
      </w:tr>
      <w:tr w:rsidR="004F3C9F" w14:paraId="1B23F72E" w14:textId="77777777" w:rsidTr="009C1B70">
        <w:trPr>
          <w:trHeight w:val="300"/>
        </w:trPr>
        <w:tc>
          <w:tcPr>
            <w:tcW w:w="2335" w:type="dxa"/>
            <w:gridSpan w:val="2"/>
          </w:tcPr>
          <w:p w14:paraId="15F8BEBC" w14:textId="77777777" w:rsidR="004F3C9F" w:rsidRDefault="004F3C9F" w:rsidP="004F3C9F">
            <w:pPr>
              <w:rPr>
                <w:b/>
                <w:kern w:val="2"/>
                <w:szCs w:val="24"/>
              </w:rPr>
            </w:pPr>
            <w:r>
              <w:rPr>
                <w:b/>
                <w:kern w:val="2"/>
                <w:szCs w:val="24"/>
              </w:rPr>
              <w:lastRenderedPageBreak/>
              <w:t>4.3. Užsakymų teikimo tvarka</w:t>
            </w:r>
          </w:p>
        </w:tc>
        <w:tc>
          <w:tcPr>
            <w:tcW w:w="7920" w:type="dxa"/>
            <w:gridSpan w:val="2"/>
          </w:tcPr>
          <w:p w14:paraId="5DF1710C" w14:textId="52514DCD" w:rsidR="004F3C9F" w:rsidRPr="009C1B70" w:rsidRDefault="004F3C9F" w:rsidP="004F3C9F">
            <w:pPr>
              <w:jc w:val="both"/>
              <w:rPr>
                <w:szCs w:val="24"/>
              </w:rPr>
            </w:pPr>
            <w:r w:rsidRPr="009C1B70">
              <w:rPr>
                <w:szCs w:val="24"/>
              </w:rPr>
              <w:t>Detalios taisyklės dėl užsakym</w:t>
            </w:r>
            <w:r w:rsidR="00100DAD">
              <w:rPr>
                <w:szCs w:val="24"/>
              </w:rPr>
              <w:t>ų</w:t>
            </w:r>
            <w:r w:rsidRPr="009C1B70">
              <w:rPr>
                <w:szCs w:val="24"/>
              </w:rPr>
              <w:t xml:space="preserve"> pateikimo</w:t>
            </w:r>
            <w:r w:rsidR="00476B7B">
              <w:rPr>
                <w:szCs w:val="24"/>
              </w:rPr>
              <w:t xml:space="preserve"> </w:t>
            </w:r>
            <w:r w:rsidRPr="009C1B70">
              <w:rPr>
                <w:szCs w:val="24"/>
              </w:rPr>
              <w:t>numatytos Techninėje specifikacijoje.</w:t>
            </w:r>
          </w:p>
          <w:p w14:paraId="70458376" w14:textId="77777777" w:rsidR="004F3C9F" w:rsidRPr="009C1B70" w:rsidRDefault="004F3C9F" w:rsidP="004F3C9F">
            <w:pPr>
              <w:jc w:val="both"/>
              <w:rPr>
                <w:szCs w:val="24"/>
              </w:rPr>
            </w:pPr>
          </w:p>
          <w:p w14:paraId="35D13729" w14:textId="7727D846" w:rsidR="004F3C9F" w:rsidRPr="009C1B70" w:rsidRDefault="004F3C9F" w:rsidP="004F3C9F">
            <w:pPr>
              <w:jc w:val="both"/>
              <w:rPr>
                <w:szCs w:val="24"/>
              </w:rPr>
            </w:pPr>
            <w:r w:rsidRPr="009C1B70">
              <w:rPr>
                <w:szCs w:val="24"/>
              </w:rPr>
              <w:t xml:space="preserve">Užsakymai yra teikiami el. paštu </w:t>
            </w:r>
            <w:r w:rsidR="001A6D76" w:rsidRPr="009C1B70">
              <w:rPr>
                <w:szCs w:val="24"/>
              </w:rPr>
              <w:t xml:space="preserve"> / raštu </w:t>
            </w:r>
            <w:r w:rsidRPr="009C1B70">
              <w:rPr>
                <w:szCs w:val="24"/>
              </w:rPr>
              <w:t xml:space="preserve">Pirkėjo įgaliotų asmenų. </w:t>
            </w:r>
          </w:p>
          <w:p w14:paraId="15D80427" w14:textId="59F7CA8A" w:rsidR="004F3C9F" w:rsidRPr="004F3C9F" w:rsidRDefault="004F3C9F" w:rsidP="004F3C9F">
            <w:pPr>
              <w:rPr>
                <w:szCs w:val="24"/>
                <w:highlight w:val="yellow"/>
              </w:rPr>
            </w:pPr>
          </w:p>
        </w:tc>
      </w:tr>
      <w:tr w:rsidR="004F3C9F" w14:paraId="63190814" w14:textId="77777777" w:rsidTr="009C1B70">
        <w:trPr>
          <w:trHeight w:val="962"/>
        </w:trPr>
        <w:tc>
          <w:tcPr>
            <w:tcW w:w="2335" w:type="dxa"/>
            <w:gridSpan w:val="2"/>
            <w:tcBorders>
              <w:top w:val="single" w:sz="4" w:space="0" w:color="auto"/>
              <w:left w:val="single" w:sz="4" w:space="0" w:color="auto"/>
              <w:bottom w:val="single" w:sz="4" w:space="0" w:color="auto"/>
              <w:right w:val="single" w:sz="4" w:space="0" w:color="auto"/>
            </w:tcBorders>
          </w:tcPr>
          <w:p w14:paraId="4DCE5D3A" w14:textId="77777777" w:rsidR="004F3C9F" w:rsidRDefault="004F3C9F" w:rsidP="004F3C9F">
            <w:pPr>
              <w:rPr>
                <w:b/>
                <w:kern w:val="2"/>
                <w:szCs w:val="24"/>
              </w:rPr>
            </w:pPr>
            <w:r>
              <w:rPr>
                <w:b/>
                <w:kern w:val="2"/>
                <w:szCs w:val="24"/>
              </w:rPr>
              <w:t>4.4. Dėl minimalios Užsakymo vertės ar apimties</w:t>
            </w:r>
          </w:p>
        </w:tc>
        <w:tc>
          <w:tcPr>
            <w:tcW w:w="7920" w:type="dxa"/>
            <w:gridSpan w:val="2"/>
            <w:tcBorders>
              <w:top w:val="single" w:sz="4" w:space="0" w:color="auto"/>
              <w:left w:val="single" w:sz="4" w:space="0" w:color="auto"/>
              <w:bottom w:val="single" w:sz="4" w:space="0" w:color="auto"/>
              <w:right w:val="single" w:sz="4" w:space="0" w:color="auto"/>
            </w:tcBorders>
          </w:tcPr>
          <w:p w14:paraId="00DB58C9" w14:textId="77777777" w:rsidR="004F3C9F" w:rsidRDefault="004F3C9F" w:rsidP="004F3C9F">
            <w:pPr>
              <w:rPr>
                <w:kern w:val="2"/>
                <w:szCs w:val="24"/>
              </w:rPr>
            </w:pPr>
            <w:r>
              <w:rPr>
                <w:kern w:val="2"/>
                <w:szCs w:val="24"/>
              </w:rPr>
              <w:t>Netaikoma</w:t>
            </w:r>
          </w:p>
          <w:p w14:paraId="79E9BAE8" w14:textId="77777777" w:rsidR="004F3C9F" w:rsidRDefault="004F3C9F" w:rsidP="004F3C9F">
            <w:pPr>
              <w:rPr>
                <w:kern w:val="2"/>
                <w:szCs w:val="24"/>
              </w:rPr>
            </w:pPr>
          </w:p>
          <w:p w14:paraId="26E2BA7D" w14:textId="00918AC5" w:rsidR="004F3C9F" w:rsidRDefault="004F3C9F" w:rsidP="004F3C9F">
            <w:pPr>
              <w:rPr>
                <w:szCs w:val="24"/>
              </w:rPr>
            </w:pPr>
          </w:p>
        </w:tc>
      </w:tr>
      <w:tr w:rsidR="004F3C9F" w14:paraId="6A12AB7F" w14:textId="77777777" w:rsidTr="009C1B70">
        <w:trPr>
          <w:trHeight w:val="300"/>
        </w:trPr>
        <w:tc>
          <w:tcPr>
            <w:tcW w:w="2335" w:type="dxa"/>
            <w:gridSpan w:val="2"/>
          </w:tcPr>
          <w:p w14:paraId="5257C9B8" w14:textId="77777777" w:rsidR="004F3C9F" w:rsidRDefault="004F3C9F" w:rsidP="004F3C9F">
            <w:pPr>
              <w:rPr>
                <w:b/>
                <w:kern w:val="2"/>
                <w:szCs w:val="24"/>
              </w:rPr>
            </w:pPr>
            <w:r>
              <w:rPr>
                <w:b/>
                <w:kern w:val="2"/>
                <w:szCs w:val="24"/>
              </w:rPr>
              <w:t>4.5. Pateikiami dokumentai</w:t>
            </w:r>
          </w:p>
        </w:tc>
        <w:tc>
          <w:tcPr>
            <w:tcW w:w="7920" w:type="dxa"/>
            <w:gridSpan w:val="2"/>
          </w:tcPr>
          <w:p w14:paraId="55E948F1" w14:textId="77777777" w:rsidR="004F3C9F" w:rsidRPr="00555B85" w:rsidRDefault="004F3C9F" w:rsidP="004F3C9F">
            <w:pPr>
              <w:rPr>
                <w:kern w:val="2"/>
                <w:szCs w:val="24"/>
              </w:rPr>
            </w:pPr>
            <w:r w:rsidRPr="00555B85">
              <w:rPr>
                <w:kern w:val="2"/>
                <w:szCs w:val="24"/>
              </w:rPr>
              <w:t xml:space="preserve">Turi būti pateikiami šie dokumentai: </w:t>
            </w:r>
          </w:p>
          <w:p w14:paraId="5B8C7086" w14:textId="177DB617" w:rsidR="00F077C3" w:rsidRPr="00555B85" w:rsidRDefault="004F3C9F" w:rsidP="004F3C9F">
            <w:pPr>
              <w:jc w:val="both"/>
              <w:rPr>
                <w:kern w:val="2"/>
                <w:szCs w:val="24"/>
              </w:rPr>
            </w:pPr>
            <w:r w:rsidRPr="00555B85">
              <w:rPr>
                <w:kern w:val="2"/>
                <w:szCs w:val="24"/>
              </w:rPr>
              <w:t>4.5.1. Paslaugų perdavimo-priėmimo aktas</w:t>
            </w:r>
            <w:r w:rsidR="00555B85" w:rsidRPr="00555B85">
              <w:rPr>
                <w:kern w:val="2"/>
                <w:szCs w:val="24"/>
              </w:rPr>
              <w:t xml:space="preserve"> už suteiktas šias paslaugas</w:t>
            </w:r>
            <w:r w:rsidR="00F077C3" w:rsidRPr="00555B85">
              <w:rPr>
                <w:kern w:val="2"/>
                <w:szCs w:val="24"/>
              </w:rPr>
              <w:t>:</w:t>
            </w:r>
          </w:p>
          <w:p w14:paraId="3C9E476B" w14:textId="19006345" w:rsidR="00F077C3" w:rsidRPr="00555B85" w:rsidRDefault="00F077C3" w:rsidP="009C1B70">
            <w:pPr>
              <w:tabs>
                <w:tab w:val="left" w:pos="700"/>
                <w:tab w:val="left" w:pos="790"/>
              </w:tabs>
              <w:jc w:val="both"/>
              <w:rPr>
                <w:szCs w:val="24"/>
              </w:rPr>
            </w:pPr>
            <w:r w:rsidRPr="00555B85">
              <w:rPr>
                <w:kern w:val="2"/>
                <w:szCs w:val="24"/>
                <w:lang w:val="en-US"/>
              </w:rPr>
              <w:t>4.5.1.1.</w:t>
            </w:r>
            <w:r w:rsidR="004F3C9F" w:rsidRPr="00555B85">
              <w:rPr>
                <w:kern w:val="2"/>
                <w:szCs w:val="24"/>
              </w:rPr>
              <w:t xml:space="preserve"> </w:t>
            </w:r>
            <w:r w:rsidRPr="00555B85">
              <w:rPr>
                <w:szCs w:val="24"/>
              </w:rPr>
              <w:t>Skambučių centro valdymo įdiegimo, paleidimo ir testavimo paslaug</w:t>
            </w:r>
            <w:r w:rsidR="009C5A99">
              <w:rPr>
                <w:szCs w:val="24"/>
              </w:rPr>
              <w:t>a</w:t>
            </w:r>
            <w:r w:rsidRPr="00555B85">
              <w:rPr>
                <w:szCs w:val="24"/>
              </w:rPr>
              <w:t xml:space="preserve">s; </w:t>
            </w:r>
          </w:p>
          <w:p w14:paraId="63CB54C4" w14:textId="1BE4F5DF" w:rsidR="00F077C3" w:rsidRPr="00555B85" w:rsidRDefault="00F077C3" w:rsidP="004F3C9F">
            <w:pPr>
              <w:jc w:val="both"/>
              <w:rPr>
                <w:szCs w:val="24"/>
              </w:rPr>
            </w:pPr>
            <w:r w:rsidRPr="00555B85">
              <w:rPr>
                <w:szCs w:val="24"/>
              </w:rPr>
              <w:t xml:space="preserve">4.5.1.2. </w:t>
            </w:r>
            <w:r w:rsidR="009C1B70">
              <w:rPr>
                <w:szCs w:val="24"/>
              </w:rPr>
              <w:t>M</w:t>
            </w:r>
            <w:r w:rsidRPr="00555B85">
              <w:rPr>
                <w:szCs w:val="24"/>
              </w:rPr>
              <w:t>okymų paslaug</w:t>
            </w:r>
            <w:r w:rsidR="00555B85" w:rsidRPr="00555B85">
              <w:rPr>
                <w:szCs w:val="24"/>
              </w:rPr>
              <w:t>a</w:t>
            </w:r>
            <w:r w:rsidRPr="00555B85">
              <w:rPr>
                <w:szCs w:val="24"/>
              </w:rPr>
              <w:t xml:space="preserve">s; </w:t>
            </w:r>
          </w:p>
          <w:p w14:paraId="281AA7ED" w14:textId="1B96E8AC" w:rsidR="004F3C9F" w:rsidRPr="00555B85" w:rsidRDefault="00555B85" w:rsidP="004F3C9F">
            <w:pPr>
              <w:jc w:val="both"/>
              <w:rPr>
                <w:szCs w:val="24"/>
              </w:rPr>
            </w:pPr>
            <w:r w:rsidRPr="00555B85">
              <w:rPr>
                <w:szCs w:val="24"/>
                <w:lang w:val="en-US"/>
              </w:rPr>
              <w:t xml:space="preserve">4.5.1.3. </w:t>
            </w:r>
            <w:r w:rsidR="009C1B70">
              <w:rPr>
                <w:szCs w:val="24"/>
              </w:rPr>
              <w:t xml:space="preserve">Vystymo </w:t>
            </w:r>
            <w:r w:rsidR="00F077C3" w:rsidRPr="00555B85">
              <w:rPr>
                <w:szCs w:val="24"/>
              </w:rPr>
              <w:t>paslaug</w:t>
            </w:r>
            <w:r w:rsidRPr="00555B85">
              <w:rPr>
                <w:szCs w:val="24"/>
              </w:rPr>
              <w:t>a</w:t>
            </w:r>
            <w:r w:rsidR="00F077C3" w:rsidRPr="00555B85">
              <w:rPr>
                <w:szCs w:val="24"/>
              </w:rPr>
              <w:t>s</w:t>
            </w:r>
            <w:r w:rsidRPr="00555B85">
              <w:rPr>
                <w:szCs w:val="24"/>
              </w:rPr>
              <w:t>.</w:t>
            </w:r>
          </w:p>
          <w:p w14:paraId="0E32A382" w14:textId="36C69DB7" w:rsidR="00555B85" w:rsidRPr="00F502B3" w:rsidRDefault="00555B85" w:rsidP="00555B85">
            <w:pPr>
              <w:tabs>
                <w:tab w:val="left" w:pos="851"/>
              </w:tabs>
              <w:suppressAutoHyphens/>
              <w:contextualSpacing/>
              <w:jc w:val="both"/>
              <w:rPr>
                <w:color w:val="000000" w:themeColor="text1"/>
                <w:szCs w:val="24"/>
              </w:rPr>
            </w:pPr>
            <w:r w:rsidRPr="00555B85">
              <w:rPr>
                <w:kern w:val="2"/>
                <w:szCs w:val="24"/>
                <w:lang w:val="en-US"/>
              </w:rPr>
              <w:t xml:space="preserve">4.5.2. </w:t>
            </w:r>
            <w:r w:rsidRPr="00F502B3">
              <w:rPr>
                <w:kern w:val="2"/>
                <w:szCs w:val="24"/>
              </w:rPr>
              <w:t xml:space="preserve">Paslaugų teikimo ataskaita, kurios formą </w:t>
            </w:r>
            <w:r w:rsidRPr="00F502B3">
              <w:rPr>
                <w:color w:val="000000" w:themeColor="text1"/>
                <w:szCs w:val="24"/>
              </w:rPr>
              <w:t>(form</w:t>
            </w:r>
            <w:r w:rsidR="00F502B3">
              <w:rPr>
                <w:color w:val="000000" w:themeColor="text1"/>
                <w:szCs w:val="24"/>
              </w:rPr>
              <w:t>a</w:t>
            </w:r>
            <w:r w:rsidRPr="00F502B3">
              <w:rPr>
                <w:color w:val="000000" w:themeColor="text1"/>
                <w:szCs w:val="24"/>
              </w:rPr>
              <w:t>s / formų turinio reikalavimus) ir jos pateikimo būdą (gali būti teikiamos kelios ataskaitos pagal paslaugų tipą) Tiekėjas per 10 d. d. nuo Sutarties įsigaliojimo dienos susiderina su Pirkėju. Atskaitoje</w:t>
            </w:r>
            <w:r w:rsidR="00F502B3">
              <w:rPr>
                <w:color w:val="000000" w:themeColor="text1"/>
                <w:szCs w:val="24"/>
              </w:rPr>
              <w:t>,</w:t>
            </w:r>
            <w:r w:rsidRPr="00F502B3">
              <w:rPr>
                <w:color w:val="000000" w:themeColor="text1"/>
                <w:szCs w:val="24"/>
              </w:rPr>
              <w:t xml:space="preserve"> kontrolės tikslu</w:t>
            </w:r>
            <w:r w:rsidR="00F502B3">
              <w:rPr>
                <w:color w:val="000000" w:themeColor="text1"/>
                <w:szCs w:val="24"/>
              </w:rPr>
              <w:t>,</w:t>
            </w:r>
            <w:r w:rsidRPr="00F502B3">
              <w:rPr>
                <w:color w:val="000000" w:themeColor="text1"/>
                <w:szCs w:val="24"/>
              </w:rPr>
              <w:t xml:space="preserve"> turi atsispindėti </w:t>
            </w:r>
            <w:r w:rsidR="00F502B3">
              <w:rPr>
                <w:color w:val="000000" w:themeColor="text1"/>
                <w:szCs w:val="24"/>
              </w:rPr>
              <w:t>P</w:t>
            </w:r>
            <w:r w:rsidRPr="00F502B3">
              <w:rPr>
                <w:color w:val="000000" w:themeColor="text1"/>
                <w:szCs w:val="24"/>
              </w:rPr>
              <w:t xml:space="preserve">aslaugų tipai ir </w:t>
            </w:r>
            <w:r w:rsidR="00F502B3">
              <w:rPr>
                <w:color w:val="000000" w:themeColor="text1"/>
                <w:szCs w:val="24"/>
              </w:rPr>
              <w:t>P</w:t>
            </w:r>
            <w:r w:rsidRPr="00F502B3">
              <w:rPr>
                <w:color w:val="000000" w:themeColor="text1"/>
                <w:szCs w:val="24"/>
              </w:rPr>
              <w:t>aslaugų naudojimo kiekiai</w:t>
            </w:r>
            <w:r w:rsidR="00040845">
              <w:rPr>
                <w:color w:val="000000" w:themeColor="text1"/>
                <w:szCs w:val="24"/>
              </w:rPr>
              <w:t>.</w:t>
            </w:r>
          </w:p>
          <w:p w14:paraId="021BAADE" w14:textId="1CFB6EB4" w:rsidR="00555B85" w:rsidRPr="00555B85" w:rsidRDefault="00555B85" w:rsidP="00555B85">
            <w:pPr>
              <w:tabs>
                <w:tab w:val="left" w:pos="851"/>
              </w:tabs>
              <w:suppressAutoHyphens/>
              <w:contextualSpacing/>
              <w:jc w:val="both"/>
              <w:rPr>
                <w:color w:val="000000" w:themeColor="text1"/>
                <w:szCs w:val="24"/>
              </w:rPr>
            </w:pPr>
            <w:r w:rsidRPr="00555B85">
              <w:rPr>
                <w:color w:val="000000" w:themeColor="text1"/>
                <w:szCs w:val="24"/>
                <w:lang w:val="en-US"/>
              </w:rPr>
              <w:t>4.5.</w:t>
            </w:r>
            <w:r w:rsidR="00040845">
              <w:rPr>
                <w:color w:val="000000" w:themeColor="text1"/>
                <w:szCs w:val="24"/>
                <w:lang w:val="en-US"/>
              </w:rPr>
              <w:t xml:space="preserve">3. </w:t>
            </w:r>
            <w:r w:rsidRPr="00555B85">
              <w:rPr>
                <w:color w:val="000000" w:themeColor="text1"/>
                <w:szCs w:val="24"/>
              </w:rPr>
              <w:t>Ši ataskaita turi būti teikiama iki kiekvieno mėnesio 7-os kalendorinės dienos imtinai (ataskaita gali būti nepasirašoma ab</w:t>
            </w:r>
            <w:r w:rsidR="009C5A99">
              <w:rPr>
                <w:color w:val="000000" w:themeColor="text1"/>
                <w:szCs w:val="24"/>
              </w:rPr>
              <w:t>i</w:t>
            </w:r>
            <w:r w:rsidRPr="00555B85">
              <w:rPr>
                <w:color w:val="000000" w:themeColor="text1"/>
                <w:szCs w:val="24"/>
              </w:rPr>
              <w:t xml:space="preserve">ejų Šalių, tačiau turi būti saugoma su Sutarties vykdymo dokumentais kaip </w:t>
            </w:r>
            <w:r w:rsidR="00F502B3">
              <w:rPr>
                <w:color w:val="000000" w:themeColor="text1"/>
                <w:szCs w:val="24"/>
              </w:rPr>
              <w:t>P</w:t>
            </w:r>
            <w:r w:rsidRPr="00555B85">
              <w:rPr>
                <w:color w:val="000000" w:themeColor="text1"/>
                <w:szCs w:val="24"/>
              </w:rPr>
              <w:t xml:space="preserve">aslaugų </w:t>
            </w:r>
            <w:r w:rsidR="00F502B3">
              <w:rPr>
                <w:color w:val="000000" w:themeColor="text1"/>
                <w:szCs w:val="24"/>
              </w:rPr>
              <w:t xml:space="preserve">teikimo </w:t>
            </w:r>
            <w:r w:rsidRPr="00555B85">
              <w:rPr>
                <w:color w:val="000000" w:themeColor="text1"/>
                <w:szCs w:val="24"/>
              </w:rPr>
              <w:t xml:space="preserve">kontrolės </w:t>
            </w:r>
            <w:r w:rsidRPr="00555B85">
              <w:rPr>
                <w:color w:val="000000" w:themeColor="text1"/>
                <w:szCs w:val="24"/>
              </w:rPr>
              <w:lastRenderedPageBreak/>
              <w:t xml:space="preserve">dokumentas). Ši ataskaita yra </w:t>
            </w:r>
            <w:r w:rsidR="005A3C20">
              <w:rPr>
                <w:color w:val="000000" w:themeColor="text1"/>
                <w:szCs w:val="24"/>
              </w:rPr>
              <w:t>S</w:t>
            </w:r>
            <w:r w:rsidRPr="00555B85">
              <w:rPr>
                <w:color w:val="000000" w:themeColor="text1"/>
                <w:szCs w:val="24"/>
              </w:rPr>
              <w:t>ąskaitos faktūros už praėjusio mėnesio suteiktas Paslaugas pagrindas.</w:t>
            </w:r>
          </w:p>
          <w:p w14:paraId="7A76AFEE" w14:textId="13AA3FFF" w:rsidR="00555B85" w:rsidRPr="00555B85" w:rsidRDefault="00555B85" w:rsidP="00040845">
            <w:pPr>
              <w:tabs>
                <w:tab w:val="left" w:pos="851"/>
              </w:tabs>
              <w:suppressAutoHyphens/>
              <w:contextualSpacing/>
              <w:jc w:val="both"/>
              <w:rPr>
                <w:color w:val="000000" w:themeColor="text1"/>
                <w:szCs w:val="24"/>
              </w:rPr>
            </w:pPr>
            <w:r w:rsidRPr="00555B85">
              <w:rPr>
                <w:color w:val="000000" w:themeColor="text1"/>
                <w:szCs w:val="24"/>
                <w:lang w:val="en-US"/>
              </w:rPr>
              <w:t>4.5.</w:t>
            </w:r>
            <w:r w:rsidR="00040845">
              <w:rPr>
                <w:color w:val="000000" w:themeColor="text1"/>
                <w:szCs w:val="24"/>
                <w:lang w:val="en-US"/>
              </w:rPr>
              <w:t>4.</w:t>
            </w:r>
            <w:r>
              <w:rPr>
                <w:color w:val="000000" w:themeColor="text1"/>
                <w:szCs w:val="24"/>
                <w:lang w:val="en-US"/>
              </w:rPr>
              <w:t xml:space="preserve"> </w:t>
            </w:r>
            <w:r w:rsidRPr="00555B85">
              <w:rPr>
                <w:color w:val="000000" w:themeColor="text1"/>
                <w:szCs w:val="24"/>
              </w:rPr>
              <w:t xml:space="preserve">Atskaitoje (ataskaitose) turi atsispindėti šios </w:t>
            </w:r>
            <w:r w:rsidR="00F502B3">
              <w:rPr>
                <w:color w:val="000000" w:themeColor="text1"/>
                <w:szCs w:val="24"/>
              </w:rPr>
              <w:t>P</w:t>
            </w:r>
            <w:r w:rsidRPr="00555B85">
              <w:rPr>
                <w:color w:val="000000" w:themeColor="text1"/>
                <w:szCs w:val="24"/>
              </w:rPr>
              <w:t>aslaugos:</w:t>
            </w:r>
          </w:p>
          <w:p w14:paraId="364840E3" w14:textId="35777E78" w:rsidR="00555B85" w:rsidRPr="00040845" w:rsidRDefault="00555B85" w:rsidP="00040845">
            <w:pPr>
              <w:pStyle w:val="Sraopastraipa"/>
              <w:numPr>
                <w:ilvl w:val="3"/>
                <w:numId w:val="12"/>
              </w:numPr>
              <w:tabs>
                <w:tab w:val="left" w:pos="720"/>
              </w:tabs>
              <w:autoSpaceDN w:val="0"/>
              <w:ind w:left="0" w:firstLine="0"/>
              <w:jc w:val="both"/>
              <w:textAlignment w:val="baseline"/>
              <w:rPr>
                <w:noProof/>
                <w:szCs w:val="24"/>
              </w:rPr>
            </w:pPr>
            <w:r w:rsidRPr="00040845">
              <w:rPr>
                <w:noProof/>
                <w:szCs w:val="24"/>
              </w:rPr>
              <w:t>Judriojo telefono ryšio paslaugos</w:t>
            </w:r>
            <w:r w:rsidR="00F502B3" w:rsidRPr="00040845">
              <w:rPr>
                <w:noProof/>
                <w:szCs w:val="24"/>
              </w:rPr>
              <w:t>;</w:t>
            </w:r>
          </w:p>
          <w:p w14:paraId="0CEE25F3" w14:textId="45128CC8" w:rsidR="00555B85" w:rsidRPr="00F502B3" w:rsidRDefault="00555B85" w:rsidP="00040845">
            <w:pPr>
              <w:pStyle w:val="Sraopastraipa"/>
              <w:numPr>
                <w:ilvl w:val="3"/>
                <w:numId w:val="12"/>
              </w:numPr>
              <w:tabs>
                <w:tab w:val="left" w:pos="851"/>
              </w:tabs>
              <w:suppressAutoHyphens/>
              <w:ind w:left="0" w:firstLine="0"/>
              <w:jc w:val="both"/>
              <w:rPr>
                <w:bCs/>
                <w:szCs w:val="24"/>
              </w:rPr>
            </w:pPr>
            <w:r w:rsidRPr="00F502B3">
              <w:rPr>
                <w:bCs/>
                <w:szCs w:val="24"/>
              </w:rPr>
              <w:t>Balso pašto paslauga</w:t>
            </w:r>
            <w:r w:rsidR="00F502B3" w:rsidRPr="00F502B3">
              <w:rPr>
                <w:bCs/>
                <w:szCs w:val="24"/>
              </w:rPr>
              <w:t>;</w:t>
            </w:r>
          </w:p>
          <w:p w14:paraId="27329AD2" w14:textId="6E0531A2" w:rsidR="00555B85" w:rsidRPr="00F502B3" w:rsidRDefault="00555B85" w:rsidP="00040845">
            <w:pPr>
              <w:pStyle w:val="Sraopastraipa"/>
              <w:numPr>
                <w:ilvl w:val="3"/>
                <w:numId w:val="12"/>
              </w:numPr>
              <w:tabs>
                <w:tab w:val="left" w:pos="750"/>
                <w:tab w:val="left" w:pos="930"/>
              </w:tabs>
              <w:suppressAutoHyphens/>
              <w:ind w:left="0" w:firstLine="0"/>
              <w:jc w:val="both"/>
              <w:rPr>
                <w:bCs/>
                <w:szCs w:val="24"/>
              </w:rPr>
            </w:pPr>
            <w:r w:rsidRPr="00F502B3">
              <w:rPr>
                <w:bCs/>
                <w:szCs w:val="24"/>
              </w:rPr>
              <w:t xml:space="preserve">Papildomas duomenų perdavimo </w:t>
            </w:r>
            <w:r w:rsidRPr="001A6D76">
              <w:rPr>
                <w:szCs w:val="24"/>
              </w:rPr>
              <w:t>ES valstybėse</w:t>
            </w:r>
            <w:r w:rsidRPr="00F502B3">
              <w:rPr>
                <w:bCs/>
                <w:szCs w:val="24"/>
              </w:rPr>
              <w:t xml:space="preserve"> ir Europos ekonominės erdvės valstybėse paslaugos (internetas telefone), kai išnaudojamas abonentui skirtas 5 GB limitas (t. y. jį viršijus)</w:t>
            </w:r>
            <w:r w:rsidR="00F502B3">
              <w:rPr>
                <w:bCs/>
                <w:szCs w:val="24"/>
              </w:rPr>
              <w:t>;</w:t>
            </w:r>
          </w:p>
          <w:p w14:paraId="5B6A1EF6" w14:textId="2DE067FD" w:rsidR="00555B85" w:rsidRPr="00F502B3" w:rsidRDefault="00555B85" w:rsidP="00040845">
            <w:pPr>
              <w:pStyle w:val="Sraopastraipa"/>
              <w:numPr>
                <w:ilvl w:val="3"/>
                <w:numId w:val="12"/>
              </w:numPr>
              <w:tabs>
                <w:tab w:val="left" w:pos="851"/>
              </w:tabs>
              <w:suppressAutoHyphens/>
              <w:ind w:left="0" w:firstLine="0"/>
              <w:jc w:val="both"/>
              <w:rPr>
                <w:bCs/>
                <w:szCs w:val="24"/>
              </w:rPr>
            </w:pPr>
            <w:r w:rsidRPr="00F502B3">
              <w:rPr>
                <w:bCs/>
                <w:szCs w:val="24"/>
              </w:rPr>
              <w:t>Tarptautinių pokalbių paslaugos</w:t>
            </w:r>
            <w:r w:rsidR="00F502B3">
              <w:rPr>
                <w:bCs/>
                <w:szCs w:val="24"/>
              </w:rPr>
              <w:t>;</w:t>
            </w:r>
          </w:p>
          <w:p w14:paraId="1132B7CF" w14:textId="4130A89D" w:rsidR="00555B85" w:rsidRPr="00F502B3" w:rsidRDefault="00555B85" w:rsidP="00040845">
            <w:pPr>
              <w:pStyle w:val="Sraopastraipa"/>
              <w:numPr>
                <w:ilvl w:val="3"/>
                <w:numId w:val="12"/>
              </w:numPr>
              <w:tabs>
                <w:tab w:val="left" w:pos="851"/>
              </w:tabs>
              <w:suppressAutoHyphens/>
              <w:ind w:left="0" w:firstLine="0"/>
              <w:jc w:val="both"/>
              <w:rPr>
                <w:szCs w:val="24"/>
              </w:rPr>
            </w:pPr>
            <w:r w:rsidRPr="00F502B3">
              <w:rPr>
                <w:bCs/>
                <w:szCs w:val="24"/>
              </w:rPr>
              <w:t xml:space="preserve">Tarptinklinio ryšio </w:t>
            </w:r>
            <w:r w:rsidRPr="001A6D76">
              <w:rPr>
                <w:szCs w:val="24"/>
              </w:rPr>
              <w:t>(</w:t>
            </w:r>
            <w:proofErr w:type="spellStart"/>
            <w:r w:rsidRPr="001A6D76">
              <w:rPr>
                <w:szCs w:val="24"/>
              </w:rPr>
              <w:t>roaming'as</w:t>
            </w:r>
            <w:proofErr w:type="spellEnd"/>
            <w:r w:rsidRPr="001A6D76">
              <w:rPr>
                <w:szCs w:val="24"/>
              </w:rPr>
              <w:t>)</w:t>
            </w:r>
            <w:r w:rsidRPr="00F502B3">
              <w:rPr>
                <w:b/>
                <w:bCs/>
                <w:szCs w:val="24"/>
              </w:rPr>
              <w:t xml:space="preserve"> </w:t>
            </w:r>
            <w:r w:rsidRPr="00F502B3">
              <w:rPr>
                <w:szCs w:val="24"/>
              </w:rPr>
              <w:t>paslaugos</w:t>
            </w:r>
            <w:r w:rsidR="001A6D76">
              <w:rPr>
                <w:szCs w:val="24"/>
              </w:rPr>
              <w:t>;</w:t>
            </w:r>
          </w:p>
          <w:p w14:paraId="61C23E03" w14:textId="3BA2CAA8" w:rsidR="00555B85" w:rsidRPr="001A6D76" w:rsidRDefault="00555B85" w:rsidP="00040845">
            <w:pPr>
              <w:pStyle w:val="Sraopastraipa"/>
              <w:numPr>
                <w:ilvl w:val="3"/>
                <w:numId w:val="12"/>
              </w:numPr>
              <w:tabs>
                <w:tab w:val="left" w:pos="851"/>
                <w:tab w:val="left" w:pos="1020"/>
              </w:tabs>
              <w:suppressAutoHyphens/>
              <w:ind w:left="0" w:firstLine="0"/>
              <w:jc w:val="both"/>
              <w:rPr>
                <w:szCs w:val="24"/>
              </w:rPr>
            </w:pPr>
            <w:r w:rsidRPr="001A6D76">
              <w:rPr>
                <w:szCs w:val="24"/>
              </w:rPr>
              <w:t>Skambučiai trečioms šalims trumpaisiais numeriais (pvz. pagalba, taksi, bankams)</w:t>
            </w:r>
            <w:r w:rsidR="001A6D76">
              <w:rPr>
                <w:szCs w:val="24"/>
              </w:rPr>
              <w:t>;</w:t>
            </w:r>
          </w:p>
          <w:p w14:paraId="73D1F3AB" w14:textId="5D2CE79F" w:rsidR="00555B85" w:rsidRPr="001A6D76" w:rsidRDefault="00555B85" w:rsidP="00040845">
            <w:pPr>
              <w:pStyle w:val="Sraopastraipa"/>
              <w:numPr>
                <w:ilvl w:val="3"/>
                <w:numId w:val="12"/>
              </w:numPr>
              <w:tabs>
                <w:tab w:val="left" w:pos="851"/>
                <w:tab w:val="left" w:pos="1020"/>
              </w:tabs>
              <w:suppressAutoHyphens/>
              <w:ind w:left="0" w:firstLine="0"/>
              <w:jc w:val="both"/>
              <w:rPr>
                <w:szCs w:val="24"/>
              </w:rPr>
            </w:pPr>
            <w:r w:rsidRPr="001A6D76">
              <w:rPr>
                <w:szCs w:val="24"/>
              </w:rPr>
              <w:t>Galimybė sumokėti SMS žinute ar kitu būdu (naudojant judriojo ryšio paslaugas) už automobilio stovėjimą</w:t>
            </w:r>
            <w:r w:rsidR="001A6D76">
              <w:rPr>
                <w:szCs w:val="24"/>
              </w:rPr>
              <w:t>;</w:t>
            </w:r>
          </w:p>
          <w:p w14:paraId="587DED9E" w14:textId="351BC520" w:rsidR="00555B85" w:rsidRPr="001A6D76" w:rsidRDefault="00555B85" w:rsidP="00040845">
            <w:pPr>
              <w:pStyle w:val="Sraopastraipa"/>
              <w:numPr>
                <w:ilvl w:val="3"/>
                <w:numId w:val="12"/>
              </w:numPr>
              <w:tabs>
                <w:tab w:val="left" w:pos="851"/>
                <w:tab w:val="left" w:pos="1020"/>
              </w:tabs>
              <w:suppressAutoHyphens/>
              <w:ind w:left="0" w:firstLine="0"/>
              <w:jc w:val="both"/>
              <w:rPr>
                <w:szCs w:val="24"/>
              </w:rPr>
            </w:pPr>
            <w:r w:rsidRPr="001A6D76">
              <w:rPr>
                <w:szCs w:val="24"/>
              </w:rPr>
              <w:t>Duomenų perdavimas ne ES valstybėse ir ne Europos ekonominės erdvės valstybėse paslaugos (internetas telefone)</w:t>
            </w:r>
            <w:r w:rsidR="001A6D76">
              <w:rPr>
                <w:szCs w:val="24"/>
              </w:rPr>
              <w:t>;</w:t>
            </w:r>
          </w:p>
          <w:p w14:paraId="7211A208" w14:textId="27B34250" w:rsidR="00555B85" w:rsidRPr="001A6D76" w:rsidRDefault="00555B85" w:rsidP="00040845">
            <w:pPr>
              <w:pStyle w:val="Sraopastraipa"/>
              <w:numPr>
                <w:ilvl w:val="3"/>
                <w:numId w:val="12"/>
              </w:numPr>
              <w:tabs>
                <w:tab w:val="left" w:pos="851"/>
                <w:tab w:val="left" w:pos="1020"/>
              </w:tabs>
              <w:suppressAutoHyphens/>
              <w:ind w:left="0" w:firstLine="0"/>
              <w:jc w:val="both"/>
              <w:rPr>
                <w:szCs w:val="24"/>
              </w:rPr>
            </w:pPr>
            <w:r w:rsidRPr="001A6D76">
              <w:rPr>
                <w:szCs w:val="24"/>
              </w:rPr>
              <w:t>Kitos paslaugos, kurios yra susijusios su judriojo ryšio paslaugomis ir (ar) būtinos tinkamam Paslaugų suteikimui</w:t>
            </w:r>
            <w:r w:rsidR="001A6D76">
              <w:rPr>
                <w:szCs w:val="24"/>
              </w:rPr>
              <w:t>;</w:t>
            </w:r>
          </w:p>
          <w:p w14:paraId="298212BB" w14:textId="7E662D94" w:rsidR="00555B85" w:rsidRPr="001A6D76" w:rsidRDefault="00555B85" w:rsidP="00040845">
            <w:pPr>
              <w:pStyle w:val="Sraopastraipa"/>
              <w:numPr>
                <w:ilvl w:val="3"/>
                <w:numId w:val="12"/>
              </w:numPr>
              <w:tabs>
                <w:tab w:val="left" w:pos="650"/>
                <w:tab w:val="left" w:pos="851"/>
              </w:tabs>
              <w:suppressAutoHyphens/>
              <w:ind w:left="0" w:firstLine="0"/>
              <w:jc w:val="both"/>
              <w:rPr>
                <w:szCs w:val="24"/>
              </w:rPr>
            </w:pPr>
            <w:r w:rsidRPr="001A6D76">
              <w:rPr>
                <w:szCs w:val="24"/>
              </w:rPr>
              <w:t>Mobilaus parašo paslaugos</w:t>
            </w:r>
            <w:r w:rsidR="001A6D76">
              <w:rPr>
                <w:szCs w:val="24"/>
              </w:rPr>
              <w:t>;</w:t>
            </w:r>
          </w:p>
          <w:p w14:paraId="7E15534A" w14:textId="7702D905" w:rsidR="00555B85" w:rsidRPr="001A6D76" w:rsidRDefault="00555B85" w:rsidP="00040845">
            <w:pPr>
              <w:pStyle w:val="Sraopastraipa"/>
              <w:numPr>
                <w:ilvl w:val="3"/>
                <w:numId w:val="12"/>
              </w:numPr>
              <w:tabs>
                <w:tab w:val="left" w:pos="650"/>
                <w:tab w:val="left" w:pos="851"/>
              </w:tabs>
              <w:ind w:left="0" w:firstLine="0"/>
              <w:jc w:val="both"/>
              <w:rPr>
                <w:szCs w:val="24"/>
              </w:rPr>
            </w:pPr>
            <w:r w:rsidRPr="001A6D76">
              <w:rPr>
                <w:szCs w:val="24"/>
              </w:rPr>
              <w:t>Skambučių centro palaikymo paslaugos</w:t>
            </w:r>
            <w:r w:rsidR="001A6D76">
              <w:rPr>
                <w:szCs w:val="24"/>
              </w:rPr>
              <w:t>;</w:t>
            </w:r>
            <w:r w:rsidRPr="001A6D76">
              <w:rPr>
                <w:szCs w:val="24"/>
              </w:rPr>
              <w:t xml:space="preserve"> </w:t>
            </w:r>
          </w:p>
          <w:p w14:paraId="13294967" w14:textId="4BDD810A" w:rsidR="00555B85" w:rsidRDefault="00A5148A" w:rsidP="00040845">
            <w:pPr>
              <w:pStyle w:val="Sraopastraipa"/>
              <w:numPr>
                <w:ilvl w:val="3"/>
                <w:numId w:val="12"/>
              </w:numPr>
              <w:tabs>
                <w:tab w:val="left" w:pos="650"/>
                <w:tab w:val="left" w:pos="851"/>
              </w:tabs>
              <w:ind w:left="0" w:firstLine="0"/>
              <w:jc w:val="both"/>
              <w:rPr>
                <w:szCs w:val="24"/>
              </w:rPr>
            </w:pPr>
            <w:r w:rsidRPr="00A5148A">
              <w:rPr>
                <w:lang w:eastAsia="ar-SA"/>
              </w:rPr>
              <w:t>Pirmo lygio konsultantų funkcijų palaikymas</w:t>
            </w:r>
            <w:r w:rsidR="001A6D76">
              <w:rPr>
                <w:szCs w:val="24"/>
              </w:rPr>
              <w:t>;</w:t>
            </w:r>
          </w:p>
          <w:p w14:paraId="00A0839E" w14:textId="47718E25" w:rsidR="00A5148A" w:rsidRPr="009C5A99" w:rsidRDefault="00A5148A" w:rsidP="00040845">
            <w:pPr>
              <w:pStyle w:val="Sraopastraipa"/>
              <w:numPr>
                <w:ilvl w:val="3"/>
                <w:numId w:val="12"/>
              </w:numPr>
              <w:tabs>
                <w:tab w:val="left" w:pos="650"/>
                <w:tab w:val="left" w:pos="851"/>
              </w:tabs>
              <w:ind w:left="0" w:firstLine="0"/>
              <w:jc w:val="both"/>
              <w:rPr>
                <w:szCs w:val="24"/>
              </w:rPr>
            </w:pPr>
            <w:r w:rsidRPr="009C5A99">
              <w:rPr>
                <w:lang w:eastAsia="ar-SA"/>
              </w:rPr>
              <w:t>Antro lygio konsultantų funkcijų palaikymas;</w:t>
            </w:r>
          </w:p>
          <w:p w14:paraId="4FE9E846" w14:textId="28B69B97" w:rsidR="00555B85" w:rsidRPr="001A6D76" w:rsidRDefault="00555B85" w:rsidP="00040845">
            <w:pPr>
              <w:pStyle w:val="Sraopastraipa"/>
              <w:numPr>
                <w:ilvl w:val="3"/>
                <w:numId w:val="12"/>
              </w:numPr>
              <w:tabs>
                <w:tab w:val="left" w:pos="650"/>
                <w:tab w:val="left" w:pos="851"/>
              </w:tabs>
              <w:ind w:left="0" w:firstLine="0"/>
              <w:jc w:val="both"/>
              <w:rPr>
                <w:kern w:val="2"/>
                <w:szCs w:val="24"/>
                <w:lang w:val="en-US"/>
              </w:rPr>
            </w:pPr>
            <w:r w:rsidRPr="001A6D76">
              <w:rPr>
                <w:szCs w:val="24"/>
              </w:rPr>
              <w:t>800-osios linijos paslaugos</w:t>
            </w:r>
            <w:r w:rsidR="001A6D76">
              <w:rPr>
                <w:szCs w:val="24"/>
              </w:rPr>
              <w:t>.</w:t>
            </w:r>
          </w:p>
          <w:p w14:paraId="7C662F94" w14:textId="77777777" w:rsidR="00555B85" w:rsidRPr="00555B85" w:rsidRDefault="00555B85" w:rsidP="004F3C9F">
            <w:pPr>
              <w:rPr>
                <w:kern w:val="2"/>
                <w:szCs w:val="24"/>
              </w:rPr>
            </w:pPr>
          </w:p>
          <w:p w14:paraId="0CE28B9D" w14:textId="4534246C" w:rsidR="004F3C9F" w:rsidRPr="00555B85" w:rsidRDefault="004F3C9F" w:rsidP="004F3C9F">
            <w:pPr>
              <w:rPr>
                <w:szCs w:val="24"/>
              </w:rPr>
            </w:pPr>
            <w:r w:rsidRPr="00555B85">
              <w:rPr>
                <w:kern w:val="2"/>
                <w:szCs w:val="24"/>
              </w:rPr>
              <w:t>Tiekėjui nepateikus nurodytų dokumentų, laikoma, kad Paslaugos neatitinka Sutartyje nustatytų reikalavimų.</w:t>
            </w:r>
          </w:p>
        </w:tc>
      </w:tr>
      <w:tr w:rsidR="004F3C9F" w14:paraId="5BCB922D" w14:textId="77777777" w:rsidTr="009C1B70">
        <w:trPr>
          <w:trHeight w:val="300"/>
        </w:trPr>
        <w:tc>
          <w:tcPr>
            <w:tcW w:w="10255" w:type="dxa"/>
            <w:gridSpan w:val="4"/>
          </w:tcPr>
          <w:p w14:paraId="694A2072" w14:textId="77777777" w:rsidR="004F3C9F" w:rsidRDefault="004F3C9F" w:rsidP="004F3C9F">
            <w:pPr>
              <w:jc w:val="center"/>
              <w:rPr>
                <w:b/>
                <w:kern w:val="2"/>
                <w:szCs w:val="24"/>
              </w:rPr>
            </w:pPr>
            <w:r>
              <w:rPr>
                <w:b/>
                <w:kern w:val="2"/>
                <w:szCs w:val="24"/>
              </w:rPr>
              <w:lastRenderedPageBreak/>
              <w:t>5. SUTARTIES KAINA IR ATSISKAITYMO TVARKA</w:t>
            </w:r>
          </w:p>
        </w:tc>
      </w:tr>
      <w:tr w:rsidR="004F3C9F" w14:paraId="52F3204D" w14:textId="77777777" w:rsidTr="009C1B70">
        <w:trPr>
          <w:trHeight w:val="300"/>
        </w:trPr>
        <w:tc>
          <w:tcPr>
            <w:tcW w:w="2335" w:type="dxa"/>
            <w:gridSpan w:val="2"/>
          </w:tcPr>
          <w:p w14:paraId="2BB39D3E" w14:textId="77777777" w:rsidR="004F3C9F" w:rsidRDefault="004F3C9F" w:rsidP="004F3C9F">
            <w:pPr>
              <w:rPr>
                <w:b/>
                <w:kern w:val="2"/>
                <w:szCs w:val="24"/>
              </w:rPr>
            </w:pPr>
            <w:r>
              <w:rPr>
                <w:b/>
                <w:kern w:val="2"/>
                <w:szCs w:val="24"/>
              </w:rPr>
              <w:t>5.1. Sutarčiai taikomas kainos apskaičiavimo būdas</w:t>
            </w:r>
          </w:p>
        </w:tc>
        <w:tc>
          <w:tcPr>
            <w:tcW w:w="7920" w:type="dxa"/>
            <w:gridSpan w:val="2"/>
          </w:tcPr>
          <w:p w14:paraId="66411B9B" w14:textId="0C6812CB" w:rsidR="004F3C9F" w:rsidRDefault="004F3C9F" w:rsidP="004F3C9F">
            <w:pPr>
              <w:rPr>
                <w:kern w:val="2"/>
                <w:szCs w:val="24"/>
              </w:rPr>
            </w:pPr>
            <w:r>
              <w:rPr>
                <w:kern w:val="2"/>
                <w:szCs w:val="24"/>
              </w:rPr>
              <w:t xml:space="preserve">Mišri kainodara (fiksuotos kainos ir fiksuoto įkainio kainodaros būdai) </w:t>
            </w:r>
          </w:p>
          <w:p w14:paraId="6ACCF222" w14:textId="77777777" w:rsidR="004F3C9F" w:rsidRDefault="004F3C9F" w:rsidP="004F3C9F">
            <w:pPr>
              <w:rPr>
                <w:color w:val="4472C4"/>
                <w:kern w:val="2"/>
                <w:szCs w:val="24"/>
              </w:rPr>
            </w:pPr>
          </w:p>
          <w:p w14:paraId="1199C3A4" w14:textId="6ECB986F" w:rsidR="004F3C9F" w:rsidRDefault="004F3C9F" w:rsidP="004F3C9F">
            <w:pPr>
              <w:rPr>
                <w:color w:val="4472C4"/>
                <w:kern w:val="2"/>
                <w:szCs w:val="24"/>
              </w:rPr>
            </w:pPr>
          </w:p>
        </w:tc>
      </w:tr>
      <w:tr w:rsidR="004F3C9F" w14:paraId="214747C0" w14:textId="77777777" w:rsidTr="00476B7B">
        <w:trPr>
          <w:trHeight w:val="890"/>
        </w:trPr>
        <w:tc>
          <w:tcPr>
            <w:tcW w:w="2335" w:type="dxa"/>
            <w:gridSpan w:val="2"/>
          </w:tcPr>
          <w:p w14:paraId="2AC952CD" w14:textId="77777777" w:rsidR="004F3C9F" w:rsidRDefault="004F3C9F" w:rsidP="004F3C9F">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087A59D8" w14:textId="77777777" w:rsidR="004F3C9F" w:rsidRDefault="004F3C9F" w:rsidP="004F3C9F">
            <w:pPr>
              <w:rPr>
                <w:b/>
                <w:kern w:val="2"/>
                <w:szCs w:val="24"/>
              </w:rPr>
            </w:pPr>
          </w:p>
          <w:p w14:paraId="1EA218D6" w14:textId="77777777" w:rsidR="004F3C9F" w:rsidRDefault="004F3C9F" w:rsidP="004F3C9F">
            <w:pPr>
              <w:rPr>
                <w:b/>
                <w:kern w:val="2"/>
                <w:szCs w:val="24"/>
              </w:rPr>
            </w:pPr>
          </w:p>
          <w:p w14:paraId="4B9F8B28" w14:textId="77777777" w:rsidR="004F3C9F" w:rsidRDefault="004F3C9F" w:rsidP="004F3C9F">
            <w:pPr>
              <w:rPr>
                <w:b/>
                <w:kern w:val="2"/>
                <w:szCs w:val="24"/>
              </w:rPr>
            </w:pPr>
          </w:p>
          <w:p w14:paraId="42AA5DF7" w14:textId="77777777" w:rsidR="004F3C9F" w:rsidRDefault="004F3C9F" w:rsidP="004F3C9F">
            <w:pPr>
              <w:rPr>
                <w:b/>
                <w:kern w:val="2"/>
                <w:szCs w:val="24"/>
              </w:rPr>
            </w:pPr>
          </w:p>
          <w:p w14:paraId="1CE39DCE" w14:textId="77777777" w:rsidR="004F3C9F" w:rsidRDefault="004F3C9F" w:rsidP="004F3C9F">
            <w:pPr>
              <w:rPr>
                <w:b/>
                <w:kern w:val="2"/>
                <w:szCs w:val="24"/>
              </w:rPr>
            </w:pPr>
          </w:p>
          <w:p w14:paraId="6329AFD7" w14:textId="77777777" w:rsidR="004F3C9F" w:rsidRDefault="004F3C9F" w:rsidP="004F3C9F">
            <w:pPr>
              <w:rPr>
                <w:b/>
                <w:kern w:val="2"/>
                <w:szCs w:val="24"/>
              </w:rPr>
            </w:pPr>
          </w:p>
          <w:p w14:paraId="514BBA4C" w14:textId="77777777" w:rsidR="004F3C9F" w:rsidRDefault="004F3C9F" w:rsidP="004F3C9F">
            <w:pPr>
              <w:rPr>
                <w:b/>
                <w:kern w:val="2"/>
                <w:szCs w:val="24"/>
              </w:rPr>
            </w:pPr>
          </w:p>
          <w:p w14:paraId="6136E4BA" w14:textId="77777777" w:rsidR="004F3C9F" w:rsidRDefault="004F3C9F" w:rsidP="004F3C9F">
            <w:pPr>
              <w:rPr>
                <w:kern w:val="2"/>
                <w:szCs w:val="24"/>
              </w:rPr>
            </w:pPr>
          </w:p>
        </w:tc>
        <w:tc>
          <w:tcPr>
            <w:tcW w:w="7920" w:type="dxa"/>
            <w:gridSpan w:val="2"/>
          </w:tcPr>
          <w:p w14:paraId="26BCB0F6" w14:textId="77777777" w:rsidR="004F3C9F" w:rsidRDefault="004F3C9F" w:rsidP="004F3C9F">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FDDA363" w14:textId="77777777" w:rsidR="004F3C9F" w:rsidRDefault="004F3C9F" w:rsidP="004F3C9F">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4D1D485" w14:textId="77777777" w:rsidR="004F3C9F" w:rsidRDefault="004F3C9F" w:rsidP="004F3C9F">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889CC98" w14:textId="77777777" w:rsidR="001440FF" w:rsidRDefault="001440FF" w:rsidP="004F3C9F">
            <w:pPr>
              <w:jc w:val="both"/>
              <w:rPr>
                <w:kern w:val="2"/>
                <w:szCs w:val="24"/>
              </w:rPr>
            </w:pPr>
          </w:p>
          <w:p w14:paraId="14BF4BFC" w14:textId="77777777" w:rsidR="001440FF" w:rsidRDefault="001440FF" w:rsidP="001440FF">
            <w:pPr>
              <w:rPr>
                <w:color w:val="000000"/>
                <w:kern w:val="2"/>
                <w:szCs w:val="24"/>
              </w:rPr>
            </w:pPr>
            <w:r>
              <w:rPr>
                <w:color w:val="000000"/>
                <w:kern w:val="2"/>
                <w:szCs w:val="24"/>
              </w:rPr>
              <w:t>5.2.1. Fiksuotos kainos kainodara:</w:t>
            </w:r>
          </w:p>
          <w:tbl>
            <w:tblPr>
              <w:tblStyle w:val="Lentelstinklelis"/>
              <w:tblW w:w="7625" w:type="dxa"/>
              <w:tblLayout w:type="fixed"/>
              <w:tblLook w:val="04A0" w:firstRow="1" w:lastRow="0" w:firstColumn="1" w:lastColumn="0" w:noHBand="0" w:noVBand="1"/>
            </w:tblPr>
            <w:tblGrid>
              <w:gridCol w:w="965"/>
              <w:gridCol w:w="1870"/>
              <w:gridCol w:w="1329"/>
              <w:gridCol w:w="1121"/>
              <w:gridCol w:w="1150"/>
              <w:gridCol w:w="1190"/>
            </w:tblGrid>
            <w:tr w:rsidR="001440FF" w14:paraId="760F36C7" w14:textId="77777777" w:rsidTr="009C1B70">
              <w:tc>
                <w:tcPr>
                  <w:tcW w:w="965" w:type="dxa"/>
                  <w:vAlign w:val="center"/>
                </w:tcPr>
                <w:p w14:paraId="09D2C144" w14:textId="77777777" w:rsidR="001440FF" w:rsidRPr="001440FF" w:rsidRDefault="001440FF" w:rsidP="001440FF">
                  <w:pPr>
                    <w:rPr>
                      <w:color w:val="4472C4"/>
                      <w:kern w:val="2"/>
                      <w:szCs w:val="24"/>
                    </w:rPr>
                  </w:pPr>
                  <w:r w:rsidRPr="001440FF">
                    <w:rPr>
                      <w:rFonts w:ascii="Times New Roman" w:hAnsi="Times New Roman"/>
                      <w:noProof/>
                      <w:sz w:val="24"/>
                      <w:szCs w:val="24"/>
                    </w:rPr>
                    <w:t>Eil. Nr.</w:t>
                  </w:r>
                </w:p>
              </w:tc>
              <w:tc>
                <w:tcPr>
                  <w:tcW w:w="1870" w:type="dxa"/>
                  <w:vAlign w:val="center"/>
                </w:tcPr>
                <w:p w14:paraId="754D0273" w14:textId="77777777" w:rsidR="001440FF" w:rsidRPr="001440FF" w:rsidRDefault="001440FF" w:rsidP="001440FF">
                  <w:pPr>
                    <w:jc w:val="center"/>
                    <w:rPr>
                      <w:color w:val="4472C4"/>
                      <w:kern w:val="2"/>
                      <w:szCs w:val="24"/>
                    </w:rPr>
                  </w:pPr>
                  <w:r w:rsidRPr="001440FF">
                    <w:rPr>
                      <w:rFonts w:ascii="Times New Roman" w:hAnsi="Times New Roman"/>
                      <w:noProof/>
                      <w:sz w:val="24"/>
                      <w:szCs w:val="24"/>
                    </w:rPr>
                    <w:t>Paslaugų pavadinimas</w:t>
                  </w:r>
                </w:p>
              </w:tc>
              <w:tc>
                <w:tcPr>
                  <w:tcW w:w="1329" w:type="dxa"/>
                  <w:vAlign w:val="center"/>
                </w:tcPr>
                <w:p w14:paraId="2663F130" w14:textId="77777777" w:rsidR="001440FF" w:rsidRPr="001440FF" w:rsidRDefault="001440FF" w:rsidP="001440FF">
                  <w:pPr>
                    <w:jc w:val="center"/>
                    <w:rPr>
                      <w:rFonts w:ascii="Times New Roman" w:hAnsi="Times New Roman"/>
                      <w:noProof/>
                      <w:sz w:val="24"/>
                      <w:szCs w:val="24"/>
                    </w:rPr>
                  </w:pPr>
                  <w:r w:rsidRPr="001440FF">
                    <w:rPr>
                      <w:rFonts w:ascii="Times New Roman" w:hAnsi="Times New Roman"/>
                      <w:noProof/>
                      <w:sz w:val="24"/>
                      <w:szCs w:val="24"/>
                    </w:rPr>
                    <w:t>Mato vienetas</w:t>
                  </w:r>
                </w:p>
                <w:p w14:paraId="63287835" w14:textId="77777777" w:rsidR="001440FF" w:rsidRPr="001440FF" w:rsidRDefault="001440FF" w:rsidP="001440FF">
                  <w:pPr>
                    <w:rPr>
                      <w:color w:val="4472C4"/>
                      <w:kern w:val="2"/>
                      <w:szCs w:val="24"/>
                    </w:rPr>
                  </w:pPr>
                </w:p>
              </w:tc>
              <w:tc>
                <w:tcPr>
                  <w:tcW w:w="1121" w:type="dxa"/>
                  <w:vAlign w:val="center"/>
                </w:tcPr>
                <w:p w14:paraId="229864D2" w14:textId="77777777" w:rsidR="001440FF" w:rsidRPr="001440FF" w:rsidRDefault="001440FF" w:rsidP="001440FF">
                  <w:pPr>
                    <w:jc w:val="center"/>
                    <w:rPr>
                      <w:color w:val="4472C4"/>
                      <w:kern w:val="2"/>
                      <w:szCs w:val="24"/>
                    </w:rPr>
                  </w:pPr>
                  <w:r w:rsidRPr="001440FF">
                    <w:rPr>
                      <w:rFonts w:ascii="Times New Roman" w:hAnsi="Times New Roman"/>
                      <w:noProof/>
                      <w:sz w:val="24"/>
                      <w:szCs w:val="24"/>
                    </w:rPr>
                    <w:t>Mato vieneto kiekis</w:t>
                  </w:r>
                </w:p>
              </w:tc>
              <w:tc>
                <w:tcPr>
                  <w:tcW w:w="1150" w:type="dxa"/>
                </w:tcPr>
                <w:p w14:paraId="4B607E6A" w14:textId="77777777" w:rsidR="001440FF" w:rsidRPr="001440FF" w:rsidRDefault="001440FF" w:rsidP="001440FF">
                  <w:pPr>
                    <w:jc w:val="center"/>
                    <w:rPr>
                      <w:color w:val="4472C4"/>
                      <w:kern w:val="2"/>
                      <w:szCs w:val="24"/>
                    </w:rPr>
                  </w:pPr>
                  <w:r w:rsidRPr="001440FF">
                    <w:rPr>
                      <w:rFonts w:ascii="Times New Roman" w:hAnsi="Times New Roman"/>
                      <w:noProof/>
                      <w:sz w:val="24"/>
                      <w:szCs w:val="24"/>
                    </w:rPr>
                    <w:t>Paslaugos kaina už mato vienetą EUR be PVM</w:t>
                  </w:r>
                </w:p>
              </w:tc>
              <w:tc>
                <w:tcPr>
                  <w:tcW w:w="1190" w:type="dxa"/>
                  <w:vAlign w:val="center"/>
                </w:tcPr>
                <w:p w14:paraId="4FDE9634" w14:textId="77777777" w:rsidR="001440FF" w:rsidRPr="001440FF" w:rsidRDefault="001440FF" w:rsidP="001440FF">
                  <w:pPr>
                    <w:tabs>
                      <w:tab w:val="left" w:pos="200"/>
                    </w:tabs>
                    <w:jc w:val="center"/>
                    <w:rPr>
                      <w:rFonts w:ascii="Times New Roman" w:hAnsi="Times New Roman"/>
                      <w:noProof/>
                      <w:sz w:val="24"/>
                      <w:szCs w:val="24"/>
                    </w:rPr>
                  </w:pPr>
                  <w:r w:rsidRPr="001440FF">
                    <w:rPr>
                      <w:rFonts w:ascii="Times New Roman" w:hAnsi="Times New Roman"/>
                      <w:noProof/>
                      <w:sz w:val="24"/>
                      <w:szCs w:val="24"/>
                    </w:rPr>
                    <w:t>Bendra kaina</w:t>
                  </w:r>
                </w:p>
                <w:p w14:paraId="29351FBC" w14:textId="77777777" w:rsidR="001440FF" w:rsidRPr="001440FF" w:rsidRDefault="001440FF" w:rsidP="001440FF">
                  <w:pPr>
                    <w:jc w:val="center"/>
                    <w:rPr>
                      <w:color w:val="4472C4"/>
                      <w:kern w:val="2"/>
                      <w:szCs w:val="24"/>
                    </w:rPr>
                  </w:pPr>
                  <w:r w:rsidRPr="001440FF">
                    <w:rPr>
                      <w:rFonts w:ascii="Times New Roman" w:hAnsi="Times New Roman"/>
                      <w:noProof/>
                      <w:sz w:val="24"/>
                      <w:szCs w:val="24"/>
                    </w:rPr>
                    <w:t>EUR be PVM</w:t>
                  </w:r>
                </w:p>
              </w:tc>
            </w:tr>
            <w:tr w:rsidR="001440FF" w14:paraId="5FA8BF05" w14:textId="77777777" w:rsidTr="009C1B70">
              <w:tc>
                <w:tcPr>
                  <w:tcW w:w="965" w:type="dxa"/>
                  <w:vAlign w:val="center"/>
                </w:tcPr>
                <w:p w14:paraId="40B55512" w14:textId="77777777" w:rsidR="001440FF" w:rsidRPr="001440FF" w:rsidRDefault="001440FF" w:rsidP="001440FF">
                  <w:pPr>
                    <w:rPr>
                      <w:rFonts w:ascii="Times New Roman" w:hAnsi="Times New Roman"/>
                      <w:i/>
                      <w:kern w:val="2"/>
                      <w:szCs w:val="24"/>
                    </w:rPr>
                  </w:pPr>
                  <w:r w:rsidRPr="001440FF">
                    <w:rPr>
                      <w:rFonts w:ascii="Times New Roman" w:hAnsi="Times New Roman"/>
                      <w:i/>
                      <w:noProof/>
                    </w:rPr>
                    <w:t>(1)</w:t>
                  </w:r>
                </w:p>
              </w:tc>
              <w:tc>
                <w:tcPr>
                  <w:tcW w:w="1870" w:type="dxa"/>
                  <w:vAlign w:val="center"/>
                </w:tcPr>
                <w:p w14:paraId="078D7938" w14:textId="77777777" w:rsidR="001440FF" w:rsidRPr="001440FF" w:rsidRDefault="001440FF" w:rsidP="001440FF">
                  <w:pPr>
                    <w:rPr>
                      <w:rFonts w:ascii="Times New Roman" w:hAnsi="Times New Roman"/>
                      <w:i/>
                      <w:kern w:val="2"/>
                      <w:szCs w:val="24"/>
                    </w:rPr>
                  </w:pPr>
                  <w:r w:rsidRPr="001440FF">
                    <w:rPr>
                      <w:rFonts w:ascii="Times New Roman" w:hAnsi="Times New Roman"/>
                      <w:i/>
                      <w:noProof/>
                    </w:rPr>
                    <w:t>(2)</w:t>
                  </w:r>
                </w:p>
              </w:tc>
              <w:tc>
                <w:tcPr>
                  <w:tcW w:w="1329" w:type="dxa"/>
                  <w:vAlign w:val="center"/>
                </w:tcPr>
                <w:p w14:paraId="59701F7A" w14:textId="77777777" w:rsidR="001440FF" w:rsidRPr="001440FF" w:rsidRDefault="001440FF" w:rsidP="001440FF">
                  <w:pPr>
                    <w:rPr>
                      <w:rFonts w:ascii="Times New Roman" w:hAnsi="Times New Roman"/>
                      <w:i/>
                      <w:kern w:val="2"/>
                      <w:szCs w:val="24"/>
                    </w:rPr>
                  </w:pPr>
                  <w:r w:rsidRPr="001440FF">
                    <w:rPr>
                      <w:rFonts w:ascii="Times New Roman" w:hAnsi="Times New Roman"/>
                      <w:i/>
                      <w:noProof/>
                    </w:rPr>
                    <w:t>(3)</w:t>
                  </w:r>
                </w:p>
              </w:tc>
              <w:tc>
                <w:tcPr>
                  <w:tcW w:w="1121" w:type="dxa"/>
                  <w:vAlign w:val="center"/>
                </w:tcPr>
                <w:p w14:paraId="3D7465C2" w14:textId="77777777" w:rsidR="001440FF" w:rsidRPr="001440FF" w:rsidRDefault="001440FF" w:rsidP="001440FF">
                  <w:pPr>
                    <w:rPr>
                      <w:rFonts w:ascii="Times New Roman" w:hAnsi="Times New Roman"/>
                      <w:i/>
                      <w:kern w:val="2"/>
                      <w:szCs w:val="24"/>
                    </w:rPr>
                  </w:pPr>
                  <w:r w:rsidRPr="001440FF">
                    <w:rPr>
                      <w:rFonts w:ascii="Times New Roman" w:hAnsi="Times New Roman"/>
                      <w:i/>
                      <w:noProof/>
                      <w:lang w:val="en-US"/>
                    </w:rPr>
                    <w:t>(4)</w:t>
                  </w:r>
                </w:p>
              </w:tc>
              <w:tc>
                <w:tcPr>
                  <w:tcW w:w="1150" w:type="dxa"/>
                </w:tcPr>
                <w:p w14:paraId="3570A688" w14:textId="10B17F59" w:rsidR="001440FF" w:rsidRPr="001440FF" w:rsidRDefault="001440FF" w:rsidP="001440FF">
                  <w:pPr>
                    <w:rPr>
                      <w:rFonts w:ascii="Times New Roman" w:hAnsi="Times New Roman"/>
                      <w:i/>
                      <w:kern w:val="2"/>
                      <w:szCs w:val="24"/>
                    </w:rPr>
                  </w:pPr>
                  <w:r w:rsidRPr="001440FF">
                    <w:rPr>
                      <w:rFonts w:ascii="Times New Roman" w:hAnsi="Times New Roman"/>
                      <w:i/>
                      <w:kern w:val="2"/>
                      <w:szCs w:val="24"/>
                    </w:rPr>
                    <w:t>(5)</w:t>
                  </w:r>
                </w:p>
              </w:tc>
              <w:tc>
                <w:tcPr>
                  <w:tcW w:w="1190" w:type="dxa"/>
                </w:tcPr>
                <w:p w14:paraId="3DB18E31" w14:textId="6D2C613E" w:rsidR="001440FF" w:rsidRPr="001440FF" w:rsidRDefault="001440FF" w:rsidP="001440FF">
                  <w:pPr>
                    <w:rPr>
                      <w:rFonts w:ascii="Times New Roman" w:hAnsi="Times New Roman"/>
                      <w:i/>
                      <w:kern w:val="2"/>
                      <w:szCs w:val="24"/>
                    </w:rPr>
                  </w:pPr>
                  <w:r w:rsidRPr="001440FF">
                    <w:rPr>
                      <w:rFonts w:ascii="Times New Roman" w:hAnsi="Times New Roman"/>
                      <w:i/>
                      <w:kern w:val="2"/>
                      <w:szCs w:val="24"/>
                    </w:rPr>
                    <w:t>(6)</w:t>
                  </w:r>
                </w:p>
              </w:tc>
            </w:tr>
            <w:tr w:rsidR="001440FF" w14:paraId="26597BB4" w14:textId="77777777" w:rsidTr="009C1B70">
              <w:tc>
                <w:tcPr>
                  <w:tcW w:w="965" w:type="dxa"/>
                  <w:vAlign w:val="center"/>
                </w:tcPr>
                <w:p w14:paraId="67B51F1F" w14:textId="03E88D49" w:rsidR="001440FF" w:rsidRDefault="001440FF" w:rsidP="001440FF">
                  <w:pPr>
                    <w:rPr>
                      <w:color w:val="4472C4"/>
                      <w:kern w:val="2"/>
                      <w:szCs w:val="24"/>
                    </w:rPr>
                  </w:pPr>
                  <w:r>
                    <w:rPr>
                      <w:rFonts w:ascii="Times New Roman" w:hAnsi="Times New Roman"/>
                      <w:iCs/>
                      <w:sz w:val="24"/>
                      <w:szCs w:val="24"/>
                      <w:lang w:val="en-US" w:eastAsia="ar-SA"/>
                    </w:rPr>
                    <w:t>5.2.1.</w:t>
                  </w:r>
                  <w:r w:rsidR="009A08F9">
                    <w:rPr>
                      <w:rFonts w:ascii="Times New Roman" w:hAnsi="Times New Roman"/>
                      <w:iCs/>
                      <w:sz w:val="24"/>
                      <w:szCs w:val="24"/>
                      <w:lang w:val="en-US" w:eastAsia="ar-SA"/>
                    </w:rPr>
                    <w:t>1</w:t>
                  </w:r>
                </w:p>
              </w:tc>
              <w:tc>
                <w:tcPr>
                  <w:tcW w:w="1870" w:type="dxa"/>
                  <w:vAlign w:val="center"/>
                </w:tcPr>
                <w:p w14:paraId="2A77CF37" w14:textId="77777777" w:rsidR="001440FF" w:rsidRDefault="001440FF" w:rsidP="001440FF">
                  <w:pPr>
                    <w:rPr>
                      <w:color w:val="4472C4"/>
                      <w:kern w:val="2"/>
                      <w:szCs w:val="24"/>
                    </w:rPr>
                  </w:pPr>
                  <w:r w:rsidRPr="009A0D15">
                    <w:rPr>
                      <w:rFonts w:ascii="Times New Roman" w:hAnsi="Times New Roman"/>
                      <w:sz w:val="24"/>
                      <w:szCs w:val="24"/>
                    </w:rPr>
                    <w:t>Skambučių centro valdymo įdiegim</w:t>
                  </w:r>
                  <w:r>
                    <w:rPr>
                      <w:rFonts w:ascii="Times New Roman" w:hAnsi="Times New Roman"/>
                      <w:sz w:val="24"/>
                      <w:szCs w:val="24"/>
                    </w:rPr>
                    <w:t>o</w:t>
                  </w:r>
                  <w:r w:rsidRPr="009A0D15">
                    <w:rPr>
                      <w:rFonts w:ascii="Times New Roman" w:hAnsi="Times New Roman"/>
                      <w:sz w:val="24"/>
                      <w:szCs w:val="24"/>
                    </w:rPr>
                    <w:t xml:space="preserve">, </w:t>
                  </w:r>
                  <w:r w:rsidRPr="009A0D15">
                    <w:rPr>
                      <w:rFonts w:ascii="Times New Roman" w:hAnsi="Times New Roman"/>
                      <w:sz w:val="24"/>
                      <w:szCs w:val="24"/>
                    </w:rPr>
                    <w:lastRenderedPageBreak/>
                    <w:t>paleidim</w:t>
                  </w:r>
                  <w:r>
                    <w:rPr>
                      <w:rFonts w:ascii="Times New Roman" w:hAnsi="Times New Roman"/>
                      <w:sz w:val="24"/>
                      <w:szCs w:val="24"/>
                    </w:rPr>
                    <w:t>o</w:t>
                  </w:r>
                  <w:r w:rsidRPr="009A0D15">
                    <w:rPr>
                      <w:rFonts w:ascii="Times New Roman" w:hAnsi="Times New Roman"/>
                      <w:sz w:val="24"/>
                      <w:szCs w:val="24"/>
                    </w:rPr>
                    <w:t xml:space="preserve"> ir testavim</w:t>
                  </w:r>
                  <w:r>
                    <w:rPr>
                      <w:rFonts w:ascii="Times New Roman" w:hAnsi="Times New Roman"/>
                      <w:sz w:val="24"/>
                      <w:szCs w:val="24"/>
                    </w:rPr>
                    <w:t>o paslaugos</w:t>
                  </w:r>
                </w:p>
              </w:tc>
              <w:tc>
                <w:tcPr>
                  <w:tcW w:w="1329" w:type="dxa"/>
                  <w:vAlign w:val="center"/>
                </w:tcPr>
                <w:p w14:paraId="51553A7C" w14:textId="77777777" w:rsidR="001440FF" w:rsidRDefault="001440FF" w:rsidP="001440FF">
                  <w:pPr>
                    <w:rPr>
                      <w:color w:val="4472C4"/>
                      <w:kern w:val="2"/>
                      <w:szCs w:val="24"/>
                    </w:rPr>
                  </w:pPr>
                  <w:r>
                    <w:rPr>
                      <w:rFonts w:ascii="Times New Roman" w:hAnsi="Times New Roman"/>
                      <w:noProof/>
                      <w:sz w:val="24"/>
                      <w:szCs w:val="24"/>
                      <w:lang w:val="en-US"/>
                    </w:rPr>
                    <w:lastRenderedPageBreak/>
                    <w:t>komplektas</w:t>
                  </w:r>
                </w:p>
              </w:tc>
              <w:tc>
                <w:tcPr>
                  <w:tcW w:w="1121" w:type="dxa"/>
                  <w:vAlign w:val="center"/>
                </w:tcPr>
                <w:p w14:paraId="4DB18827" w14:textId="77777777" w:rsidR="001440FF" w:rsidRDefault="001440FF" w:rsidP="00675CFC">
                  <w:pPr>
                    <w:jc w:val="center"/>
                    <w:rPr>
                      <w:color w:val="4472C4"/>
                      <w:kern w:val="2"/>
                      <w:szCs w:val="24"/>
                    </w:rPr>
                  </w:pPr>
                  <w:r>
                    <w:rPr>
                      <w:rFonts w:ascii="Times New Roman" w:hAnsi="Times New Roman"/>
                      <w:noProof/>
                      <w:sz w:val="24"/>
                      <w:szCs w:val="24"/>
                    </w:rPr>
                    <w:t>1</w:t>
                  </w:r>
                </w:p>
              </w:tc>
              <w:tc>
                <w:tcPr>
                  <w:tcW w:w="1150" w:type="dxa"/>
                </w:tcPr>
                <w:p w14:paraId="2EC12998" w14:textId="77777777" w:rsidR="001440FF" w:rsidRDefault="001440FF" w:rsidP="001440FF">
                  <w:pPr>
                    <w:rPr>
                      <w:color w:val="4472C4"/>
                      <w:kern w:val="2"/>
                      <w:szCs w:val="24"/>
                    </w:rPr>
                  </w:pPr>
                </w:p>
              </w:tc>
              <w:tc>
                <w:tcPr>
                  <w:tcW w:w="1190" w:type="dxa"/>
                </w:tcPr>
                <w:p w14:paraId="43657580" w14:textId="77777777" w:rsidR="001440FF" w:rsidRDefault="001440FF" w:rsidP="001440FF">
                  <w:pPr>
                    <w:rPr>
                      <w:color w:val="4472C4"/>
                      <w:kern w:val="2"/>
                      <w:szCs w:val="24"/>
                    </w:rPr>
                  </w:pPr>
                </w:p>
              </w:tc>
            </w:tr>
          </w:tbl>
          <w:p w14:paraId="1563123C" w14:textId="77777777" w:rsidR="001440FF" w:rsidRDefault="001440FF" w:rsidP="004F3C9F">
            <w:pPr>
              <w:jc w:val="both"/>
              <w:rPr>
                <w:kern w:val="2"/>
                <w:szCs w:val="24"/>
              </w:rPr>
            </w:pPr>
          </w:p>
          <w:p w14:paraId="348240B7" w14:textId="11B01A79" w:rsidR="001440FF" w:rsidRDefault="001440FF" w:rsidP="004F3C9F">
            <w:pPr>
              <w:jc w:val="both"/>
              <w:rPr>
                <w:kern w:val="2"/>
                <w:szCs w:val="24"/>
              </w:rPr>
            </w:pPr>
            <w:r>
              <w:rPr>
                <w:kern w:val="2"/>
                <w:szCs w:val="24"/>
              </w:rPr>
              <w:t>5.2.2. Fiksuoto įkainio kainodara:</w:t>
            </w:r>
          </w:p>
          <w:tbl>
            <w:tblPr>
              <w:tblStyle w:val="Lentelstinklelis"/>
              <w:tblW w:w="7715" w:type="dxa"/>
              <w:tblLayout w:type="fixed"/>
              <w:tblLook w:val="04A0" w:firstRow="1" w:lastRow="0" w:firstColumn="1" w:lastColumn="0" w:noHBand="0" w:noVBand="1"/>
            </w:tblPr>
            <w:tblGrid>
              <w:gridCol w:w="965"/>
              <w:gridCol w:w="1842"/>
              <w:gridCol w:w="1270"/>
              <w:gridCol w:w="1118"/>
              <w:gridCol w:w="1260"/>
              <w:gridCol w:w="1260"/>
            </w:tblGrid>
            <w:tr w:rsidR="001440FF" w:rsidRPr="001440FF" w14:paraId="26F1013E" w14:textId="77777777" w:rsidTr="009C1B70">
              <w:tc>
                <w:tcPr>
                  <w:tcW w:w="965" w:type="dxa"/>
                  <w:vAlign w:val="center"/>
                </w:tcPr>
                <w:p w14:paraId="0EDA77EB" w14:textId="4E1F4666" w:rsidR="001440FF" w:rsidRPr="001440FF" w:rsidRDefault="001440FF" w:rsidP="001440FF">
                  <w:pPr>
                    <w:rPr>
                      <w:color w:val="4472C4"/>
                      <w:kern w:val="2"/>
                      <w:szCs w:val="24"/>
                    </w:rPr>
                  </w:pPr>
                  <w:r w:rsidRPr="001440FF">
                    <w:rPr>
                      <w:rFonts w:ascii="Times New Roman" w:hAnsi="Times New Roman"/>
                      <w:noProof/>
                      <w:sz w:val="24"/>
                      <w:szCs w:val="24"/>
                    </w:rPr>
                    <w:t>Eil. Nr.</w:t>
                  </w:r>
                </w:p>
              </w:tc>
              <w:tc>
                <w:tcPr>
                  <w:tcW w:w="1842" w:type="dxa"/>
                  <w:vAlign w:val="center"/>
                </w:tcPr>
                <w:p w14:paraId="6E37295E" w14:textId="4BD44EA7" w:rsidR="001440FF" w:rsidRPr="001440FF" w:rsidRDefault="001440FF" w:rsidP="001440FF">
                  <w:pPr>
                    <w:jc w:val="center"/>
                    <w:rPr>
                      <w:color w:val="4472C4"/>
                      <w:kern w:val="2"/>
                      <w:szCs w:val="24"/>
                    </w:rPr>
                  </w:pPr>
                  <w:r w:rsidRPr="001440FF">
                    <w:rPr>
                      <w:rFonts w:ascii="Times New Roman" w:hAnsi="Times New Roman"/>
                      <w:noProof/>
                      <w:sz w:val="24"/>
                      <w:szCs w:val="24"/>
                    </w:rPr>
                    <w:t>Paslaugų pavadinimas</w:t>
                  </w:r>
                </w:p>
              </w:tc>
              <w:tc>
                <w:tcPr>
                  <w:tcW w:w="1270" w:type="dxa"/>
                  <w:vAlign w:val="center"/>
                </w:tcPr>
                <w:p w14:paraId="2ADA3310" w14:textId="77777777" w:rsidR="001440FF" w:rsidRPr="001440FF" w:rsidRDefault="001440FF" w:rsidP="001440FF">
                  <w:pPr>
                    <w:jc w:val="center"/>
                    <w:rPr>
                      <w:rFonts w:ascii="Times New Roman" w:hAnsi="Times New Roman"/>
                      <w:noProof/>
                      <w:sz w:val="24"/>
                      <w:szCs w:val="24"/>
                    </w:rPr>
                  </w:pPr>
                  <w:r w:rsidRPr="001440FF">
                    <w:rPr>
                      <w:rFonts w:ascii="Times New Roman" w:hAnsi="Times New Roman"/>
                      <w:noProof/>
                      <w:sz w:val="24"/>
                      <w:szCs w:val="24"/>
                    </w:rPr>
                    <w:t>Mato vienetas</w:t>
                  </w:r>
                </w:p>
                <w:p w14:paraId="4EE6EA30" w14:textId="77777777" w:rsidR="001440FF" w:rsidRPr="001440FF" w:rsidRDefault="001440FF" w:rsidP="001440FF">
                  <w:pPr>
                    <w:rPr>
                      <w:color w:val="4472C4"/>
                      <w:kern w:val="2"/>
                      <w:szCs w:val="24"/>
                    </w:rPr>
                  </w:pPr>
                </w:p>
              </w:tc>
              <w:tc>
                <w:tcPr>
                  <w:tcW w:w="1118" w:type="dxa"/>
                  <w:vAlign w:val="center"/>
                </w:tcPr>
                <w:p w14:paraId="0BB31A3E" w14:textId="5FD8A4DB" w:rsidR="001440FF" w:rsidRPr="001440FF" w:rsidRDefault="001440FF" w:rsidP="001440FF">
                  <w:pPr>
                    <w:jc w:val="center"/>
                    <w:rPr>
                      <w:color w:val="4472C4"/>
                      <w:kern w:val="2"/>
                      <w:szCs w:val="24"/>
                    </w:rPr>
                  </w:pPr>
                  <w:r w:rsidRPr="001440FF">
                    <w:rPr>
                      <w:rFonts w:ascii="Times New Roman" w:hAnsi="Times New Roman"/>
                      <w:noProof/>
                      <w:sz w:val="24"/>
                      <w:szCs w:val="24"/>
                    </w:rPr>
                    <w:t>Preliminarus mato vieneto kiekis</w:t>
                  </w:r>
                  <w:r w:rsidRPr="001440FF">
                    <w:rPr>
                      <w:rStyle w:val="Puslapioinaosnuoroda"/>
                      <w:rFonts w:ascii="Times New Roman" w:hAnsi="Times New Roman"/>
                      <w:noProof/>
                      <w:sz w:val="24"/>
                      <w:szCs w:val="24"/>
                    </w:rPr>
                    <w:footnoteReference w:id="3"/>
                  </w:r>
                </w:p>
              </w:tc>
              <w:tc>
                <w:tcPr>
                  <w:tcW w:w="1260" w:type="dxa"/>
                  <w:vAlign w:val="center"/>
                </w:tcPr>
                <w:p w14:paraId="71027817" w14:textId="3FD061F2" w:rsidR="001440FF" w:rsidRPr="001440FF" w:rsidRDefault="001440FF" w:rsidP="001440FF">
                  <w:pPr>
                    <w:jc w:val="center"/>
                    <w:rPr>
                      <w:color w:val="4472C4"/>
                      <w:kern w:val="2"/>
                      <w:szCs w:val="24"/>
                    </w:rPr>
                  </w:pPr>
                  <w:r w:rsidRPr="001440FF">
                    <w:rPr>
                      <w:rFonts w:ascii="Times New Roman" w:hAnsi="Times New Roman"/>
                      <w:noProof/>
                      <w:sz w:val="24"/>
                      <w:szCs w:val="24"/>
                    </w:rPr>
                    <w:t>Paslaugos teikimo laikotarpis (mėn.)</w:t>
                  </w:r>
                </w:p>
              </w:tc>
              <w:tc>
                <w:tcPr>
                  <w:tcW w:w="1260" w:type="dxa"/>
                  <w:vAlign w:val="center"/>
                </w:tcPr>
                <w:p w14:paraId="73232936" w14:textId="18E16045" w:rsidR="001440FF" w:rsidRPr="001440FF" w:rsidRDefault="001440FF" w:rsidP="001440FF">
                  <w:pPr>
                    <w:jc w:val="center"/>
                    <w:rPr>
                      <w:color w:val="4472C4"/>
                      <w:kern w:val="2"/>
                      <w:szCs w:val="24"/>
                    </w:rPr>
                  </w:pPr>
                  <w:r w:rsidRPr="001440FF">
                    <w:rPr>
                      <w:rFonts w:ascii="Times New Roman" w:hAnsi="Times New Roman"/>
                      <w:noProof/>
                      <w:sz w:val="24"/>
                      <w:szCs w:val="24"/>
                    </w:rPr>
                    <w:t xml:space="preserve">Paslaugos įkainis už mato vienetą </w:t>
                  </w:r>
                  <w:r w:rsidRPr="001440FF">
                    <w:rPr>
                      <w:rFonts w:ascii="Times New Roman" w:hAnsi="Times New Roman"/>
                      <w:noProof/>
                      <w:sz w:val="24"/>
                      <w:szCs w:val="24"/>
                      <w:lang w:val="en-US"/>
                    </w:rPr>
                    <w:t xml:space="preserve">1 </w:t>
                  </w:r>
                  <w:r w:rsidRPr="001440FF">
                    <w:rPr>
                      <w:rFonts w:ascii="Times New Roman" w:hAnsi="Times New Roman"/>
                      <w:noProof/>
                      <w:sz w:val="24"/>
                      <w:szCs w:val="24"/>
                    </w:rPr>
                    <w:t>mėnesio laikotarpiui EUR be PVM</w:t>
                  </w:r>
                </w:p>
              </w:tc>
            </w:tr>
            <w:tr w:rsidR="001440FF" w:rsidRPr="001440FF" w14:paraId="3ACC639C" w14:textId="77777777" w:rsidTr="009C1B70">
              <w:tc>
                <w:tcPr>
                  <w:tcW w:w="965" w:type="dxa"/>
                  <w:vAlign w:val="center"/>
                </w:tcPr>
                <w:p w14:paraId="06C96E7C" w14:textId="77777777" w:rsidR="001440FF" w:rsidRPr="001440FF" w:rsidRDefault="001440FF" w:rsidP="001440FF">
                  <w:pPr>
                    <w:rPr>
                      <w:rFonts w:ascii="Times New Roman" w:hAnsi="Times New Roman"/>
                      <w:i/>
                      <w:kern w:val="2"/>
                      <w:szCs w:val="24"/>
                    </w:rPr>
                  </w:pPr>
                  <w:r w:rsidRPr="001440FF">
                    <w:rPr>
                      <w:rFonts w:ascii="Times New Roman" w:hAnsi="Times New Roman"/>
                      <w:i/>
                      <w:noProof/>
                    </w:rPr>
                    <w:t>(1)</w:t>
                  </w:r>
                </w:p>
              </w:tc>
              <w:tc>
                <w:tcPr>
                  <w:tcW w:w="1842" w:type="dxa"/>
                  <w:vAlign w:val="center"/>
                </w:tcPr>
                <w:p w14:paraId="78A03F0B" w14:textId="77777777" w:rsidR="001440FF" w:rsidRPr="001440FF" w:rsidRDefault="001440FF" w:rsidP="001440FF">
                  <w:pPr>
                    <w:rPr>
                      <w:rFonts w:ascii="Times New Roman" w:hAnsi="Times New Roman"/>
                      <w:i/>
                      <w:kern w:val="2"/>
                      <w:szCs w:val="24"/>
                    </w:rPr>
                  </w:pPr>
                  <w:r w:rsidRPr="001440FF">
                    <w:rPr>
                      <w:rFonts w:ascii="Times New Roman" w:hAnsi="Times New Roman"/>
                      <w:i/>
                      <w:noProof/>
                    </w:rPr>
                    <w:t>(2)</w:t>
                  </w:r>
                </w:p>
              </w:tc>
              <w:tc>
                <w:tcPr>
                  <w:tcW w:w="1270" w:type="dxa"/>
                  <w:vAlign w:val="center"/>
                </w:tcPr>
                <w:p w14:paraId="369F8B72" w14:textId="77777777" w:rsidR="001440FF" w:rsidRPr="001440FF" w:rsidRDefault="001440FF" w:rsidP="001440FF">
                  <w:pPr>
                    <w:rPr>
                      <w:rFonts w:ascii="Times New Roman" w:hAnsi="Times New Roman"/>
                      <w:i/>
                      <w:kern w:val="2"/>
                      <w:szCs w:val="24"/>
                    </w:rPr>
                  </w:pPr>
                  <w:r w:rsidRPr="001440FF">
                    <w:rPr>
                      <w:rFonts w:ascii="Times New Roman" w:hAnsi="Times New Roman"/>
                      <w:i/>
                      <w:noProof/>
                    </w:rPr>
                    <w:t>(3)</w:t>
                  </w:r>
                </w:p>
              </w:tc>
              <w:tc>
                <w:tcPr>
                  <w:tcW w:w="1118" w:type="dxa"/>
                  <w:vAlign w:val="center"/>
                </w:tcPr>
                <w:p w14:paraId="21B57766" w14:textId="77777777" w:rsidR="001440FF" w:rsidRPr="001440FF" w:rsidRDefault="001440FF" w:rsidP="001440FF">
                  <w:pPr>
                    <w:rPr>
                      <w:rFonts w:ascii="Times New Roman" w:hAnsi="Times New Roman"/>
                      <w:i/>
                      <w:kern w:val="2"/>
                      <w:szCs w:val="24"/>
                    </w:rPr>
                  </w:pPr>
                  <w:r w:rsidRPr="001440FF">
                    <w:rPr>
                      <w:rFonts w:ascii="Times New Roman" w:hAnsi="Times New Roman"/>
                      <w:i/>
                      <w:noProof/>
                      <w:lang w:val="en-US"/>
                    </w:rPr>
                    <w:t>(4)</w:t>
                  </w:r>
                </w:p>
              </w:tc>
              <w:tc>
                <w:tcPr>
                  <w:tcW w:w="1260" w:type="dxa"/>
                </w:tcPr>
                <w:p w14:paraId="49B23582" w14:textId="77777777" w:rsidR="001440FF" w:rsidRPr="001440FF" w:rsidRDefault="001440FF" w:rsidP="001440FF">
                  <w:pPr>
                    <w:rPr>
                      <w:rFonts w:ascii="Times New Roman" w:hAnsi="Times New Roman"/>
                      <w:i/>
                      <w:kern w:val="2"/>
                      <w:szCs w:val="24"/>
                    </w:rPr>
                  </w:pPr>
                  <w:r w:rsidRPr="001440FF">
                    <w:rPr>
                      <w:rFonts w:ascii="Times New Roman" w:hAnsi="Times New Roman"/>
                      <w:i/>
                      <w:kern w:val="2"/>
                      <w:szCs w:val="24"/>
                    </w:rPr>
                    <w:t>(5)</w:t>
                  </w:r>
                </w:p>
              </w:tc>
              <w:tc>
                <w:tcPr>
                  <w:tcW w:w="1260" w:type="dxa"/>
                </w:tcPr>
                <w:p w14:paraId="54BB9192" w14:textId="77777777" w:rsidR="001440FF" w:rsidRPr="001440FF" w:rsidRDefault="001440FF" w:rsidP="001440FF">
                  <w:pPr>
                    <w:rPr>
                      <w:rFonts w:ascii="Times New Roman" w:hAnsi="Times New Roman"/>
                      <w:i/>
                      <w:kern w:val="2"/>
                      <w:szCs w:val="24"/>
                    </w:rPr>
                  </w:pPr>
                  <w:r w:rsidRPr="001440FF">
                    <w:rPr>
                      <w:rFonts w:ascii="Times New Roman" w:hAnsi="Times New Roman"/>
                      <w:i/>
                      <w:kern w:val="2"/>
                      <w:szCs w:val="24"/>
                    </w:rPr>
                    <w:t>(6)</w:t>
                  </w:r>
                </w:p>
              </w:tc>
            </w:tr>
            <w:tr w:rsidR="009A08F9" w14:paraId="03C5A140" w14:textId="77777777" w:rsidTr="009C1B70">
              <w:tc>
                <w:tcPr>
                  <w:tcW w:w="965" w:type="dxa"/>
                  <w:vAlign w:val="center"/>
                </w:tcPr>
                <w:p w14:paraId="4E161BC8" w14:textId="0B80E0AC" w:rsidR="009A08F9" w:rsidRDefault="009A08F9" w:rsidP="009A08F9">
                  <w:pPr>
                    <w:rPr>
                      <w:color w:val="4472C4"/>
                      <w:kern w:val="2"/>
                      <w:szCs w:val="24"/>
                    </w:rPr>
                  </w:pPr>
                  <w:r>
                    <w:rPr>
                      <w:rFonts w:ascii="Times New Roman" w:hAnsi="Times New Roman"/>
                      <w:iCs/>
                      <w:sz w:val="24"/>
                      <w:szCs w:val="24"/>
                      <w:lang w:val="en-US" w:eastAsia="ar-SA"/>
                    </w:rPr>
                    <w:t>5.2.2.1</w:t>
                  </w:r>
                </w:p>
              </w:tc>
              <w:tc>
                <w:tcPr>
                  <w:tcW w:w="1842" w:type="dxa"/>
                  <w:vAlign w:val="center"/>
                </w:tcPr>
                <w:p w14:paraId="2FE13A7D" w14:textId="77777777" w:rsidR="009A08F9" w:rsidRDefault="009A08F9" w:rsidP="009A08F9">
                  <w:pPr>
                    <w:autoSpaceDN w:val="0"/>
                    <w:jc w:val="both"/>
                    <w:textAlignment w:val="baseline"/>
                    <w:rPr>
                      <w:rFonts w:ascii="Times New Roman" w:hAnsi="Times New Roman"/>
                      <w:noProof/>
                      <w:sz w:val="24"/>
                      <w:szCs w:val="24"/>
                    </w:rPr>
                  </w:pPr>
                  <w:r w:rsidRPr="00B4056C">
                    <w:rPr>
                      <w:rFonts w:ascii="Times New Roman" w:hAnsi="Times New Roman"/>
                      <w:noProof/>
                      <w:sz w:val="24"/>
                      <w:szCs w:val="24"/>
                    </w:rPr>
                    <w:t>Judriojo telefono ryšio paslaugos</w:t>
                  </w:r>
                </w:p>
                <w:p w14:paraId="4134A5C4" w14:textId="0AD66A9A" w:rsidR="009A08F9" w:rsidRDefault="009A08F9" w:rsidP="009A08F9">
                  <w:pPr>
                    <w:rPr>
                      <w:color w:val="4472C4"/>
                      <w:kern w:val="2"/>
                      <w:szCs w:val="24"/>
                    </w:rPr>
                  </w:pPr>
                </w:p>
              </w:tc>
              <w:tc>
                <w:tcPr>
                  <w:tcW w:w="1270" w:type="dxa"/>
                  <w:vAlign w:val="center"/>
                </w:tcPr>
                <w:p w14:paraId="1BC82F71" w14:textId="6E8D93FD" w:rsidR="009A08F9" w:rsidRDefault="009A08F9" w:rsidP="009A08F9">
                  <w:pPr>
                    <w:rPr>
                      <w:color w:val="4472C4"/>
                      <w:kern w:val="2"/>
                      <w:szCs w:val="24"/>
                    </w:rPr>
                  </w:pPr>
                  <w:r>
                    <w:rPr>
                      <w:rFonts w:ascii="Times New Roman" w:hAnsi="Times New Roman"/>
                      <w:noProof/>
                      <w:sz w:val="24"/>
                      <w:szCs w:val="24"/>
                      <w:lang w:val="en-US"/>
                    </w:rPr>
                    <w:t>abonentas</w:t>
                  </w:r>
                </w:p>
              </w:tc>
              <w:tc>
                <w:tcPr>
                  <w:tcW w:w="1118" w:type="dxa"/>
                  <w:vAlign w:val="center"/>
                </w:tcPr>
                <w:p w14:paraId="69D0B05B" w14:textId="48735529" w:rsidR="009A08F9" w:rsidRDefault="009A08F9" w:rsidP="00675CFC">
                  <w:pPr>
                    <w:jc w:val="center"/>
                    <w:rPr>
                      <w:color w:val="4472C4"/>
                      <w:kern w:val="2"/>
                      <w:szCs w:val="24"/>
                    </w:rPr>
                  </w:pPr>
                  <w:r>
                    <w:rPr>
                      <w:rFonts w:ascii="Times New Roman" w:hAnsi="Times New Roman"/>
                      <w:noProof/>
                      <w:sz w:val="24"/>
                      <w:szCs w:val="24"/>
                      <w:lang w:val="en-US"/>
                    </w:rPr>
                    <w:t>205</w:t>
                  </w:r>
                </w:p>
              </w:tc>
              <w:tc>
                <w:tcPr>
                  <w:tcW w:w="1260" w:type="dxa"/>
                  <w:vAlign w:val="center"/>
                </w:tcPr>
                <w:p w14:paraId="060A76A4" w14:textId="0B96D04D" w:rsidR="009A08F9" w:rsidRDefault="009A08F9" w:rsidP="00675CFC">
                  <w:pPr>
                    <w:jc w:val="center"/>
                    <w:rPr>
                      <w:color w:val="4472C4"/>
                      <w:kern w:val="2"/>
                      <w:szCs w:val="24"/>
                    </w:rPr>
                  </w:pPr>
                  <w:r>
                    <w:rPr>
                      <w:rFonts w:ascii="Times New Roman" w:hAnsi="Times New Roman"/>
                      <w:noProof/>
                      <w:sz w:val="24"/>
                      <w:szCs w:val="24"/>
                    </w:rPr>
                    <w:t>36</w:t>
                  </w:r>
                </w:p>
              </w:tc>
              <w:tc>
                <w:tcPr>
                  <w:tcW w:w="1260" w:type="dxa"/>
                </w:tcPr>
                <w:p w14:paraId="5A76346A" w14:textId="77777777" w:rsidR="009A08F9" w:rsidRDefault="009A08F9" w:rsidP="009A08F9">
                  <w:pPr>
                    <w:rPr>
                      <w:color w:val="4472C4"/>
                      <w:kern w:val="2"/>
                      <w:szCs w:val="24"/>
                    </w:rPr>
                  </w:pPr>
                </w:p>
              </w:tc>
            </w:tr>
          </w:tbl>
          <w:p w14:paraId="55933CED" w14:textId="77777777" w:rsidR="001440FF" w:rsidRDefault="001440FF" w:rsidP="004F3C9F">
            <w:pPr>
              <w:jc w:val="both"/>
              <w:rPr>
                <w:kern w:val="2"/>
                <w:szCs w:val="24"/>
              </w:rPr>
            </w:pPr>
          </w:p>
          <w:p w14:paraId="5F564BFA" w14:textId="79E598BA" w:rsidR="009A08F9" w:rsidRDefault="009A08F9" w:rsidP="009A08F9">
            <w:pPr>
              <w:jc w:val="both"/>
              <w:rPr>
                <w:kern w:val="2"/>
                <w:szCs w:val="24"/>
              </w:rPr>
            </w:pPr>
            <w:r>
              <w:rPr>
                <w:kern w:val="2"/>
                <w:szCs w:val="24"/>
              </w:rPr>
              <w:t>5.2.3. Fiksuoto įkainio kainodara:</w:t>
            </w:r>
          </w:p>
          <w:tbl>
            <w:tblPr>
              <w:tblStyle w:val="Lentelstinklelis"/>
              <w:tblW w:w="7625" w:type="dxa"/>
              <w:tblLayout w:type="fixed"/>
              <w:tblLook w:val="04A0" w:firstRow="1" w:lastRow="0" w:firstColumn="1" w:lastColumn="0" w:noHBand="0" w:noVBand="1"/>
            </w:tblPr>
            <w:tblGrid>
              <w:gridCol w:w="936"/>
              <w:gridCol w:w="2009"/>
              <w:gridCol w:w="990"/>
              <w:gridCol w:w="1260"/>
              <w:gridCol w:w="1260"/>
              <w:gridCol w:w="1170"/>
            </w:tblGrid>
            <w:tr w:rsidR="009A08F9" w:rsidRPr="001440FF" w14:paraId="4443E53D" w14:textId="77777777" w:rsidTr="009C1B70">
              <w:tc>
                <w:tcPr>
                  <w:tcW w:w="936" w:type="dxa"/>
                  <w:vAlign w:val="center"/>
                </w:tcPr>
                <w:p w14:paraId="0CAD9356" w14:textId="5251C6A3" w:rsidR="009A08F9" w:rsidRPr="009A08F9" w:rsidRDefault="009A08F9" w:rsidP="009A08F9">
                  <w:pPr>
                    <w:rPr>
                      <w:color w:val="4472C4"/>
                      <w:kern w:val="2"/>
                      <w:szCs w:val="24"/>
                    </w:rPr>
                  </w:pPr>
                  <w:r w:rsidRPr="009A08F9">
                    <w:rPr>
                      <w:rFonts w:ascii="Times New Roman" w:hAnsi="Times New Roman"/>
                      <w:noProof/>
                      <w:sz w:val="24"/>
                      <w:szCs w:val="24"/>
                    </w:rPr>
                    <w:t>Eil. Nr.</w:t>
                  </w:r>
                </w:p>
              </w:tc>
              <w:tc>
                <w:tcPr>
                  <w:tcW w:w="2009" w:type="dxa"/>
                  <w:vAlign w:val="center"/>
                </w:tcPr>
                <w:p w14:paraId="79F9F1BA" w14:textId="39F97D9B" w:rsidR="009A08F9" w:rsidRPr="009A08F9" w:rsidRDefault="009A08F9" w:rsidP="009A08F9">
                  <w:pPr>
                    <w:jc w:val="center"/>
                    <w:rPr>
                      <w:color w:val="4472C4"/>
                      <w:kern w:val="2"/>
                      <w:szCs w:val="24"/>
                    </w:rPr>
                  </w:pPr>
                  <w:r w:rsidRPr="009A08F9">
                    <w:rPr>
                      <w:rFonts w:ascii="Times New Roman" w:hAnsi="Times New Roman"/>
                      <w:noProof/>
                      <w:sz w:val="24"/>
                      <w:szCs w:val="24"/>
                    </w:rPr>
                    <w:t>Paslaugų pavadinimas</w:t>
                  </w:r>
                </w:p>
              </w:tc>
              <w:tc>
                <w:tcPr>
                  <w:tcW w:w="990" w:type="dxa"/>
                  <w:vAlign w:val="center"/>
                </w:tcPr>
                <w:p w14:paraId="335475F5" w14:textId="77777777" w:rsidR="009A08F9" w:rsidRPr="009A08F9" w:rsidRDefault="009A08F9" w:rsidP="009A08F9">
                  <w:pPr>
                    <w:jc w:val="center"/>
                    <w:rPr>
                      <w:rFonts w:ascii="Times New Roman" w:hAnsi="Times New Roman"/>
                      <w:noProof/>
                      <w:sz w:val="24"/>
                      <w:szCs w:val="24"/>
                    </w:rPr>
                  </w:pPr>
                  <w:r w:rsidRPr="009A08F9">
                    <w:rPr>
                      <w:rFonts w:ascii="Times New Roman" w:hAnsi="Times New Roman"/>
                      <w:noProof/>
                      <w:sz w:val="24"/>
                      <w:szCs w:val="24"/>
                    </w:rPr>
                    <w:t>Mato vienetas</w:t>
                  </w:r>
                </w:p>
                <w:p w14:paraId="23B36BFD" w14:textId="77777777" w:rsidR="009A08F9" w:rsidRPr="009A08F9" w:rsidRDefault="009A08F9" w:rsidP="009A08F9">
                  <w:pPr>
                    <w:rPr>
                      <w:color w:val="4472C4"/>
                      <w:kern w:val="2"/>
                      <w:szCs w:val="24"/>
                    </w:rPr>
                  </w:pPr>
                </w:p>
              </w:tc>
              <w:tc>
                <w:tcPr>
                  <w:tcW w:w="1260" w:type="dxa"/>
                  <w:vAlign w:val="center"/>
                </w:tcPr>
                <w:p w14:paraId="35428F7E" w14:textId="5040C196" w:rsidR="009A08F9" w:rsidRPr="009A08F9" w:rsidRDefault="009A08F9" w:rsidP="009A08F9">
                  <w:pPr>
                    <w:jc w:val="center"/>
                    <w:rPr>
                      <w:color w:val="4472C4"/>
                      <w:kern w:val="2"/>
                      <w:szCs w:val="24"/>
                    </w:rPr>
                  </w:pPr>
                  <w:r w:rsidRPr="009A08F9">
                    <w:rPr>
                      <w:rFonts w:ascii="Times New Roman" w:hAnsi="Times New Roman"/>
                      <w:noProof/>
                      <w:sz w:val="24"/>
                      <w:szCs w:val="24"/>
                    </w:rPr>
                    <w:t xml:space="preserve">Preliminarus bendras mato vieneto kiekis per </w:t>
                  </w:r>
                  <w:r w:rsidRPr="009A08F9">
                    <w:rPr>
                      <w:rFonts w:ascii="Times New Roman" w:hAnsi="Times New Roman"/>
                      <w:noProof/>
                      <w:sz w:val="24"/>
                      <w:szCs w:val="24"/>
                      <w:lang w:val="en-US"/>
                    </w:rPr>
                    <w:t>1 m</w:t>
                  </w:r>
                  <w:r w:rsidRPr="009A08F9">
                    <w:rPr>
                      <w:rFonts w:ascii="Times New Roman" w:hAnsi="Times New Roman"/>
                      <w:noProof/>
                      <w:sz w:val="24"/>
                      <w:szCs w:val="24"/>
                    </w:rPr>
                    <w:t>ėn. laikotarpį</w:t>
                  </w:r>
                  <w:r w:rsidR="00863E27">
                    <w:rPr>
                      <w:rFonts w:ascii="Times New Roman" w:hAnsi="Times New Roman"/>
                      <w:noProof/>
                      <w:sz w:val="24"/>
                      <w:szCs w:val="24"/>
                    </w:rPr>
                    <w:t xml:space="preserve"> </w:t>
                  </w:r>
                  <w:r w:rsidRPr="009A08F9">
                    <w:rPr>
                      <w:rFonts w:ascii="Times New Roman" w:hAnsi="Times New Roman"/>
                      <w:noProof/>
                      <w:sz w:val="24"/>
                      <w:szCs w:val="24"/>
                    </w:rPr>
                    <w:t>per visus abonentus</w:t>
                  </w:r>
                  <w:r w:rsidRPr="009A08F9">
                    <w:rPr>
                      <w:rFonts w:ascii="Times New Roman" w:hAnsi="Times New Roman"/>
                      <w:noProof/>
                      <w:sz w:val="24"/>
                      <w:szCs w:val="24"/>
                      <w:vertAlign w:val="superscript"/>
                    </w:rPr>
                    <w:footnoteReference w:id="4"/>
                  </w:r>
                </w:p>
              </w:tc>
              <w:tc>
                <w:tcPr>
                  <w:tcW w:w="1260" w:type="dxa"/>
                  <w:vAlign w:val="center"/>
                </w:tcPr>
                <w:p w14:paraId="5587B2A8" w14:textId="7DF6A22A" w:rsidR="009A08F9" w:rsidRPr="009A08F9" w:rsidRDefault="009A08F9" w:rsidP="009A08F9">
                  <w:pPr>
                    <w:jc w:val="center"/>
                    <w:rPr>
                      <w:color w:val="4472C4"/>
                      <w:kern w:val="2"/>
                      <w:szCs w:val="24"/>
                    </w:rPr>
                  </w:pPr>
                  <w:r w:rsidRPr="009A08F9">
                    <w:rPr>
                      <w:rFonts w:ascii="Times New Roman" w:hAnsi="Times New Roman"/>
                      <w:noProof/>
                      <w:sz w:val="24"/>
                      <w:szCs w:val="24"/>
                    </w:rPr>
                    <w:t>Paslaugos teikimo laikotarpis (mėn.)</w:t>
                  </w:r>
                </w:p>
              </w:tc>
              <w:tc>
                <w:tcPr>
                  <w:tcW w:w="1170" w:type="dxa"/>
                </w:tcPr>
                <w:p w14:paraId="51DDC7B9" w14:textId="259C52FB" w:rsidR="009A08F9" w:rsidRPr="009A08F9" w:rsidRDefault="009A08F9" w:rsidP="009A08F9">
                  <w:pPr>
                    <w:jc w:val="center"/>
                    <w:rPr>
                      <w:color w:val="4472C4"/>
                      <w:kern w:val="2"/>
                      <w:szCs w:val="24"/>
                    </w:rPr>
                  </w:pPr>
                  <w:r w:rsidRPr="009A08F9">
                    <w:rPr>
                      <w:rFonts w:ascii="Times New Roman" w:hAnsi="Times New Roman"/>
                      <w:noProof/>
                      <w:sz w:val="24"/>
                      <w:szCs w:val="24"/>
                    </w:rPr>
                    <w:t xml:space="preserve">Paslaugos įkainis už mato vienetą  </w:t>
                  </w:r>
                  <w:r w:rsidRPr="009A08F9">
                    <w:rPr>
                      <w:rFonts w:ascii="Times New Roman" w:hAnsi="Times New Roman"/>
                      <w:noProof/>
                      <w:sz w:val="24"/>
                      <w:szCs w:val="24"/>
                      <w:lang w:val="en-US"/>
                    </w:rPr>
                    <w:t>1 m</w:t>
                  </w:r>
                  <w:r w:rsidRPr="009A08F9">
                    <w:rPr>
                      <w:rFonts w:ascii="Times New Roman" w:hAnsi="Times New Roman"/>
                      <w:noProof/>
                      <w:sz w:val="24"/>
                      <w:szCs w:val="24"/>
                    </w:rPr>
                    <w:t>ėn. laikotarpiui EUR be PVM</w:t>
                  </w:r>
                </w:p>
              </w:tc>
            </w:tr>
            <w:tr w:rsidR="009A08F9" w:rsidRPr="001440FF" w14:paraId="05420491" w14:textId="77777777" w:rsidTr="009C1B70">
              <w:tc>
                <w:tcPr>
                  <w:tcW w:w="936" w:type="dxa"/>
                  <w:vAlign w:val="center"/>
                </w:tcPr>
                <w:p w14:paraId="7BBE379D" w14:textId="77777777" w:rsidR="009A08F9" w:rsidRPr="001440FF" w:rsidRDefault="009A08F9" w:rsidP="009A08F9">
                  <w:pPr>
                    <w:rPr>
                      <w:rFonts w:ascii="Times New Roman" w:hAnsi="Times New Roman"/>
                      <w:i/>
                      <w:kern w:val="2"/>
                      <w:szCs w:val="24"/>
                    </w:rPr>
                  </w:pPr>
                  <w:r w:rsidRPr="001440FF">
                    <w:rPr>
                      <w:rFonts w:ascii="Times New Roman" w:hAnsi="Times New Roman"/>
                      <w:i/>
                      <w:noProof/>
                    </w:rPr>
                    <w:t>(1)</w:t>
                  </w:r>
                </w:p>
              </w:tc>
              <w:tc>
                <w:tcPr>
                  <w:tcW w:w="2009" w:type="dxa"/>
                  <w:vAlign w:val="center"/>
                </w:tcPr>
                <w:p w14:paraId="4B6875CD" w14:textId="77777777" w:rsidR="009A08F9" w:rsidRPr="001440FF" w:rsidRDefault="009A08F9" w:rsidP="009A08F9">
                  <w:pPr>
                    <w:rPr>
                      <w:rFonts w:ascii="Times New Roman" w:hAnsi="Times New Roman"/>
                      <w:i/>
                      <w:kern w:val="2"/>
                      <w:szCs w:val="24"/>
                    </w:rPr>
                  </w:pPr>
                  <w:r w:rsidRPr="001440FF">
                    <w:rPr>
                      <w:rFonts w:ascii="Times New Roman" w:hAnsi="Times New Roman"/>
                      <w:i/>
                      <w:noProof/>
                    </w:rPr>
                    <w:t>(2)</w:t>
                  </w:r>
                </w:p>
              </w:tc>
              <w:tc>
                <w:tcPr>
                  <w:tcW w:w="990" w:type="dxa"/>
                  <w:vAlign w:val="center"/>
                </w:tcPr>
                <w:p w14:paraId="017C0561" w14:textId="77777777" w:rsidR="009A08F9" w:rsidRPr="001440FF" w:rsidRDefault="009A08F9" w:rsidP="009A08F9">
                  <w:pPr>
                    <w:rPr>
                      <w:rFonts w:ascii="Times New Roman" w:hAnsi="Times New Roman"/>
                      <w:i/>
                      <w:kern w:val="2"/>
                      <w:szCs w:val="24"/>
                    </w:rPr>
                  </w:pPr>
                  <w:r w:rsidRPr="001440FF">
                    <w:rPr>
                      <w:rFonts w:ascii="Times New Roman" w:hAnsi="Times New Roman"/>
                      <w:i/>
                      <w:noProof/>
                    </w:rPr>
                    <w:t>(3)</w:t>
                  </w:r>
                </w:p>
              </w:tc>
              <w:tc>
                <w:tcPr>
                  <w:tcW w:w="1260" w:type="dxa"/>
                  <w:vAlign w:val="center"/>
                </w:tcPr>
                <w:p w14:paraId="0DE70DCB" w14:textId="77777777" w:rsidR="009A08F9" w:rsidRPr="001440FF" w:rsidRDefault="009A08F9" w:rsidP="009A08F9">
                  <w:pPr>
                    <w:rPr>
                      <w:rFonts w:ascii="Times New Roman" w:hAnsi="Times New Roman"/>
                      <w:i/>
                      <w:kern w:val="2"/>
                      <w:szCs w:val="24"/>
                    </w:rPr>
                  </w:pPr>
                  <w:r w:rsidRPr="001440FF">
                    <w:rPr>
                      <w:rFonts w:ascii="Times New Roman" w:hAnsi="Times New Roman"/>
                      <w:i/>
                      <w:noProof/>
                      <w:lang w:val="en-US"/>
                    </w:rPr>
                    <w:t>(4)</w:t>
                  </w:r>
                </w:p>
              </w:tc>
              <w:tc>
                <w:tcPr>
                  <w:tcW w:w="1260" w:type="dxa"/>
                </w:tcPr>
                <w:p w14:paraId="7408D705" w14:textId="77777777" w:rsidR="009A08F9" w:rsidRPr="001440FF" w:rsidRDefault="009A08F9" w:rsidP="009A08F9">
                  <w:pPr>
                    <w:rPr>
                      <w:rFonts w:ascii="Times New Roman" w:hAnsi="Times New Roman"/>
                      <w:i/>
                      <w:kern w:val="2"/>
                      <w:szCs w:val="24"/>
                    </w:rPr>
                  </w:pPr>
                  <w:r w:rsidRPr="001440FF">
                    <w:rPr>
                      <w:rFonts w:ascii="Times New Roman" w:hAnsi="Times New Roman"/>
                      <w:i/>
                      <w:kern w:val="2"/>
                      <w:szCs w:val="24"/>
                    </w:rPr>
                    <w:t>(5)</w:t>
                  </w:r>
                </w:p>
              </w:tc>
              <w:tc>
                <w:tcPr>
                  <w:tcW w:w="1170" w:type="dxa"/>
                </w:tcPr>
                <w:p w14:paraId="122DE1F4" w14:textId="77777777" w:rsidR="009A08F9" w:rsidRPr="001440FF" w:rsidRDefault="009A08F9" w:rsidP="009A08F9">
                  <w:pPr>
                    <w:rPr>
                      <w:rFonts w:ascii="Times New Roman" w:hAnsi="Times New Roman"/>
                      <w:i/>
                      <w:kern w:val="2"/>
                      <w:szCs w:val="24"/>
                    </w:rPr>
                  </w:pPr>
                  <w:r w:rsidRPr="001440FF">
                    <w:rPr>
                      <w:rFonts w:ascii="Times New Roman" w:hAnsi="Times New Roman"/>
                      <w:i/>
                      <w:kern w:val="2"/>
                      <w:szCs w:val="24"/>
                    </w:rPr>
                    <w:t>(6)</w:t>
                  </w:r>
                </w:p>
              </w:tc>
            </w:tr>
            <w:tr w:rsidR="009A08F9" w14:paraId="642C11EE" w14:textId="77777777" w:rsidTr="009C1B70">
              <w:tc>
                <w:tcPr>
                  <w:tcW w:w="936" w:type="dxa"/>
                  <w:vAlign w:val="center"/>
                </w:tcPr>
                <w:p w14:paraId="50B5E79F" w14:textId="75DB7F70" w:rsidR="009A08F9" w:rsidRDefault="009A08F9" w:rsidP="00675CFC">
                  <w:pPr>
                    <w:jc w:val="center"/>
                    <w:rPr>
                      <w:color w:val="4472C4"/>
                      <w:kern w:val="2"/>
                      <w:szCs w:val="24"/>
                    </w:rPr>
                  </w:pPr>
                  <w:r>
                    <w:rPr>
                      <w:rFonts w:ascii="Times New Roman" w:hAnsi="Times New Roman"/>
                      <w:iCs/>
                      <w:sz w:val="24"/>
                      <w:szCs w:val="24"/>
                      <w:lang w:val="en-US" w:eastAsia="ar-SA"/>
                    </w:rPr>
                    <w:t>5.2.3.1</w:t>
                  </w:r>
                </w:p>
              </w:tc>
              <w:tc>
                <w:tcPr>
                  <w:tcW w:w="2009" w:type="dxa"/>
                  <w:vAlign w:val="center"/>
                </w:tcPr>
                <w:p w14:paraId="6CC71A83" w14:textId="01ACF1FC" w:rsidR="009A08F9" w:rsidRDefault="009A08F9" w:rsidP="00675CFC">
                  <w:pPr>
                    <w:jc w:val="center"/>
                    <w:rPr>
                      <w:color w:val="4472C4"/>
                      <w:kern w:val="2"/>
                      <w:szCs w:val="24"/>
                    </w:rPr>
                  </w:pPr>
                  <w:r>
                    <w:rPr>
                      <w:rFonts w:ascii="Times New Roman" w:hAnsi="Times New Roman"/>
                      <w:bCs/>
                      <w:sz w:val="24"/>
                      <w:szCs w:val="24"/>
                    </w:rPr>
                    <w:t>Balso pašto paslauga</w:t>
                  </w:r>
                </w:p>
              </w:tc>
              <w:tc>
                <w:tcPr>
                  <w:tcW w:w="990" w:type="dxa"/>
                  <w:vAlign w:val="center"/>
                </w:tcPr>
                <w:p w14:paraId="2D50FD51" w14:textId="3159F6A5" w:rsidR="009A08F9" w:rsidRDefault="009A08F9" w:rsidP="00675CFC">
                  <w:pPr>
                    <w:jc w:val="center"/>
                    <w:rPr>
                      <w:color w:val="4472C4"/>
                      <w:kern w:val="2"/>
                      <w:szCs w:val="24"/>
                    </w:rPr>
                  </w:pPr>
                  <w:r>
                    <w:rPr>
                      <w:rFonts w:ascii="Times New Roman" w:hAnsi="Times New Roman"/>
                      <w:noProof/>
                      <w:sz w:val="24"/>
                      <w:szCs w:val="24"/>
                      <w:lang w:val="en-US"/>
                    </w:rPr>
                    <w:t>vnt.</w:t>
                  </w:r>
                </w:p>
              </w:tc>
              <w:tc>
                <w:tcPr>
                  <w:tcW w:w="1260" w:type="dxa"/>
                  <w:vAlign w:val="center"/>
                </w:tcPr>
                <w:p w14:paraId="1712CB4B" w14:textId="40CC2CDA" w:rsidR="009A08F9" w:rsidRDefault="009A08F9" w:rsidP="00675CFC">
                  <w:pPr>
                    <w:jc w:val="center"/>
                    <w:rPr>
                      <w:color w:val="4472C4"/>
                      <w:kern w:val="2"/>
                      <w:szCs w:val="24"/>
                    </w:rPr>
                  </w:pPr>
                  <w:r>
                    <w:rPr>
                      <w:rFonts w:ascii="Times New Roman" w:hAnsi="Times New Roman"/>
                      <w:noProof/>
                      <w:sz w:val="24"/>
                      <w:szCs w:val="24"/>
                    </w:rPr>
                    <w:t>5</w:t>
                  </w:r>
                </w:p>
              </w:tc>
              <w:tc>
                <w:tcPr>
                  <w:tcW w:w="1260" w:type="dxa"/>
                  <w:vAlign w:val="center"/>
                </w:tcPr>
                <w:p w14:paraId="470DBEEF" w14:textId="2EC694EF" w:rsidR="009A08F9" w:rsidRDefault="009A08F9" w:rsidP="00675CFC">
                  <w:pPr>
                    <w:jc w:val="center"/>
                    <w:rPr>
                      <w:color w:val="4472C4"/>
                      <w:kern w:val="2"/>
                      <w:szCs w:val="24"/>
                    </w:rPr>
                  </w:pPr>
                  <w:r>
                    <w:rPr>
                      <w:rFonts w:ascii="Times New Roman" w:hAnsi="Times New Roman"/>
                      <w:noProof/>
                      <w:sz w:val="24"/>
                      <w:szCs w:val="24"/>
                      <w:lang w:val="en-US"/>
                    </w:rPr>
                    <w:t>36</w:t>
                  </w:r>
                </w:p>
              </w:tc>
              <w:tc>
                <w:tcPr>
                  <w:tcW w:w="1170" w:type="dxa"/>
                </w:tcPr>
                <w:p w14:paraId="7562A39F" w14:textId="77777777" w:rsidR="009A08F9" w:rsidRDefault="009A08F9" w:rsidP="009A08F9">
                  <w:pPr>
                    <w:rPr>
                      <w:color w:val="4472C4"/>
                      <w:kern w:val="2"/>
                      <w:szCs w:val="24"/>
                    </w:rPr>
                  </w:pPr>
                </w:p>
              </w:tc>
            </w:tr>
            <w:tr w:rsidR="009A08F9" w14:paraId="499B7EBE" w14:textId="77777777" w:rsidTr="009C1B70">
              <w:tc>
                <w:tcPr>
                  <w:tcW w:w="936" w:type="dxa"/>
                  <w:vAlign w:val="center"/>
                </w:tcPr>
                <w:p w14:paraId="63B4F063" w14:textId="62CC0033" w:rsidR="009A08F9" w:rsidRPr="009A08F9" w:rsidRDefault="009A08F9" w:rsidP="00675CFC">
                  <w:pPr>
                    <w:jc w:val="center"/>
                    <w:rPr>
                      <w:rFonts w:ascii="Times New Roman" w:hAnsi="Times New Roman"/>
                      <w:iCs/>
                      <w:sz w:val="24"/>
                      <w:szCs w:val="24"/>
                      <w:lang w:val="en-US" w:eastAsia="ar-SA"/>
                    </w:rPr>
                  </w:pPr>
                  <w:r w:rsidRPr="009A08F9">
                    <w:rPr>
                      <w:rFonts w:ascii="Times New Roman" w:hAnsi="Times New Roman"/>
                      <w:iCs/>
                      <w:sz w:val="24"/>
                      <w:szCs w:val="24"/>
                      <w:lang w:val="en-US" w:eastAsia="ar-SA"/>
                    </w:rPr>
                    <w:t>5.2.3.2.</w:t>
                  </w:r>
                </w:p>
              </w:tc>
              <w:tc>
                <w:tcPr>
                  <w:tcW w:w="2009" w:type="dxa"/>
                  <w:vAlign w:val="center"/>
                </w:tcPr>
                <w:p w14:paraId="2F76ED84" w14:textId="134C4FF2" w:rsidR="009A08F9" w:rsidRPr="00B4056C" w:rsidRDefault="009A08F9" w:rsidP="00675CFC">
                  <w:pPr>
                    <w:autoSpaceDN w:val="0"/>
                    <w:jc w:val="center"/>
                    <w:textAlignment w:val="baseline"/>
                    <w:rPr>
                      <w:noProof/>
                      <w:szCs w:val="24"/>
                    </w:rPr>
                  </w:pPr>
                  <w:r w:rsidRPr="00DD3583">
                    <w:rPr>
                      <w:rFonts w:ascii="Times New Roman" w:hAnsi="Times New Roman"/>
                      <w:bCs/>
                      <w:sz w:val="24"/>
                      <w:szCs w:val="24"/>
                    </w:rPr>
                    <w:t>Papildomas duomenų perdavim</w:t>
                  </w:r>
                  <w:r>
                    <w:rPr>
                      <w:rFonts w:ascii="Times New Roman" w:hAnsi="Times New Roman"/>
                      <w:bCs/>
                      <w:sz w:val="24"/>
                      <w:szCs w:val="24"/>
                    </w:rPr>
                    <w:t>o</w:t>
                  </w:r>
                  <w:r w:rsidRPr="00DD3583">
                    <w:rPr>
                      <w:rFonts w:ascii="Times New Roman" w:hAnsi="Times New Roman"/>
                      <w:bCs/>
                      <w:sz w:val="24"/>
                      <w:szCs w:val="24"/>
                    </w:rPr>
                    <w:t xml:space="preserve"> </w:t>
                  </w:r>
                  <w:r w:rsidRPr="009A08F9">
                    <w:rPr>
                      <w:rFonts w:ascii="Times New Roman" w:hAnsi="Times New Roman"/>
                      <w:sz w:val="24"/>
                      <w:szCs w:val="24"/>
                    </w:rPr>
                    <w:t>ES valstybėse</w:t>
                  </w:r>
                  <w:r w:rsidRPr="00DD3583">
                    <w:rPr>
                      <w:rFonts w:ascii="Times New Roman" w:hAnsi="Times New Roman"/>
                      <w:bCs/>
                      <w:sz w:val="24"/>
                      <w:szCs w:val="24"/>
                    </w:rPr>
                    <w:t xml:space="preserve"> ir Europos ekonominės erdvės valstybėse paslaugos (internetas telefone)</w:t>
                  </w:r>
                  <w:r>
                    <w:rPr>
                      <w:rFonts w:ascii="Times New Roman" w:hAnsi="Times New Roman"/>
                      <w:bCs/>
                      <w:sz w:val="24"/>
                      <w:szCs w:val="24"/>
                    </w:rPr>
                    <w:t xml:space="preserve">, </w:t>
                  </w:r>
                  <w:r w:rsidRPr="00213F5A">
                    <w:rPr>
                      <w:rFonts w:ascii="Times New Roman" w:hAnsi="Times New Roman"/>
                      <w:bCs/>
                      <w:sz w:val="24"/>
                      <w:szCs w:val="24"/>
                    </w:rPr>
                    <w:t xml:space="preserve">kai išnaudojamas abonentui skirtas </w:t>
                  </w:r>
                  <w:r w:rsidRPr="00213F5A">
                    <w:rPr>
                      <w:rFonts w:ascii="Times New Roman" w:hAnsi="Times New Roman"/>
                      <w:bCs/>
                      <w:sz w:val="24"/>
                      <w:szCs w:val="24"/>
                    </w:rPr>
                    <w:lastRenderedPageBreak/>
                    <w:t>5 GB limitas (t. y. jį viršijus)</w:t>
                  </w:r>
                </w:p>
              </w:tc>
              <w:tc>
                <w:tcPr>
                  <w:tcW w:w="990" w:type="dxa"/>
                  <w:vAlign w:val="center"/>
                </w:tcPr>
                <w:p w14:paraId="0082BBD8" w14:textId="71A3B673" w:rsidR="009A08F9" w:rsidRDefault="009A08F9" w:rsidP="00675CFC">
                  <w:pPr>
                    <w:jc w:val="center"/>
                    <w:rPr>
                      <w:noProof/>
                      <w:szCs w:val="24"/>
                      <w:lang w:val="en-US"/>
                    </w:rPr>
                  </w:pPr>
                  <w:r>
                    <w:rPr>
                      <w:rFonts w:ascii="Times New Roman" w:hAnsi="Times New Roman"/>
                      <w:noProof/>
                      <w:sz w:val="24"/>
                      <w:szCs w:val="24"/>
                      <w:lang w:val="en-US"/>
                    </w:rPr>
                    <w:lastRenderedPageBreak/>
                    <w:t>GB</w:t>
                  </w:r>
                </w:p>
              </w:tc>
              <w:tc>
                <w:tcPr>
                  <w:tcW w:w="1260" w:type="dxa"/>
                  <w:vAlign w:val="center"/>
                </w:tcPr>
                <w:p w14:paraId="326D0D9C" w14:textId="309B5B2E" w:rsidR="009A08F9" w:rsidRDefault="009A08F9" w:rsidP="00675CFC">
                  <w:pPr>
                    <w:jc w:val="center"/>
                    <w:rPr>
                      <w:noProof/>
                      <w:szCs w:val="24"/>
                      <w:lang w:val="en-US"/>
                    </w:rPr>
                  </w:pPr>
                  <w:r>
                    <w:rPr>
                      <w:rFonts w:ascii="Times New Roman" w:hAnsi="Times New Roman"/>
                      <w:noProof/>
                      <w:sz w:val="24"/>
                      <w:szCs w:val="24"/>
                      <w:lang w:val="en-US"/>
                    </w:rPr>
                    <w:t>15</w:t>
                  </w:r>
                </w:p>
              </w:tc>
              <w:tc>
                <w:tcPr>
                  <w:tcW w:w="1260" w:type="dxa"/>
                  <w:vAlign w:val="center"/>
                </w:tcPr>
                <w:p w14:paraId="1CAFDFBC" w14:textId="5305C1DC" w:rsidR="009A08F9" w:rsidRDefault="009A08F9" w:rsidP="00675CFC">
                  <w:pPr>
                    <w:jc w:val="center"/>
                    <w:rPr>
                      <w:noProof/>
                      <w:szCs w:val="24"/>
                    </w:rPr>
                  </w:pPr>
                  <w:r>
                    <w:rPr>
                      <w:rFonts w:ascii="Times New Roman" w:hAnsi="Times New Roman"/>
                      <w:noProof/>
                      <w:sz w:val="24"/>
                      <w:szCs w:val="24"/>
                      <w:lang w:val="en-US"/>
                    </w:rPr>
                    <w:t>36</w:t>
                  </w:r>
                </w:p>
              </w:tc>
              <w:tc>
                <w:tcPr>
                  <w:tcW w:w="1170" w:type="dxa"/>
                </w:tcPr>
                <w:p w14:paraId="2226E7E8" w14:textId="77777777" w:rsidR="009A08F9" w:rsidRDefault="009A08F9" w:rsidP="009A08F9">
                  <w:pPr>
                    <w:rPr>
                      <w:color w:val="4472C4"/>
                      <w:kern w:val="2"/>
                      <w:szCs w:val="24"/>
                    </w:rPr>
                  </w:pPr>
                </w:p>
              </w:tc>
            </w:tr>
            <w:tr w:rsidR="009A08F9" w14:paraId="6C3D37D9" w14:textId="77777777" w:rsidTr="009C1B70">
              <w:tc>
                <w:tcPr>
                  <w:tcW w:w="936" w:type="dxa"/>
                  <w:vAlign w:val="center"/>
                </w:tcPr>
                <w:p w14:paraId="76967D61" w14:textId="66DDF332" w:rsidR="009A08F9" w:rsidRPr="009A08F9" w:rsidRDefault="009A08F9" w:rsidP="00675CFC">
                  <w:pPr>
                    <w:jc w:val="center"/>
                    <w:rPr>
                      <w:rFonts w:ascii="Times New Roman" w:hAnsi="Times New Roman"/>
                      <w:iCs/>
                      <w:sz w:val="24"/>
                      <w:szCs w:val="24"/>
                      <w:lang w:val="en-US" w:eastAsia="ar-SA"/>
                    </w:rPr>
                  </w:pPr>
                  <w:r w:rsidRPr="009A08F9">
                    <w:rPr>
                      <w:rFonts w:ascii="Times New Roman" w:hAnsi="Times New Roman"/>
                      <w:iCs/>
                      <w:sz w:val="24"/>
                      <w:szCs w:val="24"/>
                      <w:lang w:val="en-US" w:eastAsia="ar-SA"/>
                    </w:rPr>
                    <w:t>5.2.3.3.</w:t>
                  </w:r>
                </w:p>
              </w:tc>
              <w:tc>
                <w:tcPr>
                  <w:tcW w:w="2009" w:type="dxa"/>
                  <w:vAlign w:val="center"/>
                </w:tcPr>
                <w:p w14:paraId="0654FBA9" w14:textId="3287DC9C" w:rsidR="009A08F9" w:rsidRPr="009A08F9" w:rsidRDefault="009A08F9" w:rsidP="00675CFC">
                  <w:pPr>
                    <w:autoSpaceDN w:val="0"/>
                    <w:jc w:val="center"/>
                    <w:textAlignment w:val="baseline"/>
                    <w:rPr>
                      <w:rFonts w:ascii="Times New Roman" w:hAnsi="Times New Roman"/>
                      <w:noProof/>
                      <w:sz w:val="24"/>
                      <w:szCs w:val="24"/>
                    </w:rPr>
                  </w:pPr>
                  <w:r w:rsidRPr="009A08F9">
                    <w:rPr>
                      <w:rFonts w:ascii="Times New Roman" w:hAnsi="Times New Roman"/>
                      <w:bCs/>
                      <w:sz w:val="24"/>
                      <w:szCs w:val="24"/>
                    </w:rPr>
                    <w:t>Tarptautinių pokalbių paslaugos</w:t>
                  </w:r>
                </w:p>
              </w:tc>
              <w:tc>
                <w:tcPr>
                  <w:tcW w:w="990" w:type="dxa"/>
                  <w:vAlign w:val="center"/>
                </w:tcPr>
                <w:p w14:paraId="05473AF8" w14:textId="1B7E7DAD" w:rsidR="009A08F9" w:rsidRPr="009A08F9" w:rsidRDefault="00675CFC" w:rsidP="00675CFC">
                  <w:pPr>
                    <w:jc w:val="center"/>
                    <w:rPr>
                      <w:rFonts w:ascii="Times New Roman" w:hAnsi="Times New Roman"/>
                      <w:noProof/>
                      <w:sz w:val="24"/>
                      <w:szCs w:val="24"/>
                      <w:lang w:val="en-US"/>
                    </w:rPr>
                  </w:pPr>
                  <w:r>
                    <w:rPr>
                      <w:rFonts w:ascii="Times New Roman" w:hAnsi="Times New Roman"/>
                      <w:noProof/>
                      <w:sz w:val="24"/>
                      <w:szCs w:val="24"/>
                      <w:lang w:val="en-US"/>
                    </w:rPr>
                    <w:t>m</w:t>
                  </w:r>
                  <w:r w:rsidR="009A08F9" w:rsidRPr="009A08F9">
                    <w:rPr>
                      <w:rFonts w:ascii="Times New Roman" w:hAnsi="Times New Roman"/>
                      <w:noProof/>
                      <w:sz w:val="24"/>
                      <w:szCs w:val="24"/>
                      <w:lang w:val="en-US"/>
                    </w:rPr>
                    <w:t>in.</w:t>
                  </w:r>
                </w:p>
              </w:tc>
              <w:tc>
                <w:tcPr>
                  <w:tcW w:w="3690" w:type="dxa"/>
                  <w:gridSpan w:val="3"/>
                  <w:vAlign w:val="center"/>
                </w:tcPr>
                <w:p w14:paraId="4DB9CEBE" w14:textId="7885D711" w:rsidR="009A08F9" w:rsidRDefault="009A08F9" w:rsidP="009A08F9">
                  <w:pPr>
                    <w:rPr>
                      <w:color w:val="4472C4"/>
                      <w:kern w:val="2"/>
                      <w:szCs w:val="24"/>
                    </w:rPr>
                  </w:pPr>
                  <w:r w:rsidRPr="006F5573">
                    <w:rPr>
                      <w:rFonts w:ascii="Times New Roman" w:hAnsi="Times New Roman"/>
                      <w:noProof/>
                      <w:sz w:val="24"/>
                      <w:szCs w:val="24"/>
                    </w:rPr>
                    <w:t>Sąrašas</w:t>
                  </w:r>
                  <w:r>
                    <w:rPr>
                      <w:rFonts w:ascii="Times New Roman" w:hAnsi="Times New Roman"/>
                      <w:noProof/>
                      <w:sz w:val="24"/>
                      <w:szCs w:val="24"/>
                    </w:rPr>
                    <w:t>,</w:t>
                  </w:r>
                  <w:r w:rsidRPr="006F5573">
                    <w:rPr>
                      <w:rFonts w:ascii="Times New Roman" w:hAnsi="Times New Roman"/>
                      <w:noProof/>
                      <w:sz w:val="24"/>
                      <w:szCs w:val="24"/>
                    </w:rPr>
                    <w:t xml:space="preserve"> preliminarūs kiekiai </w:t>
                  </w:r>
                  <w:r>
                    <w:rPr>
                      <w:rFonts w:ascii="Times New Roman" w:hAnsi="Times New Roman"/>
                      <w:noProof/>
                      <w:sz w:val="24"/>
                      <w:szCs w:val="24"/>
                    </w:rPr>
                    <w:t xml:space="preserve">ir įkainiai </w:t>
                  </w:r>
                  <w:r w:rsidRPr="006F5573">
                    <w:rPr>
                      <w:rFonts w:ascii="Times New Roman" w:hAnsi="Times New Roman"/>
                      <w:noProof/>
                      <w:sz w:val="24"/>
                      <w:szCs w:val="24"/>
                    </w:rPr>
                    <w:t>pateikti Pasiūlymo formos 1 priede</w:t>
                  </w:r>
                </w:p>
              </w:tc>
            </w:tr>
            <w:tr w:rsidR="009A08F9" w14:paraId="5A773986" w14:textId="77777777" w:rsidTr="009C1B70">
              <w:tc>
                <w:tcPr>
                  <w:tcW w:w="936" w:type="dxa"/>
                  <w:vAlign w:val="center"/>
                </w:tcPr>
                <w:p w14:paraId="0328D7B0" w14:textId="47309273" w:rsidR="009A08F9" w:rsidRPr="009A08F9" w:rsidRDefault="009A08F9" w:rsidP="00675CFC">
                  <w:pPr>
                    <w:jc w:val="center"/>
                    <w:rPr>
                      <w:rFonts w:ascii="Times New Roman" w:hAnsi="Times New Roman"/>
                      <w:iCs/>
                      <w:sz w:val="24"/>
                      <w:szCs w:val="24"/>
                      <w:lang w:val="en-US" w:eastAsia="ar-SA"/>
                    </w:rPr>
                  </w:pPr>
                  <w:r w:rsidRPr="009A08F9">
                    <w:rPr>
                      <w:rFonts w:ascii="Times New Roman" w:hAnsi="Times New Roman"/>
                      <w:iCs/>
                      <w:sz w:val="24"/>
                      <w:szCs w:val="24"/>
                      <w:lang w:val="en-US" w:eastAsia="ar-SA"/>
                    </w:rPr>
                    <w:t>5.2.3.4.</w:t>
                  </w:r>
                </w:p>
              </w:tc>
              <w:tc>
                <w:tcPr>
                  <w:tcW w:w="2009" w:type="dxa"/>
                  <w:vAlign w:val="center"/>
                </w:tcPr>
                <w:p w14:paraId="50E7299E" w14:textId="212711D5" w:rsidR="009A08F9" w:rsidRPr="009A08F9" w:rsidRDefault="009A08F9" w:rsidP="00675CFC">
                  <w:pPr>
                    <w:autoSpaceDN w:val="0"/>
                    <w:jc w:val="center"/>
                    <w:textAlignment w:val="baseline"/>
                    <w:rPr>
                      <w:rFonts w:ascii="Times New Roman" w:hAnsi="Times New Roman"/>
                      <w:noProof/>
                      <w:sz w:val="24"/>
                      <w:szCs w:val="24"/>
                    </w:rPr>
                  </w:pPr>
                  <w:r w:rsidRPr="009A08F9">
                    <w:rPr>
                      <w:rFonts w:ascii="Times New Roman" w:hAnsi="Times New Roman"/>
                      <w:bCs/>
                      <w:sz w:val="24"/>
                      <w:szCs w:val="24"/>
                    </w:rPr>
                    <w:t xml:space="preserve">Tarptinklinio ryšio </w:t>
                  </w:r>
                  <w:r w:rsidRPr="007C3B7B">
                    <w:rPr>
                      <w:rFonts w:ascii="Times New Roman" w:hAnsi="Times New Roman"/>
                      <w:sz w:val="24"/>
                      <w:szCs w:val="24"/>
                    </w:rPr>
                    <w:t>(</w:t>
                  </w:r>
                  <w:proofErr w:type="spellStart"/>
                  <w:r w:rsidRPr="007C3B7B">
                    <w:rPr>
                      <w:rFonts w:ascii="Times New Roman" w:hAnsi="Times New Roman"/>
                      <w:sz w:val="24"/>
                      <w:szCs w:val="24"/>
                    </w:rPr>
                    <w:t>roaming'as</w:t>
                  </w:r>
                  <w:proofErr w:type="spellEnd"/>
                  <w:r w:rsidRPr="007C3B7B">
                    <w:rPr>
                      <w:rFonts w:ascii="Times New Roman" w:hAnsi="Times New Roman"/>
                      <w:sz w:val="24"/>
                      <w:szCs w:val="24"/>
                    </w:rPr>
                    <w:t xml:space="preserve">) </w:t>
                  </w:r>
                  <w:r w:rsidRPr="009A08F9">
                    <w:rPr>
                      <w:rFonts w:ascii="Times New Roman" w:hAnsi="Times New Roman"/>
                      <w:sz w:val="24"/>
                      <w:szCs w:val="24"/>
                    </w:rPr>
                    <w:t>paslaugos</w:t>
                  </w:r>
                </w:p>
              </w:tc>
              <w:tc>
                <w:tcPr>
                  <w:tcW w:w="990" w:type="dxa"/>
                  <w:vAlign w:val="center"/>
                </w:tcPr>
                <w:p w14:paraId="4F347275" w14:textId="7168F094" w:rsidR="009A08F9" w:rsidRPr="009A08F9" w:rsidRDefault="00675CFC" w:rsidP="00675CFC">
                  <w:pPr>
                    <w:jc w:val="center"/>
                    <w:rPr>
                      <w:rFonts w:ascii="Times New Roman" w:hAnsi="Times New Roman"/>
                      <w:noProof/>
                      <w:sz w:val="24"/>
                      <w:szCs w:val="24"/>
                      <w:lang w:val="en-US"/>
                    </w:rPr>
                  </w:pPr>
                  <w:r>
                    <w:rPr>
                      <w:rFonts w:ascii="Times New Roman" w:hAnsi="Times New Roman"/>
                      <w:noProof/>
                      <w:sz w:val="24"/>
                      <w:szCs w:val="24"/>
                      <w:lang w:val="en-US"/>
                    </w:rPr>
                    <w:t>m</w:t>
                  </w:r>
                  <w:r w:rsidR="009A08F9" w:rsidRPr="009A08F9">
                    <w:rPr>
                      <w:rFonts w:ascii="Times New Roman" w:hAnsi="Times New Roman"/>
                      <w:noProof/>
                      <w:sz w:val="24"/>
                      <w:szCs w:val="24"/>
                      <w:lang w:val="en-US"/>
                    </w:rPr>
                    <w:t>in.</w:t>
                  </w:r>
                </w:p>
              </w:tc>
              <w:tc>
                <w:tcPr>
                  <w:tcW w:w="3690" w:type="dxa"/>
                  <w:gridSpan w:val="3"/>
                  <w:vAlign w:val="center"/>
                </w:tcPr>
                <w:p w14:paraId="3938FE0E" w14:textId="10218250" w:rsidR="009A08F9" w:rsidRDefault="009A08F9" w:rsidP="009A08F9">
                  <w:pPr>
                    <w:rPr>
                      <w:color w:val="4472C4"/>
                      <w:kern w:val="2"/>
                      <w:szCs w:val="24"/>
                    </w:rPr>
                  </w:pPr>
                  <w:r w:rsidRPr="006F5573">
                    <w:rPr>
                      <w:rFonts w:ascii="Times New Roman" w:hAnsi="Times New Roman"/>
                      <w:noProof/>
                      <w:sz w:val="24"/>
                      <w:szCs w:val="24"/>
                    </w:rPr>
                    <w:t>Sąrašas</w:t>
                  </w:r>
                  <w:r>
                    <w:rPr>
                      <w:rFonts w:ascii="Times New Roman" w:hAnsi="Times New Roman"/>
                      <w:noProof/>
                      <w:sz w:val="24"/>
                      <w:szCs w:val="24"/>
                    </w:rPr>
                    <w:t>,</w:t>
                  </w:r>
                  <w:r w:rsidRPr="006F5573">
                    <w:rPr>
                      <w:rFonts w:ascii="Times New Roman" w:hAnsi="Times New Roman"/>
                      <w:noProof/>
                      <w:sz w:val="24"/>
                      <w:szCs w:val="24"/>
                    </w:rPr>
                    <w:t xml:space="preserve"> preliminarūs kiekiai </w:t>
                  </w:r>
                  <w:r>
                    <w:rPr>
                      <w:rFonts w:ascii="Times New Roman" w:hAnsi="Times New Roman"/>
                      <w:noProof/>
                      <w:sz w:val="24"/>
                      <w:szCs w:val="24"/>
                    </w:rPr>
                    <w:t xml:space="preserve">ir įkainiai </w:t>
                  </w:r>
                  <w:r w:rsidRPr="006F5573">
                    <w:rPr>
                      <w:rFonts w:ascii="Times New Roman" w:hAnsi="Times New Roman"/>
                      <w:noProof/>
                      <w:sz w:val="24"/>
                      <w:szCs w:val="24"/>
                    </w:rPr>
                    <w:t xml:space="preserve">pateikti Pasiūlymo formos </w:t>
                  </w:r>
                  <w:r w:rsidR="00674DD8">
                    <w:rPr>
                      <w:rFonts w:ascii="Times New Roman" w:hAnsi="Times New Roman"/>
                      <w:noProof/>
                      <w:sz w:val="24"/>
                      <w:szCs w:val="24"/>
                    </w:rPr>
                    <w:t>2</w:t>
                  </w:r>
                  <w:r w:rsidRPr="006F5573">
                    <w:rPr>
                      <w:rFonts w:ascii="Times New Roman" w:hAnsi="Times New Roman"/>
                      <w:noProof/>
                      <w:sz w:val="24"/>
                      <w:szCs w:val="24"/>
                    </w:rPr>
                    <w:t xml:space="preserve"> priede</w:t>
                  </w:r>
                </w:p>
              </w:tc>
            </w:tr>
          </w:tbl>
          <w:p w14:paraId="1F7825FE" w14:textId="77777777" w:rsidR="009A08F9" w:rsidRDefault="009A08F9" w:rsidP="004F3C9F">
            <w:pPr>
              <w:jc w:val="both"/>
              <w:rPr>
                <w:kern w:val="2"/>
                <w:szCs w:val="24"/>
              </w:rPr>
            </w:pPr>
          </w:p>
          <w:p w14:paraId="2334FAE9" w14:textId="7FD76243" w:rsidR="002C645E" w:rsidRDefault="007C3B7B" w:rsidP="009C1B70">
            <w:pPr>
              <w:jc w:val="both"/>
              <w:rPr>
                <w:szCs w:val="24"/>
              </w:rPr>
            </w:pPr>
            <w:r>
              <w:rPr>
                <w:szCs w:val="24"/>
              </w:rPr>
              <w:t>5.2.</w:t>
            </w:r>
            <w:r w:rsidR="002A7A20">
              <w:rPr>
                <w:szCs w:val="24"/>
              </w:rPr>
              <w:t>4</w:t>
            </w:r>
            <w:r>
              <w:rPr>
                <w:szCs w:val="24"/>
              </w:rPr>
              <w:t>. U</w:t>
            </w:r>
            <w:r w:rsidRPr="00022AFB">
              <w:rPr>
                <w:szCs w:val="24"/>
              </w:rPr>
              <w:t xml:space="preserve">ž </w:t>
            </w:r>
            <w:r>
              <w:rPr>
                <w:szCs w:val="24"/>
              </w:rPr>
              <w:t>P</w:t>
            </w:r>
            <w:r w:rsidRPr="00022AFB">
              <w:rPr>
                <w:szCs w:val="24"/>
              </w:rPr>
              <w:t>aslaugas</w:t>
            </w:r>
            <w:r>
              <w:rPr>
                <w:szCs w:val="24"/>
              </w:rPr>
              <w:t xml:space="preserve">, nurodytas </w:t>
            </w:r>
            <w:r w:rsidRPr="002C645E">
              <w:rPr>
                <w:szCs w:val="24"/>
              </w:rPr>
              <w:t>Techninės specifikacijos 2.2.1</w:t>
            </w:r>
            <w:r w:rsidRPr="002C645E">
              <w:rPr>
                <w:rStyle w:val="Puslapioinaosnuoroda"/>
                <w:szCs w:val="24"/>
              </w:rPr>
              <w:footnoteReference w:id="5"/>
            </w:r>
            <w:r w:rsidRPr="002C645E">
              <w:rPr>
                <w:szCs w:val="24"/>
              </w:rPr>
              <w:t xml:space="preserve"> ir </w:t>
            </w:r>
            <w:r w:rsidRPr="002C645E">
              <w:rPr>
                <w:szCs w:val="24"/>
                <w:lang w:val="en-US"/>
              </w:rPr>
              <w:t>2.2.2</w:t>
            </w:r>
            <w:r w:rsidRPr="002C645E">
              <w:rPr>
                <w:rStyle w:val="Puslapioinaosnuoroda"/>
                <w:szCs w:val="24"/>
                <w:lang w:val="en-US"/>
              </w:rPr>
              <w:footnoteReference w:id="6"/>
            </w:r>
            <w:r w:rsidRPr="002C645E">
              <w:rPr>
                <w:szCs w:val="24"/>
                <w:lang w:val="en-US"/>
              </w:rPr>
              <w:t xml:space="preserve"> </w:t>
            </w:r>
            <w:r w:rsidRPr="009C1B70">
              <w:rPr>
                <w:szCs w:val="24"/>
              </w:rPr>
              <w:t>papunkčiuose</w:t>
            </w:r>
            <w:r w:rsidR="002C645E" w:rsidRPr="009C1B70">
              <w:rPr>
                <w:szCs w:val="24"/>
              </w:rPr>
              <w:t>,</w:t>
            </w:r>
            <w:r w:rsidR="009C1B70" w:rsidRPr="009C1B70">
              <w:rPr>
                <w:szCs w:val="24"/>
                <w:lang w:val="en-US"/>
              </w:rPr>
              <w:t xml:space="preserve"> </w:t>
            </w:r>
            <w:r w:rsidR="002C645E" w:rsidRPr="007B4E0B">
              <w:rPr>
                <w:szCs w:val="24"/>
              </w:rPr>
              <w:t xml:space="preserve">apmokama taikant taisyklę: </w:t>
            </w:r>
            <w:r w:rsidR="002C645E" w:rsidRPr="007B4E0B">
              <w:rPr>
                <w:i/>
                <w:iCs/>
                <w:szCs w:val="24"/>
              </w:rPr>
              <w:t xml:space="preserve">kaina negali būti </w:t>
            </w:r>
            <w:r w:rsidR="002C645E" w:rsidRPr="007B4E0B">
              <w:rPr>
                <w:b/>
                <w:bCs/>
                <w:i/>
                <w:iCs/>
                <w:szCs w:val="24"/>
              </w:rPr>
              <w:t>didesnė nei pati mažiausia</w:t>
            </w:r>
            <w:r w:rsidR="002C645E" w:rsidRPr="007B4E0B">
              <w:rPr>
                <w:i/>
                <w:iCs/>
                <w:szCs w:val="24"/>
              </w:rPr>
              <w:t xml:space="preserve"> </w:t>
            </w:r>
            <w:r w:rsidR="002C645E" w:rsidRPr="007B4E0B">
              <w:rPr>
                <w:b/>
                <w:bCs/>
                <w:i/>
                <w:iCs/>
                <w:szCs w:val="24"/>
              </w:rPr>
              <w:t>Tiekėjo ir/ar trečiųjų šalių nustatyta bei Tiekėjo tinklapyje viešai skelbiama atitinkamų paslaugų kaina.</w:t>
            </w:r>
            <w:r w:rsidR="002C645E" w:rsidRPr="007B4E0B">
              <w:rPr>
                <w:szCs w:val="24"/>
              </w:rPr>
              <w:t xml:space="preserve"> Kadangi Techninės specifikacijos 2.2.1-2.2.2 papunkčiuose nurodytos paslaugų kainos priklauso nuo trečiųjų šalių taikomos kainodaros –  šių paslaugų kainos ir įkainiai nėra fiksuojami Sutartyje.</w:t>
            </w:r>
          </w:p>
          <w:p w14:paraId="369EC4C7" w14:textId="719704CD" w:rsidR="002C645E" w:rsidRDefault="002C645E" w:rsidP="002C645E">
            <w:pPr>
              <w:jc w:val="both"/>
              <w:rPr>
                <w:szCs w:val="24"/>
              </w:rPr>
            </w:pPr>
            <w:r>
              <w:rPr>
                <w:szCs w:val="24"/>
              </w:rPr>
              <w:t>5.2.</w:t>
            </w:r>
            <w:r w:rsidR="002A7A20">
              <w:rPr>
                <w:szCs w:val="24"/>
              </w:rPr>
              <w:t>5</w:t>
            </w:r>
            <w:r>
              <w:rPr>
                <w:szCs w:val="24"/>
              </w:rPr>
              <w:t>. U</w:t>
            </w:r>
            <w:r w:rsidRPr="00022AFB">
              <w:rPr>
                <w:szCs w:val="24"/>
              </w:rPr>
              <w:t xml:space="preserve">ž </w:t>
            </w:r>
            <w:r>
              <w:rPr>
                <w:szCs w:val="24"/>
              </w:rPr>
              <w:t>P</w:t>
            </w:r>
            <w:r w:rsidRPr="00022AFB">
              <w:rPr>
                <w:szCs w:val="24"/>
              </w:rPr>
              <w:t>aslaugas</w:t>
            </w:r>
            <w:r>
              <w:rPr>
                <w:szCs w:val="24"/>
              </w:rPr>
              <w:t xml:space="preserve">, nurodytas </w:t>
            </w:r>
            <w:r w:rsidRPr="002C645E">
              <w:rPr>
                <w:szCs w:val="24"/>
              </w:rPr>
              <w:t>Techninės specifikacijos 2.2.</w:t>
            </w:r>
            <w:r>
              <w:rPr>
                <w:szCs w:val="24"/>
              </w:rPr>
              <w:t>5</w:t>
            </w:r>
            <w:r>
              <w:rPr>
                <w:rStyle w:val="Puslapioinaosnuoroda"/>
                <w:szCs w:val="24"/>
              </w:rPr>
              <w:footnoteReference w:id="7"/>
            </w:r>
            <w:r w:rsidRPr="002C645E">
              <w:rPr>
                <w:szCs w:val="24"/>
                <w:lang w:val="en-US"/>
              </w:rPr>
              <w:t xml:space="preserve"> </w:t>
            </w:r>
            <w:r w:rsidRPr="002C645E">
              <w:rPr>
                <w:szCs w:val="24"/>
              </w:rPr>
              <w:t>papunktyje,</w:t>
            </w:r>
            <w:r>
              <w:rPr>
                <w:szCs w:val="24"/>
                <w:lang w:val="en-US"/>
              </w:rPr>
              <w:t xml:space="preserve"> </w:t>
            </w:r>
            <w:r>
              <w:rPr>
                <w:szCs w:val="24"/>
              </w:rPr>
              <w:t>a</w:t>
            </w:r>
            <w:r w:rsidRPr="007B4E0B">
              <w:rPr>
                <w:szCs w:val="24"/>
              </w:rPr>
              <w:t xml:space="preserve">pmokama taikant taisyklę: </w:t>
            </w:r>
            <w:r w:rsidRPr="007B4E0B">
              <w:rPr>
                <w:i/>
                <w:iCs/>
                <w:szCs w:val="24"/>
              </w:rPr>
              <w:t xml:space="preserve">kaina negali būti </w:t>
            </w:r>
            <w:r w:rsidRPr="007B4E0B">
              <w:rPr>
                <w:b/>
                <w:bCs/>
                <w:i/>
                <w:iCs/>
                <w:szCs w:val="24"/>
              </w:rPr>
              <w:t>didesnė nei pati mažiausia</w:t>
            </w:r>
            <w:r w:rsidRPr="007B4E0B">
              <w:rPr>
                <w:i/>
                <w:iCs/>
                <w:szCs w:val="24"/>
              </w:rPr>
              <w:t xml:space="preserve"> </w:t>
            </w:r>
            <w:r w:rsidRPr="007B4E0B">
              <w:rPr>
                <w:b/>
                <w:bCs/>
                <w:i/>
                <w:iCs/>
                <w:szCs w:val="24"/>
              </w:rPr>
              <w:t>Tiekėjo ir/ar trečiųjų šalių nustatyta bei Tiekėjo tinklapyje viešai skelbiama atitinkamų paslaugų kaina.</w:t>
            </w:r>
            <w:r w:rsidRPr="007B4E0B">
              <w:rPr>
                <w:szCs w:val="24"/>
              </w:rPr>
              <w:t xml:space="preserve"> Techninės specifikacijos 2.2.5 papunktyje nustatytas įkainis nėra fiksuojamas, nes jis gali būti skirtingas ne ES valstybėse.  </w:t>
            </w:r>
          </w:p>
          <w:p w14:paraId="54C9C33E" w14:textId="1E4F5815" w:rsidR="00BE1518" w:rsidRDefault="00BE1518" w:rsidP="00BE1518">
            <w:pPr>
              <w:jc w:val="both"/>
              <w:rPr>
                <w:szCs w:val="24"/>
              </w:rPr>
            </w:pPr>
            <w:r>
              <w:rPr>
                <w:szCs w:val="24"/>
              </w:rPr>
              <w:t>5.2.</w:t>
            </w:r>
            <w:r w:rsidR="002A7A20">
              <w:rPr>
                <w:szCs w:val="24"/>
              </w:rPr>
              <w:t>6</w:t>
            </w:r>
            <w:r>
              <w:rPr>
                <w:szCs w:val="24"/>
              </w:rPr>
              <w:t>. P</w:t>
            </w:r>
            <w:r w:rsidRPr="00022AFB">
              <w:rPr>
                <w:szCs w:val="24"/>
              </w:rPr>
              <w:t>aslaug</w:t>
            </w:r>
            <w:r>
              <w:rPr>
                <w:szCs w:val="24"/>
              </w:rPr>
              <w:t>o</w:t>
            </w:r>
            <w:r w:rsidRPr="00022AFB">
              <w:rPr>
                <w:szCs w:val="24"/>
              </w:rPr>
              <w:t>s</w:t>
            </w:r>
            <w:r>
              <w:rPr>
                <w:szCs w:val="24"/>
              </w:rPr>
              <w:t xml:space="preserve">, nurodytas </w:t>
            </w:r>
            <w:r w:rsidRPr="002C645E">
              <w:rPr>
                <w:szCs w:val="24"/>
              </w:rPr>
              <w:t>Techninės specifikacijos 2.2.</w:t>
            </w:r>
            <w:r>
              <w:rPr>
                <w:szCs w:val="24"/>
              </w:rPr>
              <w:t>8</w:t>
            </w:r>
            <w:r>
              <w:rPr>
                <w:rStyle w:val="Puslapioinaosnuoroda"/>
                <w:szCs w:val="24"/>
              </w:rPr>
              <w:footnoteReference w:id="8"/>
            </w:r>
            <w:r w:rsidRPr="002C645E">
              <w:rPr>
                <w:szCs w:val="24"/>
                <w:lang w:val="en-US"/>
              </w:rPr>
              <w:t xml:space="preserve"> </w:t>
            </w:r>
            <w:r w:rsidRPr="002C645E">
              <w:rPr>
                <w:szCs w:val="24"/>
              </w:rPr>
              <w:t>papunktyje,</w:t>
            </w:r>
            <w:r>
              <w:rPr>
                <w:szCs w:val="24"/>
                <w:lang w:val="en-US"/>
              </w:rPr>
              <w:t xml:space="preserve"> </w:t>
            </w:r>
            <w:r w:rsidRPr="007B4E0B">
              <w:rPr>
                <w:iCs/>
                <w:szCs w:val="24"/>
              </w:rPr>
              <w:t>užsakomos sudarant susitarimą tarp abiejų Šalių raštu arba užsakomos žodžiu / el. paštu iškilus poreikiui.  Pagrindas Viešųjų pirkimų tarnybos direktoriaus 2017 m. birželio 28 d. įsakymu Nr. 1S-95 ,,Dėl Kainodaros taisyklių nustatyto metodikos patvirtinimo“ patvirtintos Kainodaros taisyklių nustatymo metodikos 19 punktas</w:t>
            </w:r>
            <w:r w:rsidRPr="007B4E0B">
              <w:rPr>
                <w:iCs/>
                <w:szCs w:val="24"/>
                <w:vertAlign w:val="superscript"/>
              </w:rPr>
              <w:t>1</w:t>
            </w:r>
            <w:r w:rsidRPr="007B4E0B">
              <w:rPr>
                <w:iCs/>
                <w:szCs w:val="24"/>
              </w:rPr>
              <w:t>, įsigyti Techninėje specifikacijoje nenurodytų, tačiau su pirkimo objektu susijusių prekių ir (ar) paslaugų neviršijant 10 procentų pradinės sutarties vertės, nurodytos Sutartyje. </w:t>
            </w:r>
            <w:r w:rsidRPr="007B4E0B">
              <w:rPr>
                <w:szCs w:val="24"/>
                <w:lang w:eastAsia="ar-SA"/>
              </w:rPr>
              <w:t xml:space="preserve">Už šias Paslaugas apmokama taikant taisyklę: </w:t>
            </w:r>
            <w:r w:rsidRPr="007B4E0B">
              <w:rPr>
                <w:i/>
                <w:iCs/>
                <w:szCs w:val="24"/>
                <w:lang w:eastAsia="ar-SA"/>
              </w:rPr>
              <w:t xml:space="preserve">kaina negali būti </w:t>
            </w:r>
            <w:r w:rsidRPr="007B4E0B">
              <w:rPr>
                <w:b/>
                <w:bCs/>
                <w:i/>
                <w:iCs/>
                <w:szCs w:val="24"/>
                <w:lang w:eastAsia="ar-SA"/>
              </w:rPr>
              <w:t>didesnė nei pati mažiausia</w:t>
            </w:r>
            <w:r w:rsidRPr="007B4E0B">
              <w:rPr>
                <w:i/>
                <w:iCs/>
                <w:szCs w:val="24"/>
                <w:lang w:eastAsia="ar-SA"/>
              </w:rPr>
              <w:t xml:space="preserve"> </w:t>
            </w:r>
            <w:r w:rsidRPr="007B4E0B">
              <w:rPr>
                <w:b/>
                <w:bCs/>
                <w:i/>
                <w:iCs/>
                <w:szCs w:val="24"/>
                <w:lang w:eastAsia="ar-SA"/>
              </w:rPr>
              <w:t>Tiekėjo ir/ar trečiųjų šalių nustatyta bei Tiekėjo tinklapyje viešai skelbiama atitinkamų paslaugų kaina.</w:t>
            </w:r>
          </w:p>
          <w:p w14:paraId="16B862AF" w14:textId="5B540301" w:rsidR="00BE1518" w:rsidRPr="007B4E0B" w:rsidRDefault="00BE1518" w:rsidP="002C645E">
            <w:pPr>
              <w:jc w:val="both"/>
              <w:rPr>
                <w:szCs w:val="24"/>
              </w:rPr>
            </w:pPr>
          </w:p>
          <w:p w14:paraId="0FDD9705" w14:textId="561B3EA3" w:rsidR="002A7A20" w:rsidRDefault="002A7A20" w:rsidP="002A7A20">
            <w:pPr>
              <w:jc w:val="both"/>
              <w:rPr>
                <w:kern w:val="2"/>
                <w:szCs w:val="24"/>
              </w:rPr>
            </w:pPr>
            <w:r>
              <w:rPr>
                <w:kern w:val="2"/>
                <w:szCs w:val="24"/>
              </w:rPr>
              <w:t>5.2.7. Fiksuoto įkainio kainodara:</w:t>
            </w:r>
          </w:p>
          <w:tbl>
            <w:tblPr>
              <w:tblStyle w:val="Lentelstinklelis"/>
              <w:tblW w:w="7715" w:type="dxa"/>
              <w:tblLayout w:type="fixed"/>
              <w:tblLook w:val="04A0" w:firstRow="1" w:lastRow="0" w:firstColumn="1" w:lastColumn="0" w:noHBand="0" w:noVBand="1"/>
            </w:tblPr>
            <w:tblGrid>
              <w:gridCol w:w="876"/>
              <w:gridCol w:w="1985"/>
              <w:gridCol w:w="1239"/>
              <w:gridCol w:w="1185"/>
              <w:gridCol w:w="1170"/>
              <w:gridCol w:w="1260"/>
            </w:tblGrid>
            <w:tr w:rsidR="002A7A20" w:rsidRPr="001440FF" w14:paraId="399FFED1" w14:textId="77777777" w:rsidTr="009C1B70">
              <w:tc>
                <w:tcPr>
                  <w:tcW w:w="876" w:type="dxa"/>
                  <w:vAlign w:val="center"/>
                </w:tcPr>
                <w:p w14:paraId="42F74347" w14:textId="77777777" w:rsidR="002A7A20" w:rsidRPr="001440FF" w:rsidRDefault="002A7A20" w:rsidP="002A7A20">
                  <w:pPr>
                    <w:rPr>
                      <w:color w:val="4472C4"/>
                      <w:kern w:val="2"/>
                      <w:szCs w:val="24"/>
                    </w:rPr>
                  </w:pPr>
                  <w:r w:rsidRPr="001440FF">
                    <w:rPr>
                      <w:rFonts w:ascii="Times New Roman" w:hAnsi="Times New Roman"/>
                      <w:noProof/>
                      <w:sz w:val="24"/>
                      <w:szCs w:val="24"/>
                    </w:rPr>
                    <w:t>Eil. Nr.</w:t>
                  </w:r>
                </w:p>
              </w:tc>
              <w:tc>
                <w:tcPr>
                  <w:tcW w:w="1985" w:type="dxa"/>
                  <w:vAlign w:val="center"/>
                </w:tcPr>
                <w:p w14:paraId="22DCD7EE" w14:textId="328B3C11" w:rsidR="002A7A20" w:rsidRPr="002A7A20" w:rsidRDefault="002A7A20" w:rsidP="002A7A20">
                  <w:pPr>
                    <w:jc w:val="center"/>
                    <w:rPr>
                      <w:color w:val="4472C4"/>
                      <w:kern w:val="2"/>
                      <w:szCs w:val="24"/>
                    </w:rPr>
                  </w:pPr>
                  <w:r w:rsidRPr="002A7A20">
                    <w:rPr>
                      <w:rFonts w:ascii="Times New Roman" w:hAnsi="Times New Roman"/>
                      <w:noProof/>
                      <w:sz w:val="24"/>
                      <w:szCs w:val="24"/>
                    </w:rPr>
                    <w:t>Paslaugų pavadinimas</w:t>
                  </w:r>
                </w:p>
              </w:tc>
              <w:tc>
                <w:tcPr>
                  <w:tcW w:w="1239" w:type="dxa"/>
                  <w:vAlign w:val="center"/>
                </w:tcPr>
                <w:p w14:paraId="228C1E29" w14:textId="77777777" w:rsidR="002A7A20" w:rsidRPr="002A7A20" w:rsidRDefault="002A7A20" w:rsidP="002A7A20">
                  <w:pPr>
                    <w:jc w:val="center"/>
                    <w:rPr>
                      <w:rFonts w:ascii="Times New Roman" w:hAnsi="Times New Roman"/>
                      <w:noProof/>
                      <w:sz w:val="24"/>
                      <w:szCs w:val="24"/>
                    </w:rPr>
                  </w:pPr>
                  <w:r w:rsidRPr="002A7A20">
                    <w:rPr>
                      <w:rFonts w:ascii="Times New Roman" w:hAnsi="Times New Roman"/>
                      <w:noProof/>
                      <w:sz w:val="24"/>
                      <w:szCs w:val="24"/>
                    </w:rPr>
                    <w:t>Mato vienetas</w:t>
                  </w:r>
                </w:p>
                <w:p w14:paraId="012B4D43" w14:textId="77777777" w:rsidR="002A7A20" w:rsidRPr="002A7A20" w:rsidRDefault="002A7A20" w:rsidP="002A7A20">
                  <w:pPr>
                    <w:rPr>
                      <w:color w:val="4472C4"/>
                      <w:kern w:val="2"/>
                      <w:szCs w:val="24"/>
                    </w:rPr>
                  </w:pPr>
                </w:p>
              </w:tc>
              <w:tc>
                <w:tcPr>
                  <w:tcW w:w="1185" w:type="dxa"/>
                  <w:vAlign w:val="center"/>
                </w:tcPr>
                <w:p w14:paraId="753FBBAF" w14:textId="3E9ABA28" w:rsidR="002A7A20" w:rsidRPr="002A7A20" w:rsidRDefault="002A7A20" w:rsidP="002A7A20">
                  <w:pPr>
                    <w:jc w:val="center"/>
                    <w:rPr>
                      <w:color w:val="4472C4"/>
                      <w:kern w:val="2"/>
                      <w:szCs w:val="24"/>
                    </w:rPr>
                  </w:pPr>
                  <w:r w:rsidRPr="002A7A20">
                    <w:rPr>
                      <w:rFonts w:ascii="Times New Roman" w:hAnsi="Times New Roman"/>
                      <w:noProof/>
                      <w:sz w:val="24"/>
                      <w:szCs w:val="24"/>
                    </w:rPr>
                    <w:t>Preliminarus mato vieneto kiekis</w:t>
                  </w:r>
                  <w:r w:rsidRPr="002A7A20">
                    <w:rPr>
                      <w:rFonts w:ascii="Times New Roman" w:hAnsi="Times New Roman"/>
                      <w:noProof/>
                      <w:sz w:val="24"/>
                      <w:szCs w:val="24"/>
                      <w:vertAlign w:val="superscript"/>
                    </w:rPr>
                    <w:footnoteReference w:id="9"/>
                  </w:r>
                </w:p>
              </w:tc>
              <w:tc>
                <w:tcPr>
                  <w:tcW w:w="1170" w:type="dxa"/>
                  <w:vAlign w:val="center"/>
                </w:tcPr>
                <w:p w14:paraId="29101932" w14:textId="62B833E0" w:rsidR="002A7A20" w:rsidRPr="002A7A20" w:rsidRDefault="002A7A20" w:rsidP="002A7A20">
                  <w:pPr>
                    <w:jc w:val="center"/>
                    <w:rPr>
                      <w:color w:val="4472C4"/>
                      <w:kern w:val="2"/>
                      <w:szCs w:val="24"/>
                    </w:rPr>
                  </w:pPr>
                  <w:r w:rsidRPr="002A7A20">
                    <w:rPr>
                      <w:rFonts w:ascii="Times New Roman" w:hAnsi="Times New Roman"/>
                      <w:noProof/>
                      <w:sz w:val="24"/>
                      <w:szCs w:val="24"/>
                    </w:rPr>
                    <w:t>Paslaugos teikimo laikotarpis (mėn.)</w:t>
                  </w:r>
                </w:p>
              </w:tc>
              <w:tc>
                <w:tcPr>
                  <w:tcW w:w="1260" w:type="dxa"/>
                </w:tcPr>
                <w:p w14:paraId="69A3527A" w14:textId="4FAB0AA4" w:rsidR="002A7A20" w:rsidRPr="002A7A20" w:rsidRDefault="002A7A20" w:rsidP="002A7A20">
                  <w:pPr>
                    <w:jc w:val="center"/>
                    <w:rPr>
                      <w:color w:val="4472C4"/>
                      <w:kern w:val="2"/>
                      <w:szCs w:val="24"/>
                    </w:rPr>
                  </w:pPr>
                  <w:r w:rsidRPr="002A7A20">
                    <w:rPr>
                      <w:rFonts w:ascii="Times New Roman" w:hAnsi="Times New Roman"/>
                      <w:noProof/>
                      <w:sz w:val="24"/>
                      <w:szCs w:val="24"/>
                    </w:rPr>
                    <w:t xml:space="preserve">Paslaugos įkainis už mato vienetą </w:t>
                  </w:r>
                  <w:r w:rsidRPr="002A7A20">
                    <w:rPr>
                      <w:rFonts w:ascii="Times New Roman" w:hAnsi="Times New Roman"/>
                      <w:noProof/>
                      <w:sz w:val="24"/>
                      <w:szCs w:val="24"/>
                      <w:lang w:val="en-US"/>
                    </w:rPr>
                    <w:t>1 m</w:t>
                  </w:r>
                  <w:r w:rsidRPr="002A7A20">
                    <w:rPr>
                      <w:rFonts w:ascii="Times New Roman" w:hAnsi="Times New Roman"/>
                      <w:noProof/>
                      <w:sz w:val="24"/>
                      <w:szCs w:val="24"/>
                    </w:rPr>
                    <w:t>ėn. laikotarpiui EUR be PVM</w:t>
                  </w:r>
                </w:p>
              </w:tc>
            </w:tr>
            <w:tr w:rsidR="002A7A20" w:rsidRPr="001440FF" w14:paraId="15AE65A0" w14:textId="77777777" w:rsidTr="009C1B70">
              <w:tc>
                <w:tcPr>
                  <w:tcW w:w="876" w:type="dxa"/>
                  <w:vAlign w:val="center"/>
                </w:tcPr>
                <w:p w14:paraId="49FF725D" w14:textId="77777777" w:rsidR="002A7A20" w:rsidRPr="001440FF" w:rsidRDefault="002A7A20" w:rsidP="002A7A20">
                  <w:pPr>
                    <w:rPr>
                      <w:rFonts w:ascii="Times New Roman" w:hAnsi="Times New Roman"/>
                      <w:i/>
                      <w:kern w:val="2"/>
                      <w:szCs w:val="24"/>
                    </w:rPr>
                  </w:pPr>
                  <w:r w:rsidRPr="001440FF">
                    <w:rPr>
                      <w:rFonts w:ascii="Times New Roman" w:hAnsi="Times New Roman"/>
                      <w:i/>
                      <w:noProof/>
                    </w:rPr>
                    <w:t>(1)</w:t>
                  </w:r>
                </w:p>
              </w:tc>
              <w:tc>
                <w:tcPr>
                  <w:tcW w:w="1985" w:type="dxa"/>
                  <w:vAlign w:val="center"/>
                </w:tcPr>
                <w:p w14:paraId="67D33CD7" w14:textId="77777777" w:rsidR="002A7A20" w:rsidRPr="001440FF" w:rsidRDefault="002A7A20" w:rsidP="002A7A20">
                  <w:pPr>
                    <w:rPr>
                      <w:rFonts w:ascii="Times New Roman" w:hAnsi="Times New Roman"/>
                      <w:i/>
                      <w:kern w:val="2"/>
                      <w:szCs w:val="24"/>
                    </w:rPr>
                  </w:pPr>
                  <w:r w:rsidRPr="001440FF">
                    <w:rPr>
                      <w:rFonts w:ascii="Times New Roman" w:hAnsi="Times New Roman"/>
                      <w:i/>
                      <w:noProof/>
                    </w:rPr>
                    <w:t>(2)</w:t>
                  </w:r>
                </w:p>
              </w:tc>
              <w:tc>
                <w:tcPr>
                  <w:tcW w:w="1239" w:type="dxa"/>
                  <w:vAlign w:val="center"/>
                </w:tcPr>
                <w:p w14:paraId="2DD1E2E4" w14:textId="77777777" w:rsidR="002A7A20" w:rsidRPr="001440FF" w:rsidRDefault="002A7A20" w:rsidP="002A7A20">
                  <w:pPr>
                    <w:rPr>
                      <w:rFonts w:ascii="Times New Roman" w:hAnsi="Times New Roman"/>
                      <w:i/>
                      <w:kern w:val="2"/>
                      <w:szCs w:val="24"/>
                    </w:rPr>
                  </w:pPr>
                  <w:r w:rsidRPr="001440FF">
                    <w:rPr>
                      <w:rFonts w:ascii="Times New Roman" w:hAnsi="Times New Roman"/>
                      <w:i/>
                      <w:noProof/>
                    </w:rPr>
                    <w:t>(3)</w:t>
                  </w:r>
                </w:p>
              </w:tc>
              <w:tc>
                <w:tcPr>
                  <w:tcW w:w="1185" w:type="dxa"/>
                  <w:vAlign w:val="center"/>
                </w:tcPr>
                <w:p w14:paraId="67FA160C" w14:textId="77777777" w:rsidR="002A7A20" w:rsidRPr="001440FF" w:rsidRDefault="002A7A20" w:rsidP="002A7A20">
                  <w:pPr>
                    <w:rPr>
                      <w:rFonts w:ascii="Times New Roman" w:hAnsi="Times New Roman"/>
                      <w:i/>
                      <w:kern w:val="2"/>
                      <w:szCs w:val="24"/>
                    </w:rPr>
                  </w:pPr>
                  <w:r w:rsidRPr="001440FF">
                    <w:rPr>
                      <w:rFonts w:ascii="Times New Roman" w:hAnsi="Times New Roman"/>
                      <w:i/>
                      <w:noProof/>
                      <w:lang w:val="en-US"/>
                    </w:rPr>
                    <w:t>(4)</w:t>
                  </w:r>
                </w:p>
              </w:tc>
              <w:tc>
                <w:tcPr>
                  <w:tcW w:w="1170" w:type="dxa"/>
                </w:tcPr>
                <w:p w14:paraId="002CC6AB" w14:textId="77777777" w:rsidR="002A7A20" w:rsidRPr="001440FF" w:rsidRDefault="002A7A20" w:rsidP="002A7A20">
                  <w:pPr>
                    <w:rPr>
                      <w:rFonts w:ascii="Times New Roman" w:hAnsi="Times New Roman"/>
                      <w:i/>
                      <w:kern w:val="2"/>
                      <w:szCs w:val="24"/>
                    </w:rPr>
                  </w:pPr>
                  <w:r w:rsidRPr="001440FF">
                    <w:rPr>
                      <w:rFonts w:ascii="Times New Roman" w:hAnsi="Times New Roman"/>
                      <w:i/>
                      <w:kern w:val="2"/>
                      <w:szCs w:val="24"/>
                    </w:rPr>
                    <w:t>(5)</w:t>
                  </w:r>
                </w:p>
              </w:tc>
              <w:tc>
                <w:tcPr>
                  <w:tcW w:w="1260" w:type="dxa"/>
                </w:tcPr>
                <w:p w14:paraId="50CE4EB5" w14:textId="77777777" w:rsidR="002A7A20" w:rsidRPr="001440FF" w:rsidRDefault="002A7A20" w:rsidP="002A7A20">
                  <w:pPr>
                    <w:rPr>
                      <w:rFonts w:ascii="Times New Roman" w:hAnsi="Times New Roman"/>
                      <w:i/>
                      <w:kern w:val="2"/>
                      <w:szCs w:val="24"/>
                    </w:rPr>
                  </w:pPr>
                  <w:r w:rsidRPr="001440FF">
                    <w:rPr>
                      <w:rFonts w:ascii="Times New Roman" w:hAnsi="Times New Roman"/>
                      <w:i/>
                      <w:kern w:val="2"/>
                      <w:szCs w:val="24"/>
                    </w:rPr>
                    <w:t>(6)</w:t>
                  </w:r>
                </w:p>
              </w:tc>
            </w:tr>
            <w:tr w:rsidR="002A7A20" w14:paraId="7E1CACD0" w14:textId="77777777" w:rsidTr="009C1B70">
              <w:tc>
                <w:tcPr>
                  <w:tcW w:w="876" w:type="dxa"/>
                  <w:vAlign w:val="center"/>
                </w:tcPr>
                <w:p w14:paraId="5E7D7441" w14:textId="2D65A7DF" w:rsidR="002A7A20" w:rsidRDefault="002A7A20" w:rsidP="002A7A20">
                  <w:pPr>
                    <w:rPr>
                      <w:color w:val="4472C4"/>
                      <w:kern w:val="2"/>
                      <w:szCs w:val="24"/>
                    </w:rPr>
                  </w:pPr>
                  <w:r>
                    <w:rPr>
                      <w:rFonts w:ascii="Times New Roman" w:hAnsi="Times New Roman"/>
                      <w:iCs/>
                      <w:sz w:val="24"/>
                      <w:szCs w:val="24"/>
                      <w:lang w:val="en-US" w:eastAsia="ar-SA"/>
                    </w:rPr>
                    <w:t>5.2.7.1.</w:t>
                  </w:r>
                </w:p>
              </w:tc>
              <w:tc>
                <w:tcPr>
                  <w:tcW w:w="1985" w:type="dxa"/>
                  <w:vAlign w:val="center"/>
                </w:tcPr>
                <w:p w14:paraId="297F1031" w14:textId="10CEF8B6" w:rsidR="002A7A20" w:rsidRDefault="002A7A20" w:rsidP="002A7A20">
                  <w:pPr>
                    <w:rPr>
                      <w:color w:val="4472C4"/>
                      <w:kern w:val="2"/>
                      <w:szCs w:val="24"/>
                    </w:rPr>
                  </w:pPr>
                  <w:r w:rsidRPr="004B11C7">
                    <w:rPr>
                      <w:rFonts w:ascii="Times New Roman" w:hAnsi="Times New Roman"/>
                      <w:sz w:val="24"/>
                      <w:szCs w:val="24"/>
                    </w:rPr>
                    <w:t>Mobilaus parašo paslaugos</w:t>
                  </w:r>
                </w:p>
              </w:tc>
              <w:tc>
                <w:tcPr>
                  <w:tcW w:w="1239" w:type="dxa"/>
                  <w:vAlign w:val="center"/>
                </w:tcPr>
                <w:p w14:paraId="0A9CEF36" w14:textId="6F280C32" w:rsidR="002A7A20" w:rsidRDefault="002A7A20" w:rsidP="002A7A20">
                  <w:pPr>
                    <w:rPr>
                      <w:color w:val="4472C4"/>
                      <w:kern w:val="2"/>
                      <w:szCs w:val="24"/>
                    </w:rPr>
                  </w:pPr>
                  <w:r>
                    <w:rPr>
                      <w:rFonts w:ascii="Times New Roman" w:hAnsi="Times New Roman"/>
                      <w:noProof/>
                      <w:sz w:val="24"/>
                      <w:szCs w:val="24"/>
                      <w:lang w:val="en-US"/>
                    </w:rPr>
                    <w:t>abonentas</w:t>
                  </w:r>
                </w:p>
              </w:tc>
              <w:tc>
                <w:tcPr>
                  <w:tcW w:w="1185" w:type="dxa"/>
                  <w:vAlign w:val="center"/>
                </w:tcPr>
                <w:p w14:paraId="4191A210" w14:textId="6E68CF33" w:rsidR="002A7A20" w:rsidRDefault="002A7A20" w:rsidP="00675CFC">
                  <w:pPr>
                    <w:jc w:val="center"/>
                    <w:rPr>
                      <w:color w:val="4472C4"/>
                      <w:kern w:val="2"/>
                      <w:szCs w:val="24"/>
                    </w:rPr>
                  </w:pPr>
                  <w:r>
                    <w:rPr>
                      <w:rFonts w:ascii="Times New Roman" w:hAnsi="Times New Roman"/>
                      <w:noProof/>
                      <w:sz w:val="24"/>
                      <w:szCs w:val="24"/>
                    </w:rPr>
                    <w:t>72</w:t>
                  </w:r>
                </w:p>
              </w:tc>
              <w:tc>
                <w:tcPr>
                  <w:tcW w:w="1170" w:type="dxa"/>
                  <w:vAlign w:val="center"/>
                </w:tcPr>
                <w:p w14:paraId="0B03298A" w14:textId="45E1CD3D" w:rsidR="002A7A20" w:rsidRDefault="002A7A20" w:rsidP="00675CFC">
                  <w:pPr>
                    <w:jc w:val="center"/>
                    <w:rPr>
                      <w:color w:val="4472C4"/>
                      <w:kern w:val="2"/>
                      <w:szCs w:val="24"/>
                    </w:rPr>
                  </w:pPr>
                  <w:r>
                    <w:rPr>
                      <w:rFonts w:ascii="Times New Roman" w:hAnsi="Times New Roman"/>
                      <w:noProof/>
                      <w:sz w:val="24"/>
                      <w:szCs w:val="24"/>
                      <w:lang w:val="en-US"/>
                    </w:rPr>
                    <w:t>36</w:t>
                  </w:r>
                </w:p>
              </w:tc>
              <w:tc>
                <w:tcPr>
                  <w:tcW w:w="1260" w:type="dxa"/>
                </w:tcPr>
                <w:p w14:paraId="135D51ED" w14:textId="77777777" w:rsidR="002A7A20" w:rsidRDefault="002A7A20" w:rsidP="002A7A20">
                  <w:pPr>
                    <w:rPr>
                      <w:color w:val="4472C4"/>
                      <w:kern w:val="2"/>
                      <w:szCs w:val="24"/>
                    </w:rPr>
                  </w:pPr>
                </w:p>
              </w:tc>
            </w:tr>
          </w:tbl>
          <w:p w14:paraId="56E9BE9F" w14:textId="6D554509" w:rsidR="002C645E" w:rsidRPr="007B4E0B" w:rsidRDefault="002C645E" w:rsidP="002C645E">
            <w:pPr>
              <w:tabs>
                <w:tab w:val="left" w:pos="851"/>
              </w:tabs>
              <w:autoSpaceDN w:val="0"/>
              <w:ind w:right="35"/>
              <w:jc w:val="both"/>
              <w:rPr>
                <w:szCs w:val="24"/>
              </w:rPr>
            </w:pPr>
          </w:p>
          <w:p w14:paraId="282B0D44" w14:textId="03B26AC6" w:rsidR="002A7A20" w:rsidRDefault="002A7A20" w:rsidP="002A7A20">
            <w:pPr>
              <w:jc w:val="both"/>
              <w:rPr>
                <w:kern w:val="2"/>
                <w:szCs w:val="24"/>
              </w:rPr>
            </w:pPr>
            <w:r>
              <w:rPr>
                <w:kern w:val="2"/>
                <w:szCs w:val="24"/>
              </w:rPr>
              <w:t>5.2.8. Fiksuoto įkainio kainodara:</w:t>
            </w:r>
          </w:p>
          <w:tbl>
            <w:tblPr>
              <w:tblStyle w:val="Lentelstinklelis"/>
              <w:tblW w:w="7625" w:type="dxa"/>
              <w:tblLayout w:type="fixed"/>
              <w:tblLook w:val="04A0" w:firstRow="1" w:lastRow="0" w:firstColumn="1" w:lastColumn="0" w:noHBand="0" w:noVBand="1"/>
            </w:tblPr>
            <w:tblGrid>
              <w:gridCol w:w="937"/>
              <w:gridCol w:w="2038"/>
              <w:gridCol w:w="1210"/>
              <w:gridCol w:w="1460"/>
              <w:gridCol w:w="900"/>
              <w:gridCol w:w="1080"/>
            </w:tblGrid>
            <w:tr w:rsidR="002A7A20" w:rsidRPr="001440FF" w14:paraId="628AC091" w14:textId="77777777" w:rsidTr="00F936E5">
              <w:tc>
                <w:tcPr>
                  <w:tcW w:w="937" w:type="dxa"/>
                  <w:vAlign w:val="center"/>
                </w:tcPr>
                <w:p w14:paraId="16A8B250" w14:textId="77777777" w:rsidR="002A7A20" w:rsidRPr="001440FF" w:rsidRDefault="002A7A20" w:rsidP="002A7A20">
                  <w:pPr>
                    <w:rPr>
                      <w:color w:val="4472C4"/>
                      <w:kern w:val="2"/>
                      <w:szCs w:val="24"/>
                    </w:rPr>
                  </w:pPr>
                  <w:r w:rsidRPr="001440FF">
                    <w:rPr>
                      <w:rFonts w:ascii="Times New Roman" w:hAnsi="Times New Roman"/>
                      <w:noProof/>
                      <w:sz w:val="24"/>
                      <w:szCs w:val="24"/>
                    </w:rPr>
                    <w:t>Eil. Nr.</w:t>
                  </w:r>
                </w:p>
              </w:tc>
              <w:tc>
                <w:tcPr>
                  <w:tcW w:w="2038" w:type="dxa"/>
                  <w:vAlign w:val="center"/>
                </w:tcPr>
                <w:p w14:paraId="60CD5AE9" w14:textId="40146038" w:rsidR="002A7A20" w:rsidRPr="002A7A20" w:rsidRDefault="002A7A20" w:rsidP="002A7A20">
                  <w:pPr>
                    <w:jc w:val="center"/>
                    <w:rPr>
                      <w:color w:val="4472C4"/>
                      <w:kern w:val="2"/>
                      <w:szCs w:val="24"/>
                    </w:rPr>
                  </w:pPr>
                  <w:r w:rsidRPr="002A7A20">
                    <w:rPr>
                      <w:rFonts w:ascii="Times New Roman" w:hAnsi="Times New Roman"/>
                      <w:noProof/>
                      <w:sz w:val="24"/>
                      <w:szCs w:val="24"/>
                    </w:rPr>
                    <w:t>Paslaugų pavadinimas</w:t>
                  </w:r>
                </w:p>
              </w:tc>
              <w:tc>
                <w:tcPr>
                  <w:tcW w:w="1210" w:type="dxa"/>
                  <w:vAlign w:val="center"/>
                </w:tcPr>
                <w:p w14:paraId="68BC0E98" w14:textId="77777777" w:rsidR="002A7A20" w:rsidRPr="002A7A20" w:rsidRDefault="002A7A20" w:rsidP="002A7A20">
                  <w:pPr>
                    <w:jc w:val="center"/>
                    <w:rPr>
                      <w:rFonts w:ascii="Times New Roman" w:hAnsi="Times New Roman"/>
                      <w:noProof/>
                      <w:sz w:val="24"/>
                      <w:szCs w:val="24"/>
                    </w:rPr>
                  </w:pPr>
                  <w:r w:rsidRPr="002A7A20">
                    <w:rPr>
                      <w:rFonts w:ascii="Times New Roman" w:hAnsi="Times New Roman"/>
                      <w:noProof/>
                      <w:sz w:val="24"/>
                      <w:szCs w:val="24"/>
                    </w:rPr>
                    <w:t>Mato vienetas</w:t>
                  </w:r>
                </w:p>
                <w:p w14:paraId="593E96AD" w14:textId="77777777" w:rsidR="002A7A20" w:rsidRPr="002A7A20" w:rsidRDefault="002A7A20" w:rsidP="002A7A20">
                  <w:pPr>
                    <w:rPr>
                      <w:color w:val="4472C4"/>
                      <w:kern w:val="2"/>
                      <w:szCs w:val="24"/>
                    </w:rPr>
                  </w:pPr>
                </w:p>
              </w:tc>
              <w:tc>
                <w:tcPr>
                  <w:tcW w:w="1460" w:type="dxa"/>
                  <w:vAlign w:val="center"/>
                </w:tcPr>
                <w:p w14:paraId="5127614F" w14:textId="52FD0FF5" w:rsidR="002A7A20" w:rsidRPr="002A7A20" w:rsidRDefault="00F936E5" w:rsidP="002A7A20">
                  <w:pPr>
                    <w:jc w:val="center"/>
                    <w:rPr>
                      <w:color w:val="4472C4"/>
                      <w:kern w:val="2"/>
                      <w:szCs w:val="24"/>
                    </w:rPr>
                  </w:pPr>
                  <w:r>
                    <w:rPr>
                      <w:rFonts w:ascii="Times New Roman" w:hAnsi="Times New Roman"/>
                      <w:noProof/>
                      <w:sz w:val="24"/>
                      <w:szCs w:val="24"/>
                    </w:rPr>
                    <w:t xml:space="preserve">Preliminarus </w:t>
                  </w:r>
                  <w:r w:rsidR="002A7A20" w:rsidRPr="002A7A20">
                    <w:rPr>
                      <w:rFonts w:ascii="Times New Roman" w:hAnsi="Times New Roman"/>
                      <w:noProof/>
                      <w:sz w:val="24"/>
                      <w:szCs w:val="24"/>
                    </w:rPr>
                    <w:t>mato vieneto kiekis</w:t>
                  </w:r>
                  <w:r w:rsidR="002A7A20" w:rsidRPr="002A7A20">
                    <w:rPr>
                      <w:rFonts w:ascii="Times New Roman" w:hAnsi="Times New Roman"/>
                      <w:noProof/>
                      <w:sz w:val="24"/>
                      <w:szCs w:val="24"/>
                      <w:vertAlign w:val="superscript"/>
                    </w:rPr>
                    <w:footnoteReference w:id="10"/>
                  </w:r>
                </w:p>
              </w:tc>
              <w:tc>
                <w:tcPr>
                  <w:tcW w:w="900" w:type="dxa"/>
                  <w:vAlign w:val="center"/>
                </w:tcPr>
                <w:p w14:paraId="6ECCF434" w14:textId="1E2EF4FB" w:rsidR="002A7A20" w:rsidRPr="002A7A20" w:rsidRDefault="002A7A20" w:rsidP="002A7A20">
                  <w:pPr>
                    <w:jc w:val="center"/>
                    <w:rPr>
                      <w:color w:val="4472C4"/>
                      <w:kern w:val="2"/>
                      <w:szCs w:val="24"/>
                    </w:rPr>
                  </w:pPr>
                  <w:r w:rsidRPr="002A7A20">
                    <w:rPr>
                      <w:rFonts w:ascii="Times New Roman" w:hAnsi="Times New Roman"/>
                      <w:noProof/>
                      <w:sz w:val="24"/>
                      <w:szCs w:val="24"/>
                    </w:rPr>
                    <w:t>Paslaugos teikimo laikotarpis (mėn.)</w:t>
                  </w:r>
                </w:p>
              </w:tc>
              <w:tc>
                <w:tcPr>
                  <w:tcW w:w="1080" w:type="dxa"/>
                </w:tcPr>
                <w:p w14:paraId="47C16D4B" w14:textId="5E3D7555" w:rsidR="002A7A20" w:rsidRPr="002A7A20" w:rsidRDefault="002A7A20" w:rsidP="002A7A20">
                  <w:pPr>
                    <w:jc w:val="center"/>
                    <w:rPr>
                      <w:color w:val="4472C4"/>
                      <w:kern w:val="2"/>
                      <w:szCs w:val="24"/>
                    </w:rPr>
                  </w:pPr>
                  <w:r w:rsidRPr="002A7A20">
                    <w:rPr>
                      <w:rFonts w:ascii="Times New Roman" w:hAnsi="Times New Roman"/>
                      <w:noProof/>
                      <w:sz w:val="24"/>
                      <w:szCs w:val="24"/>
                    </w:rPr>
                    <w:t xml:space="preserve">Paslaugos įkainis už mato vienetą </w:t>
                  </w:r>
                  <w:r w:rsidRPr="002A7A20">
                    <w:rPr>
                      <w:rFonts w:ascii="Times New Roman" w:hAnsi="Times New Roman"/>
                      <w:noProof/>
                      <w:sz w:val="24"/>
                      <w:szCs w:val="24"/>
                      <w:lang w:val="en-US"/>
                    </w:rPr>
                    <w:t>1 m</w:t>
                  </w:r>
                  <w:r w:rsidRPr="002A7A20">
                    <w:rPr>
                      <w:rFonts w:ascii="Times New Roman" w:hAnsi="Times New Roman"/>
                      <w:noProof/>
                      <w:sz w:val="24"/>
                      <w:szCs w:val="24"/>
                    </w:rPr>
                    <w:t>ėn. laikotarpiui EUR be PVM</w:t>
                  </w:r>
                </w:p>
              </w:tc>
            </w:tr>
            <w:tr w:rsidR="002A7A20" w:rsidRPr="001440FF" w14:paraId="26610946" w14:textId="77777777" w:rsidTr="00F936E5">
              <w:tc>
                <w:tcPr>
                  <w:tcW w:w="937" w:type="dxa"/>
                  <w:vAlign w:val="center"/>
                </w:tcPr>
                <w:p w14:paraId="000A7137" w14:textId="77777777" w:rsidR="002A7A20" w:rsidRPr="001440FF" w:rsidRDefault="002A7A20" w:rsidP="002A7A20">
                  <w:pPr>
                    <w:rPr>
                      <w:rFonts w:ascii="Times New Roman" w:hAnsi="Times New Roman"/>
                      <w:i/>
                      <w:kern w:val="2"/>
                      <w:szCs w:val="24"/>
                    </w:rPr>
                  </w:pPr>
                  <w:r w:rsidRPr="001440FF">
                    <w:rPr>
                      <w:rFonts w:ascii="Times New Roman" w:hAnsi="Times New Roman"/>
                      <w:i/>
                      <w:noProof/>
                    </w:rPr>
                    <w:t>(1)</w:t>
                  </w:r>
                </w:p>
              </w:tc>
              <w:tc>
                <w:tcPr>
                  <w:tcW w:w="2038" w:type="dxa"/>
                  <w:vAlign w:val="center"/>
                </w:tcPr>
                <w:p w14:paraId="2BA60C18" w14:textId="77777777" w:rsidR="002A7A20" w:rsidRPr="001440FF" w:rsidRDefault="002A7A20" w:rsidP="002A7A20">
                  <w:pPr>
                    <w:rPr>
                      <w:rFonts w:ascii="Times New Roman" w:hAnsi="Times New Roman"/>
                      <w:i/>
                      <w:kern w:val="2"/>
                      <w:szCs w:val="24"/>
                    </w:rPr>
                  </w:pPr>
                  <w:r w:rsidRPr="001440FF">
                    <w:rPr>
                      <w:rFonts w:ascii="Times New Roman" w:hAnsi="Times New Roman"/>
                      <w:i/>
                      <w:noProof/>
                    </w:rPr>
                    <w:t>(2)</w:t>
                  </w:r>
                </w:p>
              </w:tc>
              <w:tc>
                <w:tcPr>
                  <w:tcW w:w="1210" w:type="dxa"/>
                  <w:vAlign w:val="center"/>
                </w:tcPr>
                <w:p w14:paraId="1C2AC8A4" w14:textId="77777777" w:rsidR="002A7A20" w:rsidRPr="001440FF" w:rsidRDefault="002A7A20" w:rsidP="002A7A20">
                  <w:pPr>
                    <w:rPr>
                      <w:rFonts w:ascii="Times New Roman" w:hAnsi="Times New Roman"/>
                      <w:i/>
                      <w:kern w:val="2"/>
                      <w:szCs w:val="24"/>
                    </w:rPr>
                  </w:pPr>
                  <w:r w:rsidRPr="001440FF">
                    <w:rPr>
                      <w:rFonts w:ascii="Times New Roman" w:hAnsi="Times New Roman"/>
                      <w:i/>
                      <w:noProof/>
                    </w:rPr>
                    <w:t>(3)</w:t>
                  </w:r>
                </w:p>
              </w:tc>
              <w:tc>
                <w:tcPr>
                  <w:tcW w:w="1460" w:type="dxa"/>
                  <w:vAlign w:val="center"/>
                </w:tcPr>
                <w:p w14:paraId="30600D7A" w14:textId="77777777" w:rsidR="002A7A20" w:rsidRPr="001440FF" w:rsidRDefault="002A7A20" w:rsidP="002A7A20">
                  <w:pPr>
                    <w:rPr>
                      <w:rFonts w:ascii="Times New Roman" w:hAnsi="Times New Roman"/>
                      <w:i/>
                      <w:kern w:val="2"/>
                      <w:szCs w:val="24"/>
                    </w:rPr>
                  </w:pPr>
                  <w:r w:rsidRPr="001440FF">
                    <w:rPr>
                      <w:rFonts w:ascii="Times New Roman" w:hAnsi="Times New Roman"/>
                      <w:i/>
                      <w:noProof/>
                      <w:lang w:val="en-US"/>
                    </w:rPr>
                    <w:t>(4)</w:t>
                  </w:r>
                </w:p>
              </w:tc>
              <w:tc>
                <w:tcPr>
                  <w:tcW w:w="900" w:type="dxa"/>
                </w:tcPr>
                <w:p w14:paraId="6FF1C940" w14:textId="77777777" w:rsidR="002A7A20" w:rsidRPr="001440FF" w:rsidRDefault="002A7A20" w:rsidP="002A7A20">
                  <w:pPr>
                    <w:rPr>
                      <w:rFonts w:ascii="Times New Roman" w:hAnsi="Times New Roman"/>
                      <w:i/>
                      <w:kern w:val="2"/>
                      <w:szCs w:val="24"/>
                    </w:rPr>
                  </w:pPr>
                  <w:r w:rsidRPr="001440FF">
                    <w:rPr>
                      <w:rFonts w:ascii="Times New Roman" w:hAnsi="Times New Roman"/>
                      <w:i/>
                      <w:kern w:val="2"/>
                      <w:szCs w:val="24"/>
                    </w:rPr>
                    <w:t>(5)</w:t>
                  </w:r>
                </w:p>
              </w:tc>
              <w:tc>
                <w:tcPr>
                  <w:tcW w:w="1080" w:type="dxa"/>
                </w:tcPr>
                <w:p w14:paraId="29C2847A" w14:textId="77777777" w:rsidR="002A7A20" w:rsidRPr="001440FF" w:rsidRDefault="002A7A20" w:rsidP="002A7A20">
                  <w:pPr>
                    <w:rPr>
                      <w:rFonts w:ascii="Times New Roman" w:hAnsi="Times New Roman"/>
                      <w:i/>
                      <w:kern w:val="2"/>
                      <w:szCs w:val="24"/>
                    </w:rPr>
                  </w:pPr>
                  <w:r w:rsidRPr="001440FF">
                    <w:rPr>
                      <w:rFonts w:ascii="Times New Roman" w:hAnsi="Times New Roman"/>
                      <w:i/>
                      <w:kern w:val="2"/>
                      <w:szCs w:val="24"/>
                    </w:rPr>
                    <w:t>(6)</w:t>
                  </w:r>
                </w:p>
              </w:tc>
            </w:tr>
            <w:tr w:rsidR="002A7A20" w14:paraId="33564E84" w14:textId="77777777" w:rsidTr="00F936E5">
              <w:tc>
                <w:tcPr>
                  <w:tcW w:w="937" w:type="dxa"/>
                  <w:vAlign w:val="center"/>
                </w:tcPr>
                <w:p w14:paraId="73AD8ACF" w14:textId="1047CBE4" w:rsidR="002A7A20" w:rsidRPr="00675CFC" w:rsidRDefault="002A7A20" w:rsidP="002A7A20">
                  <w:pPr>
                    <w:rPr>
                      <w:rFonts w:ascii="Times New Roman" w:hAnsi="Times New Roman"/>
                      <w:color w:val="4472C4"/>
                      <w:kern w:val="2"/>
                      <w:sz w:val="24"/>
                      <w:szCs w:val="24"/>
                    </w:rPr>
                  </w:pPr>
                  <w:r w:rsidRPr="00675CFC">
                    <w:rPr>
                      <w:rFonts w:ascii="Times New Roman" w:hAnsi="Times New Roman"/>
                      <w:iCs/>
                      <w:sz w:val="24"/>
                      <w:szCs w:val="24"/>
                      <w:lang w:val="en-US" w:eastAsia="ar-SA"/>
                    </w:rPr>
                    <w:t>5.2.8.1.</w:t>
                  </w:r>
                </w:p>
              </w:tc>
              <w:tc>
                <w:tcPr>
                  <w:tcW w:w="2038" w:type="dxa"/>
                  <w:vAlign w:val="center"/>
                </w:tcPr>
                <w:p w14:paraId="044F3DC5" w14:textId="77777777" w:rsidR="002A7A20" w:rsidRPr="00675CFC" w:rsidRDefault="002A7A20" w:rsidP="002A7A20">
                  <w:pPr>
                    <w:jc w:val="both"/>
                    <w:rPr>
                      <w:rFonts w:ascii="Times New Roman" w:hAnsi="Times New Roman"/>
                      <w:sz w:val="24"/>
                      <w:szCs w:val="24"/>
                    </w:rPr>
                  </w:pPr>
                  <w:r w:rsidRPr="00675CFC">
                    <w:rPr>
                      <w:rFonts w:ascii="Times New Roman" w:hAnsi="Times New Roman"/>
                      <w:sz w:val="24"/>
                      <w:szCs w:val="24"/>
                    </w:rPr>
                    <w:t xml:space="preserve">Skambučių centro palaikymo paslaugos </w:t>
                  </w:r>
                </w:p>
                <w:p w14:paraId="63B312DF" w14:textId="302486AC" w:rsidR="002A7A20" w:rsidRPr="00675CFC" w:rsidRDefault="002A7A20" w:rsidP="002A7A20">
                  <w:pPr>
                    <w:rPr>
                      <w:rFonts w:ascii="Times New Roman" w:hAnsi="Times New Roman"/>
                      <w:color w:val="4472C4"/>
                      <w:kern w:val="2"/>
                      <w:sz w:val="24"/>
                      <w:szCs w:val="24"/>
                    </w:rPr>
                  </w:pPr>
                </w:p>
              </w:tc>
              <w:tc>
                <w:tcPr>
                  <w:tcW w:w="1210" w:type="dxa"/>
                  <w:vAlign w:val="center"/>
                </w:tcPr>
                <w:p w14:paraId="67E7CF99" w14:textId="210FE935" w:rsidR="002A7A20" w:rsidRPr="00675CFC" w:rsidRDefault="002A7A20" w:rsidP="002A7A20">
                  <w:pPr>
                    <w:rPr>
                      <w:rFonts w:ascii="Times New Roman" w:hAnsi="Times New Roman"/>
                      <w:color w:val="4472C4"/>
                      <w:kern w:val="2"/>
                      <w:sz w:val="24"/>
                      <w:szCs w:val="24"/>
                    </w:rPr>
                  </w:pPr>
                  <w:r w:rsidRPr="00675CFC">
                    <w:rPr>
                      <w:rFonts w:ascii="Times New Roman" w:hAnsi="Times New Roman"/>
                      <w:noProof/>
                      <w:sz w:val="24"/>
                      <w:szCs w:val="24"/>
                      <w:lang w:val="en-US"/>
                    </w:rPr>
                    <w:t>1 komplektas / per m</w:t>
                  </w:r>
                  <w:r w:rsidRPr="00675CFC">
                    <w:rPr>
                      <w:rFonts w:ascii="Times New Roman" w:hAnsi="Times New Roman"/>
                      <w:noProof/>
                      <w:sz w:val="24"/>
                      <w:szCs w:val="24"/>
                    </w:rPr>
                    <w:t>ėn.</w:t>
                  </w:r>
                </w:p>
              </w:tc>
              <w:tc>
                <w:tcPr>
                  <w:tcW w:w="2360" w:type="dxa"/>
                  <w:gridSpan w:val="2"/>
                  <w:vAlign w:val="center"/>
                </w:tcPr>
                <w:p w14:paraId="73F30AF1" w14:textId="39D2FC7B" w:rsidR="002A7A20" w:rsidRPr="00675CFC" w:rsidRDefault="002A7A20" w:rsidP="00675CFC">
                  <w:pPr>
                    <w:jc w:val="center"/>
                    <w:rPr>
                      <w:rFonts w:ascii="Times New Roman" w:hAnsi="Times New Roman"/>
                      <w:color w:val="4472C4"/>
                      <w:kern w:val="2"/>
                      <w:sz w:val="24"/>
                      <w:szCs w:val="24"/>
                    </w:rPr>
                  </w:pPr>
                  <w:r w:rsidRPr="00675CFC">
                    <w:rPr>
                      <w:rFonts w:ascii="Times New Roman" w:hAnsi="Times New Roman"/>
                      <w:noProof/>
                      <w:sz w:val="24"/>
                      <w:szCs w:val="24"/>
                      <w:lang w:val="en-US"/>
                    </w:rPr>
                    <w:t>36</w:t>
                  </w:r>
                </w:p>
              </w:tc>
              <w:tc>
                <w:tcPr>
                  <w:tcW w:w="1080" w:type="dxa"/>
                </w:tcPr>
                <w:p w14:paraId="4DF7B7E3" w14:textId="77777777" w:rsidR="002A7A20" w:rsidRDefault="002A7A20" w:rsidP="002A7A20">
                  <w:pPr>
                    <w:rPr>
                      <w:color w:val="4472C4"/>
                      <w:kern w:val="2"/>
                      <w:szCs w:val="24"/>
                    </w:rPr>
                  </w:pPr>
                </w:p>
              </w:tc>
            </w:tr>
            <w:tr w:rsidR="002A7A20" w14:paraId="75554E3F" w14:textId="77777777" w:rsidTr="00F936E5">
              <w:tc>
                <w:tcPr>
                  <w:tcW w:w="937" w:type="dxa"/>
                  <w:vAlign w:val="center"/>
                </w:tcPr>
                <w:p w14:paraId="0418B2FD" w14:textId="0BDF4ADE" w:rsidR="002A7A20" w:rsidRPr="00476B7B" w:rsidRDefault="002A7A20" w:rsidP="002A7A20">
                  <w:pPr>
                    <w:rPr>
                      <w:rFonts w:ascii="Times New Roman" w:hAnsi="Times New Roman"/>
                      <w:iCs/>
                      <w:sz w:val="24"/>
                      <w:szCs w:val="24"/>
                      <w:lang w:val="en-US" w:eastAsia="ar-SA"/>
                    </w:rPr>
                  </w:pPr>
                  <w:r w:rsidRPr="00476B7B">
                    <w:rPr>
                      <w:rFonts w:ascii="Times New Roman" w:hAnsi="Times New Roman"/>
                      <w:iCs/>
                      <w:sz w:val="24"/>
                      <w:szCs w:val="24"/>
                      <w:lang w:val="en-US" w:eastAsia="ar-SA"/>
                    </w:rPr>
                    <w:t>5.2.8.2.</w:t>
                  </w:r>
                </w:p>
              </w:tc>
              <w:tc>
                <w:tcPr>
                  <w:tcW w:w="2038" w:type="dxa"/>
                  <w:vAlign w:val="center"/>
                </w:tcPr>
                <w:p w14:paraId="7A725E68" w14:textId="77777777" w:rsidR="002A7A20" w:rsidRPr="00476B7B" w:rsidRDefault="002A7A20" w:rsidP="002A7A20">
                  <w:pPr>
                    <w:jc w:val="both"/>
                    <w:rPr>
                      <w:rFonts w:ascii="Times New Roman" w:hAnsi="Times New Roman"/>
                      <w:sz w:val="24"/>
                      <w:szCs w:val="24"/>
                    </w:rPr>
                  </w:pPr>
                  <w:r w:rsidRPr="00476B7B">
                    <w:rPr>
                      <w:rFonts w:ascii="Times New Roman" w:hAnsi="Times New Roman"/>
                      <w:sz w:val="24"/>
                      <w:szCs w:val="24"/>
                    </w:rPr>
                    <w:t>Pirmo</w:t>
                  </w:r>
                </w:p>
                <w:p w14:paraId="4297461D" w14:textId="109CB8EA" w:rsidR="002A7A20" w:rsidRPr="00476B7B" w:rsidRDefault="002A7A20" w:rsidP="002A7A20">
                  <w:pPr>
                    <w:rPr>
                      <w:rFonts w:ascii="Times New Roman" w:hAnsi="Times New Roman"/>
                      <w:sz w:val="24"/>
                      <w:szCs w:val="24"/>
                    </w:rPr>
                  </w:pPr>
                  <w:r w:rsidRPr="00476B7B">
                    <w:rPr>
                      <w:rFonts w:ascii="Times New Roman" w:hAnsi="Times New Roman"/>
                      <w:sz w:val="24"/>
                      <w:szCs w:val="24"/>
                    </w:rPr>
                    <w:t xml:space="preserve">lygio konsultanto funkcijų palaikymas </w:t>
                  </w:r>
                </w:p>
              </w:tc>
              <w:tc>
                <w:tcPr>
                  <w:tcW w:w="1210" w:type="dxa"/>
                  <w:vAlign w:val="center"/>
                </w:tcPr>
                <w:p w14:paraId="406994D6" w14:textId="676EA9AB" w:rsidR="002A7A20" w:rsidRPr="00476B7B" w:rsidRDefault="002A7A20" w:rsidP="002A7A20">
                  <w:pPr>
                    <w:rPr>
                      <w:rFonts w:ascii="Times New Roman" w:hAnsi="Times New Roman"/>
                      <w:noProof/>
                      <w:sz w:val="24"/>
                      <w:szCs w:val="24"/>
                      <w:lang w:val="en-US"/>
                    </w:rPr>
                  </w:pPr>
                  <w:r w:rsidRPr="00476B7B">
                    <w:rPr>
                      <w:rFonts w:ascii="Times New Roman" w:hAnsi="Times New Roman"/>
                      <w:noProof/>
                      <w:sz w:val="24"/>
                      <w:szCs w:val="24"/>
                    </w:rPr>
                    <w:t>pirmo lygio konsultantas (asmuo)/ per mėn.</w:t>
                  </w:r>
                </w:p>
              </w:tc>
              <w:tc>
                <w:tcPr>
                  <w:tcW w:w="1460" w:type="dxa"/>
                  <w:vAlign w:val="center"/>
                </w:tcPr>
                <w:p w14:paraId="2D7FA877" w14:textId="6DF03A1C" w:rsidR="002A7A20" w:rsidRPr="00476B7B" w:rsidRDefault="00F936E5" w:rsidP="00675CFC">
                  <w:pPr>
                    <w:jc w:val="center"/>
                    <w:rPr>
                      <w:rFonts w:ascii="Times New Roman" w:hAnsi="Times New Roman"/>
                      <w:noProof/>
                      <w:sz w:val="24"/>
                      <w:szCs w:val="24"/>
                    </w:rPr>
                  </w:pPr>
                  <w:r w:rsidRPr="00476B7B">
                    <w:rPr>
                      <w:rFonts w:ascii="Times New Roman" w:hAnsi="Times New Roman"/>
                      <w:noProof/>
                      <w:sz w:val="24"/>
                      <w:szCs w:val="24"/>
                    </w:rPr>
                    <w:t>20</w:t>
                  </w:r>
                  <w:r w:rsidRPr="00476B7B">
                    <w:rPr>
                      <w:rStyle w:val="Puslapioinaosnuoroda"/>
                      <w:rFonts w:ascii="Times New Roman" w:hAnsi="Times New Roman"/>
                      <w:noProof/>
                      <w:sz w:val="24"/>
                      <w:szCs w:val="24"/>
                    </w:rPr>
                    <w:footnoteReference w:id="11"/>
                  </w:r>
                </w:p>
              </w:tc>
              <w:tc>
                <w:tcPr>
                  <w:tcW w:w="900" w:type="dxa"/>
                  <w:vAlign w:val="center"/>
                </w:tcPr>
                <w:p w14:paraId="156EA517" w14:textId="25F0DC65" w:rsidR="002A7A20" w:rsidRPr="00476B7B" w:rsidRDefault="00675CFC" w:rsidP="00675CFC">
                  <w:pPr>
                    <w:jc w:val="center"/>
                    <w:rPr>
                      <w:rFonts w:ascii="Times New Roman" w:hAnsi="Times New Roman"/>
                      <w:noProof/>
                      <w:sz w:val="24"/>
                      <w:szCs w:val="24"/>
                      <w:lang w:val="en-US"/>
                    </w:rPr>
                  </w:pPr>
                  <w:r w:rsidRPr="00476B7B">
                    <w:rPr>
                      <w:rFonts w:ascii="Times New Roman" w:hAnsi="Times New Roman"/>
                      <w:noProof/>
                      <w:sz w:val="24"/>
                      <w:szCs w:val="24"/>
                      <w:lang w:val="en-US"/>
                    </w:rPr>
                    <w:t>36</w:t>
                  </w:r>
                </w:p>
              </w:tc>
              <w:tc>
                <w:tcPr>
                  <w:tcW w:w="1080" w:type="dxa"/>
                </w:tcPr>
                <w:p w14:paraId="50C01E40" w14:textId="77777777" w:rsidR="002A7A20" w:rsidRDefault="002A7A20" w:rsidP="002A7A20">
                  <w:pPr>
                    <w:rPr>
                      <w:color w:val="4472C4"/>
                      <w:kern w:val="2"/>
                      <w:szCs w:val="24"/>
                    </w:rPr>
                  </w:pPr>
                </w:p>
              </w:tc>
            </w:tr>
            <w:tr w:rsidR="00A5148A" w14:paraId="57F5113E" w14:textId="77777777" w:rsidTr="00F936E5">
              <w:tc>
                <w:tcPr>
                  <w:tcW w:w="937" w:type="dxa"/>
                  <w:vAlign w:val="center"/>
                </w:tcPr>
                <w:p w14:paraId="1434745A" w14:textId="43C7EEAE" w:rsidR="00A5148A" w:rsidRPr="00476B7B" w:rsidRDefault="00A5148A" w:rsidP="00A5148A">
                  <w:pPr>
                    <w:rPr>
                      <w:rFonts w:ascii="Times New Roman" w:hAnsi="Times New Roman"/>
                      <w:iCs/>
                      <w:sz w:val="24"/>
                      <w:szCs w:val="24"/>
                      <w:lang w:val="en-US" w:eastAsia="ar-SA"/>
                    </w:rPr>
                  </w:pPr>
                  <w:r w:rsidRPr="00476B7B">
                    <w:rPr>
                      <w:rFonts w:ascii="Times New Roman" w:hAnsi="Times New Roman"/>
                      <w:iCs/>
                      <w:sz w:val="24"/>
                      <w:szCs w:val="24"/>
                      <w:lang w:val="en-US" w:eastAsia="ar-SA"/>
                    </w:rPr>
                    <w:t>5.2.8.3.</w:t>
                  </w:r>
                </w:p>
              </w:tc>
              <w:tc>
                <w:tcPr>
                  <w:tcW w:w="2038" w:type="dxa"/>
                  <w:vAlign w:val="center"/>
                </w:tcPr>
                <w:p w14:paraId="09A7EE02" w14:textId="7700CE41" w:rsidR="00A5148A" w:rsidRPr="00476B7B" w:rsidRDefault="00A5148A" w:rsidP="00A5148A">
                  <w:pPr>
                    <w:jc w:val="both"/>
                    <w:rPr>
                      <w:rFonts w:ascii="Times New Roman" w:hAnsi="Times New Roman"/>
                      <w:sz w:val="24"/>
                      <w:szCs w:val="24"/>
                    </w:rPr>
                  </w:pPr>
                  <w:r w:rsidRPr="00476B7B">
                    <w:rPr>
                      <w:rFonts w:ascii="Times New Roman" w:hAnsi="Times New Roman"/>
                      <w:sz w:val="24"/>
                      <w:szCs w:val="24"/>
                    </w:rPr>
                    <w:t>Antro</w:t>
                  </w:r>
                </w:p>
                <w:p w14:paraId="3B60622F" w14:textId="0A6284E4" w:rsidR="00A5148A" w:rsidRPr="00476B7B" w:rsidRDefault="00A5148A" w:rsidP="00A5148A">
                  <w:pPr>
                    <w:jc w:val="both"/>
                    <w:rPr>
                      <w:szCs w:val="24"/>
                    </w:rPr>
                  </w:pPr>
                  <w:r w:rsidRPr="00476B7B">
                    <w:rPr>
                      <w:rFonts w:ascii="Times New Roman" w:hAnsi="Times New Roman"/>
                      <w:sz w:val="24"/>
                      <w:szCs w:val="24"/>
                    </w:rPr>
                    <w:t xml:space="preserve">lygio konsultanto funkcijų palaikymas </w:t>
                  </w:r>
                </w:p>
              </w:tc>
              <w:tc>
                <w:tcPr>
                  <w:tcW w:w="1210" w:type="dxa"/>
                  <w:vAlign w:val="center"/>
                </w:tcPr>
                <w:p w14:paraId="7BA37578" w14:textId="02D01F01" w:rsidR="00A5148A" w:rsidRPr="00476B7B" w:rsidRDefault="00A5148A" w:rsidP="00A5148A">
                  <w:pPr>
                    <w:rPr>
                      <w:noProof/>
                      <w:szCs w:val="24"/>
                    </w:rPr>
                  </w:pPr>
                  <w:r w:rsidRPr="00476B7B">
                    <w:rPr>
                      <w:rFonts w:ascii="Times New Roman" w:hAnsi="Times New Roman"/>
                      <w:noProof/>
                      <w:sz w:val="24"/>
                      <w:szCs w:val="24"/>
                    </w:rPr>
                    <w:t>Antro lygio konsultantas (asmuo)/ per mėn.</w:t>
                  </w:r>
                </w:p>
              </w:tc>
              <w:tc>
                <w:tcPr>
                  <w:tcW w:w="1460" w:type="dxa"/>
                  <w:vAlign w:val="center"/>
                </w:tcPr>
                <w:p w14:paraId="48DE78F9" w14:textId="34B6D387" w:rsidR="00A5148A" w:rsidRPr="00476B7B" w:rsidRDefault="00F936E5" w:rsidP="00A5148A">
                  <w:pPr>
                    <w:jc w:val="center"/>
                    <w:rPr>
                      <w:rFonts w:ascii="Times New Roman" w:hAnsi="Times New Roman"/>
                      <w:noProof/>
                      <w:sz w:val="24"/>
                      <w:szCs w:val="24"/>
                    </w:rPr>
                  </w:pPr>
                  <w:r w:rsidRPr="00476B7B">
                    <w:rPr>
                      <w:rFonts w:ascii="Times New Roman" w:hAnsi="Times New Roman"/>
                      <w:noProof/>
                      <w:sz w:val="24"/>
                      <w:szCs w:val="24"/>
                    </w:rPr>
                    <w:t>40</w:t>
                  </w:r>
                  <w:r w:rsidRPr="00476B7B">
                    <w:rPr>
                      <w:rStyle w:val="Puslapioinaosnuoroda"/>
                      <w:rFonts w:ascii="Times New Roman" w:hAnsi="Times New Roman"/>
                      <w:noProof/>
                      <w:sz w:val="24"/>
                      <w:szCs w:val="24"/>
                    </w:rPr>
                    <w:footnoteReference w:id="12"/>
                  </w:r>
                </w:p>
              </w:tc>
              <w:tc>
                <w:tcPr>
                  <w:tcW w:w="900" w:type="dxa"/>
                  <w:vAlign w:val="center"/>
                </w:tcPr>
                <w:p w14:paraId="19D3D661" w14:textId="3F1852F6" w:rsidR="00A5148A" w:rsidRPr="00476B7B" w:rsidRDefault="00A5148A" w:rsidP="00A5148A">
                  <w:pPr>
                    <w:jc w:val="center"/>
                    <w:rPr>
                      <w:noProof/>
                      <w:szCs w:val="24"/>
                      <w:lang w:val="en-US"/>
                    </w:rPr>
                  </w:pPr>
                  <w:r w:rsidRPr="00476B7B">
                    <w:rPr>
                      <w:rFonts w:ascii="Times New Roman" w:hAnsi="Times New Roman"/>
                      <w:noProof/>
                      <w:sz w:val="24"/>
                      <w:szCs w:val="24"/>
                      <w:lang w:val="en-US"/>
                    </w:rPr>
                    <w:t>36</w:t>
                  </w:r>
                </w:p>
              </w:tc>
              <w:tc>
                <w:tcPr>
                  <w:tcW w:w="1080" w:type="dxa"/>
                </w:tcPr>
                <w:p w14:paraId="6ED40C9F" w14:textId="77777777" w:rsidR="00A5148A" w:rsidRDefault="00A5148A" w:rsidP="00A5148A">
                  <w:pPr>
                    <w:rPr>
                      <w:color w:val="4472C4"/>
                      <w:kern w:val="2"/>
                      <w:szCs w:val="24"/>
                    </w:rPr>
                  </w:pPr>
                </w:p>
              </w:tc>
            </w:tr>
          </w:tbl>
          <w:p w14:paraId="14971B7E" w14:textId="77777777" w:rsidR="007C3B7B" w:rsidRDefault="007C3B7B" w:rsidP="007C3B7B">
            <w:pPr>
              <w:jc w:val="both"/>
              <w:rPr>
                <w:color w:val="000000"/>
                <w:kern w:val="2"/>
                <w:szCs w:val="24"/>
              </w:rPr>
            </w:pPr>
          </w:p>
          <w:p w14:paraId="2E08743E" w14:textId="5D17F2D2" w:rsidR="002A7A20" w:rsidRDefault="00675CFC" w:rsidP="002A7A20">
            <w:pPr>
              <w:jc w:val="both"/>
              <w:rPr>
                <w:kern w:val="2"/>
                <w:szCs w:val="24"/>
              </w:rPr>
            </w:pPr>
            <w:r>
              <w:rPr>
                <w:kern w:val="2"/>
                <w:szCs w:val="24"/>
              </w:rPr>
              <w:t>5</w:t>
            </w:r>
            <w:r w:rsidR="002A7A20">
              <w:rPr>
                <w:kern w:val="2"/>
                <w:szCs w:val="24"/>
              </w:rPr>
              <w:t>.2.</w:t>
            </w:r>
            <w:r>
              <w:rPr>
                <w:kern w:val="2"/>
                <w:szCs w:val="24"/>
              </w:rPr>
              <w:t>9</w:t>
            </w:r>
            <w:r w:rsidR="002A7A20">
              <w:rPr>
                <w:kern w:val="2"/>
                <w:szCs w:val="24"/>
              </w:rPr>
              <w:t>. Fiksuoto įkainio kainodara:</w:t>
            </w:r>
          </w:p>
          <w:tbl>
            <w:tblPr>
              <w:tblStyle w:val="Lentelstinklelis"/>
              <w:tblW w:w="7625" w:type="dxa"/>
              <w:tblLayout w:type="fixed"/>
              <w:tblLook w:val="04A0" w:firstRow="1" w:lastRow="0" w:firstColumn="1" w:lastColumn="0" w:noHBand="0" w:noVBand="1"/>
            </w:tblPr>
            <w:tblGrid>
              <w:gridCol w:w="965"/>
              <w:gridCol w:w="2100"/>
              <w:gridCol w:w="946"/>
              <w:gridCol w:w="1274"/>
              <w:gridCol w:w="1260"/>
              <w:gridCol w:w="1080"/>
            </w:tblGrid>
            <w:tr w:rsidR="00675CFC" w:rsidRPr="001440FF" w14:paraId="411DBBBA" w14:textId="77777777" w:rsidTr="002F3E4E">
              <w:tc>
                <w:tcPr>
                  <w:tcW w:w="965" w:type="dxa"/>
                  <w:vAlign w:val="center"/>
                </w:tcPr>
                <w:p w14:paraId="156047B1" w14:textId="77777777" w:rsidR="00675CFC" w:rsidRPr="001440FF" w:rsidRDefault="00675CFC" w:rsidP="00675CFC">
                  <w:pPr>
                    <w:rPr>
                      <w:color w:val="4472C4"/>
                      <w:kern w:val="2"/>
                      <w:szCs w:val="24"/>
                    </w:rPr>
                  </w:pPr>
                  <w:r w:rsidRPr="001440FF">
                    <w:rPr>
                      <w:rFonts w:ascii="Times New Roman" w:hAnsi="Times New Roman"/>
                      <w:noProof/>
                      <w:sz w:val="24"/>
                      <w:szCs w:val="24"/>
                    </w:rPr>
                    <w:t>Eil. Nr.</w:t>
                  </w:r>
                </w:p>
              </w:tc>
              <w:tc>
                <w:tcPr>
                  <w:tcW w:w="2100" w:type="dxa"/>
                  <w:vAlign w:val="center"/>
                </w:tcPr>
                <w:p w14:paraId="29AB0A9F" w14:textId="702EA3DE" w:rsidR="00675CFC" w:rsidRPr="00675CFC" w:rsidRDefault="00675CFC" w:rsidP="00675CFC">
                  <w:pPr>
                    <w:jc w:val="center"/>
                    <w:rPr>
                      <w:color w:val="4472C4"/>
                      <w:kern w:val="2"/>
                      <w:szCs w:val="24"/>
                    </w:rPr>
                  </w:pPr>
                  <w:r w:rsidRPr="00675CFC">
                    <w:rPr>
                      <w:rFonts w:ascii="Times New Roman" w:hAnsi="Times New Roman"/>
                      <w:noProof/>
                      <w:sz w:val="24"/>
                      <w:szCs w:val="24"/>
                    </w:rPr>
                    <w:t>Paslaugų pavadinimas</w:t>
                  </w:r>
                </w:p>
              </w:tc>
              <w:tc>
                <w:tcPr>
                  <w:tcW w:w="946" w:type="dxa"/>
                  <w:vAlign w:val="center"/>
                </w:tcPr>
                <w:p w14:paraId="48517F26" w14:textId="77777777" w:rsidR="00675CFC" w:rsidRPr="00675CFC" w:rsidRDefault="00675CFC" w:rsidP="00675CFC">
                  <w:pPr>
                    <w:jc w:val="center"/>
                    <w:rPr>
                      <w:rFonts w:ascii="Times New Roman" w:hAnsi="Times New Roman"/>
                      <w:noProof/>
                      <w:sz w:val="24"/>
                      <w:szCs w:val="24"/>
                    </w:rPr>
                  </w:pPr>
                  <w:r w:rsidRPr="00675CFC">
                    <w:rPr>
                      <w:rFonts w:ascii="Times New Roman" w:hAnsi="Times New Roman"/>
                      <w:noProof/>
                      <w:sz w:val="24"/>
                      <w:szCs w:val="24"/>
                    </w:rPr>
                    <w:t>Mato vienetas</w:t>
                  </w:r>
                </w:p>
                <w:p w14:paraId="5C8F7B97" w14:textId="77777777" w:rsidR="00675CFC" w:rsidRPr="00675CFC" w:rsidRDefault="00675CFC" w:rsidP="00675CFC">
                  <w:pPr>
                    <w:rPr>
                      <w:color w:val="4472C4"/>
                      <w:kern w:val="2"/>
                      <w:szCs w:val="24"/>
                    </w:rPr>
                  </w:pPr>
                </w:p>
              </w:tc>
              <w:tc>
                <w:tcPr>
                  <w:tcW w:w="1274" w:type="dxa"/>
                  <w:vAlign w:val="center"/>
                </w:tcPr>
                <w:p w14:paraId="07853B4E" w14:textId="6401D019" w:rsidR="00675CFC" w:rsidRPr="00675CFC" w:rsidRDefault="00675CFC" w:rsidP="00675CFC">
                  <w:pPr>
                    <w:jc w:val="center"/>
                    <w:rPr>
                      <w:color w:val="4472C4"/>
                      <w:kern w:val="2"/>
                      <w:szCs w:val="24"/>
                    </w:rPr>
                  </w:pPr>
                  <w:r w:rsidRPr="00675CFC">
                    <w:rPr>
                      <w:rFonts w:ascii="Times New Roman" w:hAnsi="Times New Roman"/>
                      <w:noProof/>
                      <w:sz w:val="24"/>
                      <w:szCs w:val="24"/>
                    </w:rPr>
                    <w:t>Maksimalus mato vieneto kiekis</w:t>
                  </w:r>
                  <w:r w:rsidRPr="00675CFC">
                    <w:rPr>
                      <w:rFonts w:ascii="Times New Roman" w:hAnsi="Times New Roman"/>
                      <w:noProof/>
                      <w:sz w:val="24"/>
                      <w:szCs w:val="24"/>
                      <w:vertAlign w:val="superscript"/>
                    </w:rPr>
                    <w:footnoteReference w:id="13"/>
                  </w:r>
                </w:p>
              </w:tc>
              <w:tc>
                <w:tcPr>
                  <w:tcW w:w="1260" w:type="dxa"/>
                </w:tcPr>
                <w:p w14:paraId="1D40E4F2" w14:textId="04ACE0DD" w:rsidR="00675CFC" w:rsidRPr="00675CFC" w:rsidRDefault="00675CFC" w:rsidP="00675CFC">
                  <w:pPr>
                    <w:jc w:val="center"/>
                    <w:rPr>
                      <w:color w:val="4472C4"/>
                      <w:kern w:val="2"/>
                      <w:szCs w:val="24"/>
                    </w:rPr>
                  </w:pPr>
                  <w:r w:rsidRPr="00675CFC">
                    <w:rPr>
                      <w:rFonts w:ascii="Times New Roman" w:hAnsi="Times New Roman"/>
                      <w:noProof/>
                      <w:sz w:val="24"/>
                      <w:szCs w:val="24"/>
                    </w:rPr>
                    <w:t>Paslaugos įkainis už mato vienetą EUR be PVM</w:t>
                  </w:r>
                </w:p>
              </w:tc>
              <w:tc>
                <w:tcPr>
                  <w:tcW w:w="1080" w:type="dxa"/>
                  <w:vAlign w:val="center"/>
                </w:tcPr>
                <w:p w14:paraId="1E2E4DE8" w14:textId="77777777" w:rsidR="002B45B2" w:rsidRPr="002B45B2" w:rsidRDefault="002B45B2" w:rsidP="002B45B2">
                  <w:pPr>
                    <w:tabs>
                      <w:tab w:val="left" w:pos="200"/>
                    </w:tabs>
                    <w:jc w:val="center"/>
                    <w:rPr>
                      <w:rFonts w:ascii="Times New Roman" w:hAnsi="Times New Roman"/>
                      <w:noProof/>
                      <w:sz w:val="24"/>
                      <w:szCs w:val="24"/>
                    </w:rPr>
                  </w:pPr>
                  <w:r w:rsidRPr="002B45B2">
                    <w:rPr>
                      <w:rFonts w:ascii="Times New Roman" w:hAnsi="Times New Roman"/>
                      <w:noProof/>
                      <w:sz w:val="24"/>
                      <w:szCs w:val="24"/>
                    </w:rPr>
                    <w:t>Bendra kaina</w:t>
                  </w:r>
                </w:p>
                <w:p w14:paraId="5D9BE7F0" w14:textId="716F850F" w:rsidR="00675CFC" w:rsidRPr="00675CFC" w:rsidRDefault="002B45B2" w:rsidP="002B45B2">
                  <w:pPr>
                    <w:jc w:val="center"/>
                    <w:rPr>
                      <w:color w:val="4472C4"/>
                      <w:kern w:val="2"/>
                      <w:szCs w:val="24"/>
                    </w:rPr>
                  </w:pPr>
                  <w:r w:rsidRPr="002B45B2">
                    <w:rPr>
                      <w:rFonts w:ascii="Times New Roman" w:hAnsi="Times New Roman"/>
                      <w:noProof/>
                      <w:sz w:val="24"/>
                      <w:szCs w:val="24"/>
                    </w:rPr>
                    <w:t>EUR be PVM</w:t>
                  </w:r>
                </w:p>
              </w:tc>
            </w:tr>
            <w:tr w:rsidR="00675CFC" w:rsidRPr="001440FF" w14:paraId="54A80F5D" w14:textId="77777777" w:rsidTr="002F3E4E">
              <w:tc>
                <w:tcPr>
                  <w:tcW w:w="965" w:type="dxa"/>
                  <w:vAlign w:val="center"/>
                </w:tcPr>
                <w:p w14:paraId="2CB7AABC" w14:textId="77777777" w:rsidR="002A7A20" w:rsidRPr="001440FF" w:rsidRDefault="002A7A20" w:rsidP="002A7A20">
                  <w:pPr>
                    <w:rPr>
                      <w:rFonts w:ascii="Times New Roman" w:hAnsi="Times New Roman"/>
                      <w:i/>
                      <w:kern w:val="2"/>
                      <w:szCs w:val="24"/>
                    </w:rPr>
                  </w:pPr>
                  <w:r w:rsidRPr="001440FF">
                    <w:rPr>
                      <w:rFonts w:ascii="Times New Roman" w:hAnsi="Times New Roman"/>
                      <w:i/>
                      <w:noProof/>
                    </w:rPr>
                    <w:t>(1)</w:t>
                  </w:r>
                </w:p>
              </w:tc>
              <w:tc>
                <w:tcPr>
                  <w:tcW w:w="2100" w:type="dxa"/>
                  <w:vAlign w:val="center"/>
                </w:tcPr>
                <w:p w14:paraId="1D1DB1CF" w14:textId="77777777" w:rsidR="002A7A20" w:rsidRPr="001440FF" w:rsidRDefault="002A7A20" w:rsidP="002A7A20">
                  <w:pPr>
                    <w:rPr>
                      <w:rFonts w:ascii="Times New Roman" w:hAnsi="Times New Roman"/>
                      <w:i/>
                      <w:kern w:val="2"/>
                      <w:szCs w:val="24"/>
                    </w:rPr>
                  </w:pPr>
                  <w:r w:rsidRPr="001440FF">
                    <w:rPr>
                      <w:rFonts w:ascii="Times New Roman" w:hAnsi="Times New Roman"/>
                      <w:i/>
                      <w:noProof/>
                    </w:rPr>
                    <w:t>(2)</w:t>
                  </w:r>
                </w:p>
              </w:tc>
              <w:tc>
                <w:tcPr>
                  <w:tcW w:w="946" w:type="dxa"/>
                  <w:vAlign w:val="center"/>
                </w:tcPr>
                <w:p w14:paraId="173B1EEE" w14:textId="77777777" w:rsidR="002A7A20" w:rsidRPr="001440FF" w:rsidRDefault="002A7A20" w:rsidP="002A7A20">
                  <w:pPr>
                    <w:rPr>
                      <w:rFonts w:ascii="Times New Roman" w:hAnsi="Times New Roman"/>
                      <w:i/>
                      <w:kern w:val="2"/>
                      <w:szCs w:val="24"/>
                    </w:rPr>
                  </w:pPr>
                  <w:r w:rsidRPr="001440FF">
                    <w:rPr>
                      <w:rFonts w:ascii="Times New Roman" w:hAnsi="Times New Roman"/>
                      <w:i/>
                      <w:noProof/>
                    </w:rPr>
                    <w:t>(3)</w:t>
                  </w:r>
                </w:p>
              </w:tc>
              <w:tc>
                <w:tcPr>
                  <w:tcW w:w="1274" w:type="dxa"/>
                  <w:vAlign w:val="center"/>
                </w:tcPr>
                <w:p w14:paraId="521E43F0" w14:textId="77777777" w:rsidR="002A7A20" w:rsidRPr="001440FF" w:rsidRDefault="002A7A20" w:rsidP="002A7A20">
                  <w:pPr>
                    <w:rPr>
                      <w:rFonts w:ascii="Times New Roman" w:hAnsi="Times New Roman"/>
                      <w:i/>
                      <w:kern w:val="2"/>
                      <w:szCs w:val="24"/>
                    </w:rPr>
                  </w:pPr>
                  <w:r w:rsidRPr="001440FF">
                    <w:rPr>
                      <w:rFonts w:ascii="Times New Roman" w:hAnsi="Times New Roman"/>
                      <w:i/>
                      <w:noProof/>
                      <w:lang w:val="en-US"/>
                    </w:rPr>
                    <w:t>(4)</w:t>
                  </w:r>
                </w:p>
              </w:tc>
              <w:tc>
                <w:tcPr>
                  <w:tcW w:w="1260" w:type="dxa"/>
                </w:tcPr>
                <w:p w14:paraId="6E211FDB" w14:textId="77777777" w:rsidR="002A7A20" w:rsidRPr="001440FF" w:rsidRDefault="002A7A20" w:rsidP="002A7A20">
                  <w:pPr>
                    <w:rPr>
                      <w:rFonts w:ascii="Times New Roman" w:hAnsi="Times New Roman"/>
                      <w:i/>
                      <w:kern w:val="2"/>
                      <w:szCs w:val="24"/>
                    </w:rPr>
                  </w:pPr>
                  <w:r w:rsidRPr="001440FF">
                    <w:rPr>
                      <w:rFonts w:ascii="Times New Roman" w:hAnsi="Times New Roman"/>
                      <w:i/>
                      <w:kern w:val="2"/>
                      <w:szCs w:val="24"/>
                    </w:rPr>
                    <w:t>(5)</w:t>
                  </w:r>
                </w:p>
              </w:tc>
              <w:tc>
                <w:tcPr>
                  <w:tcW w:w="1080" w:type="dxa"/>
                </w:tcPr>
                <w:p w14:paraId="07D01451" w14:textId="77777777" w:rsidR="002A7A20" w:rsidRPr="001440FF" w:rsidRDefault="002A7A20" w:rsidP="002A7A20">
                  <w:pPr>
                    <w:rPr>
                      <w:rFonts w:ascii="Times New Roman" w:hAnsi="Times New Roman"/>
                      <w:i/>
                      <w:kern w:val="2"/>
                      <w:szCs w:val="24"/>
                    </w:rPr>
                  </w:pPr>
                  <w:r w:rsidRPr="001440FF">
                    <w:rPr>
                      <w:rFonts w:ascii="Times New Roman" w:hAnsi="Times New Roman"/>
                      <w:i/>
                      <w:kern w:val="2"/>
                      <w:szCs w:val="24"/>
                    </w:rPr>
                    <w:t>(6)</w:t>
                  </w:r>
                </w:p>
              </w:tc>
            </w:tr>
            <w:tr w:rsidR="00675CFC" w14:paraId="7719A532" w14:textId="77777777" w:rsidTr="002F3E4E">
              <w:tc>
                <w:tcPr>
                  <w:tcW w:w="965" w:type="dxa"/>
                  <w:vAlign w:val="center"/>
                </w:tcPr>
                <w:p w14:paraId="4E623581" w14:textId="6952F75E" w:rsidR="00675CFC" w:rsidRPr="00BC6209" w:rsidRDefault="00675CFC" w:rsidP="00675CFC">
                  <w:pPr>
                    <w:rPr>
                      <w:rFonts w:ascii="Times New Roman" w:hAnsi="Times New Roman"/>
                      <w:color w:val="4472C4"/>
                      <w:kern w:val="2"/>
                      <w:sz w:val="24"/>
                      <w:szCs w:val="24"/>
                    </w:rPr>
                  </w:pPr>
                  <w:r w:rsidRPr="00BC6209">
                    <w:rPr>
                      <w:rFonts w:ascii="Times New Roman" w:hAnsi="Times New Roman"/>
                      <w:iCs/>
                      <w:sz w:val="24"/>
                      <w:szCs w:val="24"/>
                      <w:lang w:val="en-US" w:eastAsia="ar-SA"/>
                    </w:rPr>
                    <w:lastRenderedPageBreak/>
                    <w:t>5.2.9.1</w:t>
                  </w:r>
                  <w:r w:rsidR="002F3E4E">
                    <w:rPr>
                      <w:rFonts w:ascii="Times New Roman" w:hAnsi="Times New Roman"/>
                      <w:iCs/>
                      <w:sz w:val="24"/>
                      <w:szCs w:val="24"/>
                      <w:lang w:val="en-US" w:eastAsia="ar-SA"/>
                    </w:rPr>
                    <w:t>.</w:t>
                  </w:r>
                </w:p>
              </w:tc>
              <w:tc>
                <w:tcPr>
                  <w:tcW w:w="2100" w:type="dxa"/>
                  <w:vAlign w:val="center"/>
                </w:tcPr>
                <w:p w14:paraId="28AB8416" w14:textId="63E32C95" w:rsidR="00675CFC" w:rsidRPr="00BC6209" w:rsidRDefault="00675CFC" w:rsidP="00675CFC">
                  <w:pPr>
                    <w:rPr>
                      <w:rFonts w:ascii="Times New Roman" w:hAnsi="Times New Roman"/>
                      <w:color w:val="4472C4"/>
                      <w:kern w:val="2"/>
                      <w:sz w:val="24"/>
                      <w:szCs w:val="24"/>
                    </w:rPr>
                  </w:pPr>
                  <w:r w:rsidRPr="00BC6209">
                    <w:rPr>
                      <w:rFonts w:ascii="Times New Roman" w:hAnsi="Times New Roman"/>
                      <w:sz w:val="24"/>
                      <w:szCs w:val="24"/>
                    </w:rPr>
                    <w:t>Perkančiosios organizacijos atsakingų darbuotojų nuotolinių mokymų paslaugos</w:t>
                  </w:r>
                </w:p>
              </w:tc>
              <w:tc>
                <w:tcPr>
                  <w:tcW w:w="946" w:type="dxa"/>
                  <w:vAlign w:val="center"/>
                </w:tcPr>
                <w:p w14:paraId="56F6FAE2" w14:textId="1D3238E2" w:rsidR="00675CFC" w:rsidRPr="00BC6209" w:rsidRDefault="00675CFC" w:rsidP="00675CFC">
                  <w:pPr>
                    <w:jc w:val="center"/>
                    <w:rPr>
                      <w:rFonts w:ascii="Times New Roman" w:hAnsi="Times New Roman"/>
                      <w:color w:val="4472C4"/>
                      <w:kern w:val="2"/>
                      <w:sz w:val="24"/>
                      <w:szCs w:val="24"/>
                    </w:rPr>
                  </w:pPr>
                  <w:r w:rsidRPr="00BC6209">
                    <w:rPr>
                      <w:rFonts w:ascii="Times New Roman" w:hAnsi="Times New Roman"/>
                      <w:noProof/>
                      <w:sz w:val="24"/>
                      <w:szCs w:val="24"/>
                    </w:rPr>
                    <w:t>val.</w:t>
                  </w:r>
                </w:p>
              </w:tc>
              <w:tc>
                <w:tcPr>
                  <w:tcW w:w="1274" w:type="dxa"/>
                  <w:vAlign w:val="center"/>
                </w:tcPr>
                <w:p w14:paraId="5C03A776" w14:textId="2ABCE708" w:rsidR="00675CFC" w:rsidRDefault="00675CFC" w:rsidP="00675CFC">
                  <w:pPr>
                    <w:jc w:val="center"/>
                    <w:rPr>
                      <w:color w:val="4472C4"/>
                      <w:kern w:val="2"/>
                      <w:szCs w:val="24"/>
                    </w:rPr>
                  </w:pPr>
                  <w:r>
                    <w:rPr>
                      <w:rFonts w:ascii="Times New Roman" w:hAnsi="Times New Roman"/>
                      <w:noProof/>
                      <w:sz w:val="24"/>
                      <w:szCs w:val="24"/>
                    </w:rPr>
                    <w:t>40</w:t>
                  </w:r>
                </w:p>
              </w:tc>
              <w:tc>
                <w:tcPr>
                  <w:tcW w:w="1260" w:type="dxa"/>
                  <w:vAlign w:val="center"/>
                </w:tcPr>
                <w:p w14:paraId="133C4145" w14:textId="3005392D" w:rsidR="00675CFC" w:rsidRDefault="00675CFC" w:rsidP="00675CFC">
                  <w:pPr>
                    <w:rPr>
                      <w:color w:val="4472C4"/>
                      <w:kern w:val="2"/>
                      <w:szCs w:val="24"/>
                    </w:rPr>
                  </w:pPr>
                </w:p>
              </w:tc>
              <w:tc>
                <w:tcPr>
                  <w:tcW w:w="1080" w:type="dxa"/>
                </w:tcPr>
                <w:p w14:paraId="09A0C105" w14:textId="77777777" w:rsidR="00675CFC" w:rsidRDefault="00675CFC" w:rsidP="00675CFC">
                  <w:pPr>
                    <w:rPr>
                      <w:color w:val="4472C4"/>
                      <w:kern w:val="2"/>
                      <w:szCs w:val="24"/>
                    </w:rPr>
                  </w:pPr>
                </w:p>
              </w:tc>
            </w:tr>
            <w:tr w:rsidR="00675CFC" w14:paraId="38D62E70" w14:textId="77777777" w:rsidTr="002F3E4E">
              <w:tc>
                <w:tcPr>
                  <w:tcW w:w="965" w:type="dxa"/>
                  <w:vAlign w:val="center"/>
                </w:tcPr>
                <w:p w14:paraId="08779BA6" w14:textId="1D325C22" w:rsidR="00675CFC" w:rsidRPr="00BC6209" w:rsidRDefault="00675CFC" w:rsidP="00675CFC">
                  <w:pPr>
                    <w:rPr>
                      <w:rFonts w:ascii="Times New Roman" w:hAnsi="Times New Roman"/>
                      <w:iCs/>
                      <w:sz w:val="24"/>
                      <w:szCs w:val="24"/>
                      <w:lang w:val="en-US" w:eastAsia="ar-SA"/>
                    </w:rPr>
                  </w:pPr>
                  <w:r w:rsidRPr="00BC6209">
                    <w:rPr>
                      <w:rFonts w:ascii="Times New Roman" w:hAnsi="Times New Roman"/>
                      <w:iCs/>
                      <w:sz w:val="24"/>
                      <w:szCs w:val="24"/>
                      <w:lang w:val="en-US" w:eastAsia="ar-SA"/>
                    </w:rPr>
                    <w:t>5.2.9.2.</w:t>
                  </w:r>
                </w:p>
              </w:tc>
              <w:tc>
                <w:tcPr>
                  <w:tcW w:w="2100" w:type="dxa"/>
                  <w:vAlign w:val="center"/>
                </w:tcPr>
                <w:p w14:paraId="6F9AE147" w14:textId="2BF7E8D6" w:rsidR="00675CFC" w:rsidRPr="00BC6209" w:rsidRDefault="00675CFC" w:rsidP="00675CFC">
                  <w:pPr>
                    <w:rPr>
                      <w:rFonts w:ascii="Times New Roman" w:hAnsi="Times New Roman"/>
                      <w:sz w:val="24"/>
                      <w:szCs w:val="24"/>
                    </w:rPr>
                  </w:pPr>
                  <w:r w:rsidRPr="00BC6209">
                    <w:rPr>
                      <w:rFonts w:ascii="Times New Roman" w:hAnsi="Times New Roman"/>
                      <w:sz w:val="24"/>
                      <w:szCs w:val="24"/>
                    </w:rPr>
                    <w:t>Skambučių centro valdymo ir funkcionalumo vystymo (tobulinimo) paslaugos</w:t>
                  </w:r>
                </w:p>
              </w:tc>
              <w:tc>
                <w:tcPr>
                  <w:tcW w:w="946" w:type="dxa"/>
                  <w:vAlign w:val="center"/>
                </w:tcPr>
                <w:p w14:paraId="23C166EB" w14:textId="60AC25CB" w:rsidR="00675CFC" w:rsidRPr="00BC6209" w:rsidRDefault="00675CFC" w:rsidP="00675CFC">
                  <w:pPr>
                    <w:jc w:val="center"/>
                    <w:rPr>
                      <w:rFonts w:ascii="Times New Roman" w:hAnsi="Times New Roman"/>
                      <w:noProof/>
                      <w:sz w:val="24"/>
                      <w:szCs w:val="24"/>
                      <w:lang w:val="en-US"/>
                    </w:rPr>
                  </w:pPr>
                  <w:r w:rsidRPr="00BC6209">
                    <w:rPr>
                      <w:rFonts w:ascii="Times New Roman" w:hAnsi="Times New Roman"/>
                      <w:noProof/>
                      <w:sz w:val="24"/>
                      <w:szCs w:val="24"/>
                    </w:rPr>
                    <w:t>val.</w:t>
                  </w:r>
                </w:p>
              </w:tc>
              <w:tc>
                <w:tcPr>
                  <w:tcW w:w="1274" w:type="dxa"/>
                  <w:vAlign w:val="center"/>
                </w:tcPr>
                <w:p w14:paraId="4D95FE3E" w14:textId="4732C499" w:rsidR="00675CFC" w:rsidRDefault="00675CFC" w:rsidP="00675CFC">
                  <w:pPr>
                    <w:jc w:val="center"/>
                    <w:rPr>
                      <w:noProof/>
                      <w:szCs w:val="24"/>
                    </w:rPr>
                  </w:pPr>
                  <w:r>
                    <w:rPr>
                      <w:rFonts w:ascii="Times New Roman" w:hAnsi="Times New Roman"/>
                      <w:noProof/>
                      <w:sz w:val="24"/>
                      <w:szCs w:val="24"/>
                      <w:lang w:val="en-US"/>
                    </w:rPr>
                    <w:t>30</w:t>
                  </w:r>
                </w:p>
              </w:tc>
              <w:tc>
                <w:tcPr>
                  <w:tcW w:w="1260" w:type="dxa"/>
                  <w:vAlign w:val="center"/>
                </w:tcPr>
                <w:p w14:paraId="0E476532" w14:textId="77777777" w:rsidR="00675CFC" w:rsidRDefault="00675CFC" w:rsidP="00675CFC">
                  <w:pPr>
                    <w:rPr>
                      <w:noProof/>
                      <w:szCs w:val="24"/>
                      <w:lang w:val="en-US"/>
                    </w:rPr>
                  </w:pPr>
                </w:p>
              </w:tc>
              <w:tc>
                <w:tcPr>
                  <w:tcW w:w="1080" w:type="dxa"/>
                </w:tcPr>
                <w:p w14:paraId="6401EC61" w14:textId="77777777" w:rsidR="00675CFC" w:rsidRDefault="00675CFC" w:rsidP="00675CFC">
                  <w:pPr>
                    <w:rPr>
                      <w:color w:val="4472C4"/>
                      <w:kern w:val="2"/>
                      <w:szCs w:val="24"/>
                    </w:rPr>
                  </w:pPr>
                </w:p>
              </w:tc>
            </w:tr>
          </w:tbl>
          <w:p w14:paraId="34FECCED" w14:textId="77777777" w:rsidR="002A7A20" w:rsidRDefault="002A7A20" w:rsidP="007C3B7B">
            <w:pPr>
              <w:jc w:val="both"/>
              <w:rPr>
                <w:color w:val="000000"/>
                <w:kern w:val="2"/>
                <w:szCs w:val="24"/>
              </w:rPr>
            </w:pPr>
          </w:p>
          <w:p w14:paraId="62750904" w14:textId="12498A8B" w:rsidR="00674DD8" w:rsidRDefault="00674DD8" w:rsidP="00674DD8">
            <w:pPr>
              <w:jc w:val="both"/>
              <w:rPr>
                <w:kern w:val="2"/>
                <w:szCs w:val="24"/>
              </w:rPr>
            </w:pPr>
            <w:r>
              <w:rPr>
                <w:kern w:val="2"/>
                <w:szCs w:val="24"/>
              </w:rPr>
              <w:t>5.2.10. Fiksuoto įkainio kainodara:</w:t>
            </w:r>
          </w:p>
          <w:tbl>
            <w:tblPr>
              <w:tblStyle w:val="Lentelstinklelis"/>
              <w:tblW w:w="7625" w:type="dxa"/>
              <w:tblLayout w:type="fixed"/>
              <w:tblLook w:val="04A0" w:firstRow="1" w:lastRow="0" w:firstColumn="1" w:lastColumn="0" w:noHBand="0" w:noVBand="1"/>
            </w:tblPr>
            <w:tblGrid>
              <w:gridCol w:w="1056"/>
              <w:gridCol w:w="1838"/>
              <w:gridCol w:w="1222"/>
              <w:gridCol w:w="1443"/>
              <w:gridCol w:w="1076"/>
              <w:gridCol w:w="990"/>
            </w:tblGrid>
            <w:tr w:rsidR="00674DD8" w:rsidRPr="001440FF" w14:paraId="0B014CFE" w14:textId="77777777" w:rsidTr="002F3E4E">
              <w:tc>
                <w:tcPr>
                  <w:tcW w:w="1056" w:type="dxa"/>
                  <w:vAlign w:val="center"/>
                </w:tcPr>
                <w:p w14:paraId="3EE7C721" w14:textId="77777777" w:rsidR="00674DD8" w:rsidRPr="001440FF" w:rsidRDefault="00674DD8" w:rsidP="00674DD8">
                  <w:pPr>
                    <w:rPr>
                      <w:color w:val="4472C4"/>
                      <w:kern w:val="2"/>
                      <w:szCs w:val="24"/>
                    </w:rPr>
                  </w:pPr>
                  <w:r w:rsidRPr="001440FF">
                    <w:rPr>
                      <w:rFonts w:ascii="Times New Roman" w:hAnsi="Times New Roman"/>
                      <w:noProof/>
                      <w:sz w:val="24"/>
                      <w:szCs w:val="24"/>
                    </w:rPr>
                    <w:t>Eil. Nr.</w:t>
                  </w:r>
                </w:p>
              </w:tc>
              <w:tc>
                <w:tcPr>
                  <w:tcW w:w="1838" w:type="dxa"/>
                  <w:vAlign w:val="center"/>
                </w:tcPr>
                <w:p w14:paraId="5CCF1BB2" w14:textId="5A698BD3" w:rsidR="00674DD8" w:rsidRPr="00674DD8" w:rsidRDefault="00674DD8" w:rsidP="00674DD8">
                  <w:pPr>
                    <w:jc w:val="center"/>
                    <w:rPr>
                      <w:color w:val="4472C4"/>
                      <w:kern w:val="2"/>
                      <w:szCs w:val="24"/>
                    </w:rPr>
                  </w:pPr>
                  <w:r w:rsidRPr="00674DD8">
                    <w:rPr>
                      <w:rFonts w:ascii="Times New Roman" w:hAnsi="Times New Roman"/>
                      <w:noProof/>
                      <w:sz w:val="24"/>
                      <w:szCs w:val="24"/>
                    </w:rPr>
                    <w:t>Paslaugų pavadinimas</w:t>
                  </w:r>
                </w:p>
              </w:tc>
              <w:tc>
                <w:tcPr>
                  <w:tcW w:w="1222" w:type="dxa"/>
                  <w:vAlign w:val="center"/>
                </w:tcPr>
                <w:p w14:paraId="1E260AFA" w14:textId="77777777" w:rsidR="00674DD8" w:rsidRPr="00674DD8" w:rsidRDefault="00674DD8" w:rsidP="00674DD8">
                  <w:pPr>
                    <w:jc w:val="center"/>
                    <w:rPr>
                      <w:rFonts w:ascii="Times New Roman" w:hAnsi="Times New Roman"/>
                      <w:noProof/>
                      <w:sz w:val="24"/>
                      <w:szCs w:val="24"/>
                    </w:rPr>
                  </w:pPr>
                  <w:r w:rsidRPr="00674DD8">
                    <w:rPr>
                      <w:rFonts w:ascii="Times New Roman" w:hAnsi="Times New Roman"/>
                      <w:noProof/>
                      <w:sz w:val="24"/>
                      <w:szCs w:val="24"/>
                    </w:rPr>
                    <w:t>Mato vienetas</w:t>
                  </w:r>
                </w:p>
                <w:p w14:paraId="4454E038" w14:textId="77777777" w:rsidR="00674DD8" w:rsidRPr="00674DD8" w:rsidRDefault="00674DD8" w:rsidP="00674DD8">
                  <w:pPr>
                    <w:rPr>
                      <w:color w:val="4472C4"/>
                      <w:kern w:val="2"/>
                      <w:szCs w:val="24"/>
                    </w:rPr>
                  </w:pPr>
                </w:p>
              </w:tc>
              <w:tc>
                <w:tcPr>
                  <w:tcW w:w="1443" w:type="dxa"/>
                  <w:vAlign w:val="center"/>
                </w:tcPr>
                <w:p w14:paraId="072AAAED" w14:textId="25E17061" w:rsidR="00674DD8" w:rsidRPr="00674DD8" w:rsidRDefault="00674DD8" w:rsidP="00674DD8">
                  <w:pPr>
                    <w:jc w:val="center"/>
                    <w:rPr>
                      <w:color w:val="4472C4"/>
                      <w:kern w:val="2"/>
                      <w:szCs w:val="24"/>
                    </w:rPr>
                  </w:pPr>
                  <w:r w:rsidRPr="00674DD8">
                    <w:rPr>
                      <w:rFonts w:ascii="Times New Roman" w:hAnsi="Times New Roman"/>
                      <w:noProof/>
                      <w:sz w:val="24"/>
                      <w:szCs w:val="24"/>
                    </w:rPr>
                    <w:t>Preliminarus mato vieneto kiekis</w:t>
                  </w:r>
                  <w:r w:rsidRPr="00674DD8">
                    <w:rPr>
                      <w:rFonts w:ascii="Times New Roman" w:hAnsi="Times New Roman"/>
                      <w:noProof/>
                      <w:sz w:val="24"/>
                      <w:szCs w:val="24"/>
                      <w:vertAlign w:val="superscript"/>
                    </w:rPr>
                    <w:footnoteReference w:id="14"/>
                  </w:r>
                </w:p>
              </w:tc>
              <w:tc>
                <w:tcPr>
                  <w:tcW w:w="1076" w:type="dxa"/>
                </w:tcPr>
                <w:p w14:paraId="0AEBECC4" w14:textId="65C29053" w:rsidR="00674DD8" w:rsidRPr="00674DD8" w:rsidRDefault="00674DD8" w:rsidP="00674DD8">
                  <w:pPr>
                    <w:jc w:val="center"/>
                    <w:rPr>
                      <w:color w:val="4472C4"/>
                      <w:kern w:val="2"/>
                      <w:szCs w:val="24"/>
                    </w:rPr>
                  </w:pPr>
                  <w:r w:rsidRPr="00674DD8">
                    <w:rPr>
                      <w:rFonts w:ascii="Times New Roman" w:hAnsi="Times New Roman"/>
                      <w:noProof/>
                      <w:sz w:val="24"/>
                      <w:szCs w:val="24"/>
                    </w:rPr>
                    <w:t>Paslaugos įkainis už mato vienetą EUR be PVM</w:t>
                  </w:r>
                </w:p>
              </w:tc>
              <w:tc>
                <w:tcPr>
                  <w:tcW w:w="990" w:type="dxa"/>
                  <w:vAlign w:val="center"/>
                </w:tcPr>
                <w:p w14:paraId="3358FCC0" w14:textId="77777777" w:rsidR="00674DD8" w:rsidRPr="00674DD8" w:rsidRDefault="00674DD8" w:rsidP="00674DD8">
                  <w:pPr>
                    <w:tabs>
                      <w:tab w:val="left" w:pos="200"/>
                    </w:tabs>
                    <w:jc w:val="center"/>
                    <w:rPr>
                      <w:rFonts w:ascii="Times New Roman" w:hAnsi="Times New Roman"/>
                      <w:noProof/>
                      <w:sz w:val="24"/>
                      <w:szCs w:val="24"/>
                    </w:rPr>
                  </w:pPr>
                  <w:r w:rsidRPr="00674DD8">
                    <w:rPr>
                      <w:rFonts w:ascii="Times New Roman" w:hAnsi="Times New Roman"/>
                      <w:noProof/>
                      <w:sz w:val="24"/>
                      <w:szCs w:val="24"/>
                    </w:rPr>
                    <w:t>Bendra kaina</w:t>
                  </w:r>
                </w:p>
                <w:p w14:paraId="17E6C431" w14:textId="77E51E19" w:rsidR="00674DD8" w:rsidRPr="00674DD8" w:rsidRDefault="00674DD8" w:rsidP="00674DD8">
                  <w:pPr>
                    <w:jc w:val="center"/>
                    <w:rPr>
                      <w:color w:val="4472C4"/>
                      <w:kern w:val="2"/>
                      <w:szCs w:val="24"/>
                    </w:rPr>
                  </w:pPr>
                  <w:r w:rsidRPr="00674DD8">
                    <w:rPr>
                      <w:rFonts w:ascii="Times New Roman" w:hAnsi="Times New Roman"/>
                      <w:noProof/>
                      <w:sz w:val="24"/>
                      <w:szCs w:val="24"/>
                    </w:rPr>
                    <w:t>EUR be PVM</w:t>
                  </w:r>
                </w:p>
              </w:tc>
            </w:tr>
            <w:tr w:rsidR="00674DD8" w:rsidRPr="001440FF" w14:paraId="4E45E428" w14:textId="77777777" w:rsidTr="002F3E4E">
              <w:tc>
                <w:tcPr>
                  <w:tcW w:w="1056" w:type="dxa"/>
                  <w:vAlign w:val="center"/>
                </w:tcPr>
                <w:p w14:paraId="4BF360CC" w14:textId="77777777" w:rsidR="00674DD8" w:rsidRPr="001440FF" w:rsidRDefault="00674DD8" w:rsidP="00674DD8">
                  <w:pPr>
                    <w:rPr>
                      <w:rFonts w:ascii="Times New Roman" w:hAnsi="Times New Roman"/>
                      <w:i/>
                      <w:kern w:val="2"/>
                      <w:szCs w:val="24"/>
                    </w:rPr>
                  </w:pPr>
                  <w:r w:rsidRPr="001440FF">
                    <w:rPr>
                      <w:rFonts w:ascii="Times New Roman" w:hAnsi="Times New Roman"/>
                      <w:i/>
                      <w:noProof/>
                    </w:rPr>
                    <w:t>(1)</w:t>
                  </w:r>
                </w:p>
              </w:tc>
              <w:tc>
                <w:tcPr>
                  <w:tcW w:w="1838" w:type="dxa"/>
                  <w:vAlign w:val="center"/>
                </w:tcPr>
                <w:p w14:paraId="52D5589C" w14:textId="77777777" w:rsidR="00674DD8" w:rsidRPr="001440FF" w:rsidRDefault="00674DD8" w:rsidP="00674DD8">
                  <w:pPr>
                    <w:rPr>
                      <w:rFonts w:ascii="Times New Roman" w:hAnsi="Times New Roman"/>
                      <w:i/>
                      <w:kern w:val="2"/>
                      <w:szCs w:val="24"/>
                    </w:rPr>
                  </w:pPr>
                  <w:r w:rsidRPr="001440FF">
                    <w:rPr>
                      <w:rFonts w:ascii="Times New Roman" w:hAnsi="Times New Roman"/>
                      <w:i/>
                      <w:noProof/>
                    </w:rPr>
                    <w:t>(2)</w:t>
                  </w:r>
                </w:p>
              </w:tc>
              <w:tc>
                <w:tcPr>
                  <w:tcW w:w="1222" w:type="dxa"/>
                  <w:vAlign w:val="center"/>
                </w:tcPr>
                <w:p w14:paraId="5DB54517" w14:textId="77777777" w:rsidR="00674DD8" w:rsidRPr="001440FF" w:rsidRDefault="00674DD8" w:rsidP="00674DD8">
                  <w:pPr>
                    <w:rPr>
                      <w:rFonts w:ascii="Times New Roman" w:hAnsi="Times New Roman"/>
                      <w:i/>
                      <w:kern w:val="2"/>
                      <w:szCs w:val="24"/>
                    </w:rPr>
                  </w:pPr>
                  <w:r w:rsidRPr="001440FF">
                    <w:rPr>
                      <w:rFonts w:ascii="Times New Roman" w:hAnsi="Times New Roman"/>
                      <w:i/>
                      <w:noProof/>
                    </w:rPr>
                    <w:t>(3)</w:t>
                  </w:r>
                </w:p>
              </w:tc>
              <w:tc>
                <w:tcPr>
                  <w:tcW w:w="1443" w:type="dxa"/>
                  <w:vAlign w:val="center"/>
                </w:tcPr>
                <w:p w14:paraId="0E287D31" w14:textId="77777777" w:rsidR="00674DD8" w:rsidRPr="001440FF" w:rsidRDefault="00674DD8" w:rsidP="00674DD8">
                  <w:pPr>
                    <w:rPr>
                      <w:rFonts w:ascii="Times New Roman" w:hAnsi="Times New Roman"/>
                      <w:i/>
                      <w:kern w:val="2"/>
                      <w:szCs w:val="24"/>
                    </w:rPr>
                  </w:pPr>
                  <w:r w:rsidRPr="001440FF">
                    <w:rPr>
                      <w:rFonts w:ascii="Times New Roman" w:hAnsi="Times New Roman"/>
                      <w:i/>
                      <w:noProof/>
                      <w:lang w:val="en-US"/>
                    </w:rPr>
                    <w:t>(4)</w:t>
                  </w:r>
                </w:p>
              </w:tc>
              <w:tc>
                <w:tcPr>
                  <w:tcW w:w="1076" w:type="dxa"/>
                </w:tcPr>
                <w:p w14:paraId="4257819D" w14:textId="77777777" w:rsidR="00674DD8" w:rsidRPr="001440FF" w:rsidRDefault="00674DD8" w:rsidP="00674DD8">
                  <w:pPr>
                    <w:rPr>
                      <w:rFonts w:ascii="Times New Roman" w:hAnsi="Times New Roman"/>
                      <w:i/>
                      <w:kern w:val="2"/>
                      <w:szCs w:val="24"/>
                    </w:rPr>
                  </w:pPr>
                  <w:r w:rsidRPr="001440FF">
                    <w:rPr>
                      <w:rFonts w:ascii="Times New Roman" w:hAnsi="Times New Roman"/>
                      <w:i/>
                      <w:kern w:val="2"/>
                      <w:szCs w:val="24"/>
                    </w:rPr>
                    <w:t>(5)</w:t>
                  </w:r>
                </w:p>
              </w:tc>
              <w:tc>
                <w:tcPr>
                  <w:tcW w:w="990" w:type="dxa"/>
                </w:tcPr>
                <w:p w14:paraId="32144272" w14:textId="77777777" w:rsidR="00674DD8" w:rsidRPr="001440FF" w:rsidRDefault="00674DD8" w:rsidP="00674DD8">
                  <w:pPr>
                    <w:rPr>
                      <w:rFonts w:ascii="Times New Roman" w:hAnsi="Times New Roman"/>
                      <w:i/>
                      <w:kern w:val="2"/>
                      <w:szCs w:val="24"/>
                    </w:rPr>
                  </w:pPr>
                  <w:r w:rsidRPr="001440FF">
                    <w:rPr>
                      <w:rFonts w:ascii="Times New Roman" w:hAnsi="Times New Roman"/>
                      <w:i/>
                      <w:kern w:val="2"/>
                      <w:szCs w:val="24"/>
                    </w:rPr>
                    <w:t>(6)</w:t>
                  </w:r>
                </w:p>
              </w:tc>
            </w:tr>
            <w:tr w:rsidR="00674DD8" w14:paraId="71FD700A" w14:textId="77777777" w:rsidTr="002F3E4E">
              <w:tc>
                <w:tcPr>
                  <w:tcW w:w="1056" w:type="dxa"/>
                  <w:vAlign w:val="center"/>
                </w:tcPr>
                <w:p w14:paraId="6A4EBD14" w14:textId="27C03B96" w:rsidR="00674DD8" w:rsidRDefault="00674DD8" w:rsidP="00674DD8">
                  <w:pPr>
                    <w:rPr>
                      <w:color w:val="4472C4"/>
                      <w:kern w:val="2"/>
                      <w:szCs w:val="24"/>
                    </w:rPr>
                  </w:pPr>
                  <w:r>
                    <w:rPr>
                      <w:rFonts w:ascii="Times New Roman" w:hAnsi="Times New Roman"/>
                      <w:iCs/>
                      <w:sz w:val="24"/>
                      <w:szCs w:val="24"/>
                      <w:lang w:val="en-US" w:eastAsia="ar-SA"/>
                    </w:rPr>
                    <w:t>5.2.10.1.</w:t>
                  </w:r>
                </w:p>
              </w:tc>
              <w:tc>
                <w:tcPr>
                  <w:tcW w:w="1838" w:type="dxa"/>
                  <w:vAlign w:val="center"/>
                </w:tcPr>
                <w:p w14:paraId="69B88D57" w14:textId="4A8568AE" w:rsidR="00674DD8" w:rsidRDefault="00674DD8" w:rsidP="00674DD8">
                  <w:pPr>
                    <w:rPr>
                      <w:color w:val="4472C4"/>
                      <w:kern w:val="2"/>
                      <w:szCs w:val="24"/>
                    </w:rPr>
                  </w:pPr>
                  <w:r w:rsidRPr="001D0535">
                    <w:rPr>
                      <w:rFonts w:ascii="Times New Roman" w:hAnsi="Times New Roman"/>
                      <w:sz w:val="24"/>
                      <w:szCs w:val="24"/>
                    </w:rPr>
                    <w:t>800-osios linijos paslaugos</w:t>
                  </w:r>
                  <w:r>
                    <w:rPr>
                      <w:rFonts w:ascii="Times New Roman" w:hAnsi="Times New Roman"/>
                      <w:sz w:val="24"/>
                      <w:szCs w:val="24"/>
                    </w:rPr>
                    <w:t xml:space="preserve"> </w:t>
                  </w:r>
                </w:p>
              </w:tc>
              <w:tc>
                <w:tcPr>
                  <w:tcW w:w="1222" w:type="dxa"/>
                  <w:vAlign w:val="center"/>
                </w:tcPr>
                <w:p w14:paraId="68134414" w14:textId="57FBA47D" w:rsidR="00674DD8" w:rsidRDefault="00674DD8" w:rsidP="00674DD8">
                  <w:pPr>
                    <w:rPr>
                      <w:color w:val="4472C4"/>
                      <w:kern w:val="2"/>
                      <w:szCs w:val="24"/>
                    </w:rPr>
                  </w:pPr>
                  <w:r>
                    <w:rPr>
                      <w:rFonts w:ascii="Times New Roman" w:hAnsi="Times New Roman"/>
                      <w:noProof/>
                      <w:sz w:val="24"/>
                      <w:szCs w:val="24"/>
                    </w:rPr>
                    <w:t>1 mėn.</w:t>
                  </w:r>
                </w:p>
              </w:tc>
              <w:tc>
                <w:tcPr>
                  <w:tcW w:w="1443" w:type="dxa"/>
                  <w:vAlign w:val="center"/>
                </w:tcPr>
                <w:p w14:paraId="4627AEAC" w14:textId="5FB3FE24" w:rsidR="00674DD8" w:rsidRDefault="00674DD8" w:rsidP="00674DD8">
                  <w:pPr>
                    <w:jc w:val="center"/>
                    <w:rPr>
                      <w:color w:val="4472C4"/>
                      <w:kern w:val="2"/>
                      <w:szCs w:val="24"/>
                    </w:rPr>
                  </w:pPr>
                  <w:r>
                    <w:rPr>
                      <w:rFonts w:ascii="Times New Roman" w:hAnsi="Times New Roman"/>
                      <w:noProof/>
                      <w:sz w:val="24"/>
                      <w:szCs w:val="24"/>
                    </w:rPr>
                    <w:t>36</w:t>
                  </w:r>
                </w:p>
              </w:tc>
              <w:tc>
                <w:tcPr>
                  <w:tcW w:w="1076" w:type="dxa"/>
                  <w:vAlign w:val="center"/>
                </w:tcPr>
                <w:p w14:paraId="7B64DC8A" w14:textId="1E4307D8" w:rsidR="00674DD8" w:rsidRDefault="00674DD8" w:rsidP="00674DD8">
                  <w:pPr>
                    <w:jc w:val="center"/>
                    <w:rPr>
                      <w:color w:val="4472C4"/>
                      <w:kern w:val="2"/>
                      <w:szCs w:val="24"/>
                    </w:rPr>
                  </w:pPr>
                </w:p>
              </w:tc>
              <w:tc>
                <w:tcPr>
                  <w:tcW w:w="990" w:type="dxa"/>
                </w:tcPr>
                <w:p w14:paraId="676D9517" w14:textId="77777777" w:rsidR="00674DD8" w:rsidRDefault="00674DD8" w:rsidP="00674DD8">
                  <w:pPr>
                    <w:rPr>
                      <w:color w:val="4472C4"/>
                      <w:kern w:val="2"/>
                      <w:szCs w:val="24"/>
                    </w:rPr>
                  </w:pPr>
                </w:p>
              </w:tc>
            </w:tr>
          </w:tbl>
          <w:p w14:paraId="0047EDA8" w14:textId="77777777" w:rsidR="00674DD8" w:rsidRDefault="00674DD8" w:rsidP="007C3B7B">
            <w:pPr>
              <w:jc w:val="both"/>
              <w:rPr>
                <w:color w:val="000000"/>
                <w:kern w:val="2"/>
                <w:szCs w:val="24"/>
              </w:rPr>
            </w:pPr>
          </w:p>
          <w:p w14:paraId="0751799F" w14:textId="77777777" w:rsidR="007C3B7B" w:rsidRPr="007C3B7B" w:rsidRDefault="007C3B7B" w:rsidP="007C3B7B">
            <w:pPr>
              <w:jc w:val="both"/>
              <w:rPr>
                <w:color w:val="000000"/>
                <w:kern w:val="2"/>
                <w:szCs w:val="24"/>
              </w:rPr>
            </w:pPr>
          </w:p>
          <w:p w14:paraId="5ED62AFD" w14:textId="77777777" w:rsidR="004F3C9F" w:rsidRDefault="004F3C9F" w:rsidP="004F3C9F">
            <w:pPr>
              <w:rPr>
                <w:color w:val="000000"/>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p>
          <w:p w14:paraId="737B1175" w14:textId="77777777" w:rsidR="001440FF" w:rsidRDefault="001440FF" w:rsidP="004F3C9F">
            <w:pPr>
              <w:rPr>
                <w:color w:val="000000"/>
                <w:kern w:val="2"/>
                <w:szCs w:val="24"/>
              </w:rPr>
            </w:pPr>
          </w:p>
          <w:p w14:paraId="1415BED9" w14:textId="0AB80E4D" w:rsidR="001440FF" w:rsidRDefault="001440FF" w:rsidP="004F3C9F">
            <w:pPr>
              <w:rPr>
                <w:color w:val="4472C4"/>
                <w:kern w:val="2"/>
                <w:szCs w:val="24"/>
              </w:rPr>
            </w:pPr>
          </w:p>
        </w:tc>
      </w:tr>
      <w:tr w:rsidR="004F3C9F" w14:paraId="267D47BF" w14:textId="77777777" w:rsidTr="009C1B70">
        <w:trPr>
          <w:trHeight w:val="300"/>
        </w:trPr>
        <w:tc>
          <w:tcPr>
            <w:tcW w:w="2335" w:type="dxa"/>
            <w:gridSpan w:val="2"/>
          </w:tcPr>
          <w:p w14:paraId="53EBA4B1" w14:textId="0151CF84" w:rsidR="004F3C9F" w:rsidRDefault="004F3C9F" w:rsidP="00674DD8">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7920" w:type="dxa"/>
            <w:gridSpan w:val="2"/>
          </w:tcPr>
          <w:p w14:paraId="5CAC5086" w14:textId="77777777" w:rsidR="004F3C9F" w:rsidRPr="00657400" w:rsidRDefault="004F3C9F" w:rsidP="004F3C9F">
            <w:pPr>
              <w:jc w:val="both"/>
              <w:rPr>
                <w:szCs w:val="24"/>
              </w:rPr>
            </w:pPr>
            <w:r w:rsidRPr="00657400">
              <w:rPr>
                <w:kern w:val="2"/>
                <w:szCs w:val="24"/>
              </w:rPr>
              <w:t>Sutarties kaina bus perskaičiuojami:</w:t>
            </w:r>
          </w:p>
          <w:p w14:paraId="599A1A04" w14:textId="77777777" w:rsidR="004F3C9F" w:rsidRPr="00657400" w:rsidRDefault="004F3C9F" w:rsidP="004F3C9F">
            <w:pPr>
              <w:jc w:val="both"/>
              <w:rPr>
                <w:kern w:val="2"/>
                <w:szCs w:val="24"/>
              </w:rPr>
            </w:pPr>
            <w:r w:rsidRPr="00B82199">
              <w:rPr>
                <w:b/>
                <w:bCs/>
                <w:kern w:val="2"/>
                <w:szCs w:val="24"/>
              </w:rPr>
              <w:t xml:space="preserve">5.3.1. </w:t>
            </w:r>
            <w:r w:rsidRPr="00657400">
              <w:rPr>
                <w:b/>
                <w:bCs/>
                <w:kern w:val="2"/>
                <w:szCs w:val="24"/>
              </w:rPr>
              <w:t>dėl PVM tarifo pasikeitimo</w:t>
            </w:r>
            <w:r w:rsidRPr="00657400">
              <w:rPr>
                <w:kern w:val="2"/>
                <w:szCs w:val="24"/>
              </w:rPr>
              <w:t>;</w:t>
            </w:r>
          </w:p>
          <w:p w14:paraId="07E4F688" w14:textId="77777777" w:rsidR="004F3C9F" w:rsidRPr="00657400" w:rsidRDefault="004F3C9F" w:rsidP="004F3C9F">
            <w:pPr>
              <w:jc w:val="both"/>
              <w:rPr>
                <w:kern w:val="2"/>
                <w:szCs w:val="24"/>
              </w:rPr>
            </w:pPr>
            <w:r w:rsidRPr="00657400">
              <w:rPr>
                <w:kern w:val="2"/>
                <w:szCs w:val="24"/>
              </w:rPr>
              <w:t>5.3.2. dėl kitų mokesčių, lemiančių P</w:t>
            </w:r>
            <w:r w:rsidRPr="00657400">
              <w:rPr>
                <w:szCs w:val="24"/>
              </w:rPr>
              <w:t>aslaugų</w:t>
            </w:r>
            <w:r w:rsidRPr="00657400">
              <w:rPr>
                <w:kern w:val="2"/>
                <w:szCs w:val="24"/>
              </w:rPr>
              <w:t xml:space="preserve"> kainos / įkainių pokytį, pasikeitimo (nurodyti mokesčius, dėl kurių bus atliekamas perskaičiavimas)</w:t>
            </w:r>
            <w:r>
              <w:rPr>
                <w:kern w:val="2"/>
                <w:szCs w:val="24"/>
              </w:rPr>
              <w:t xml:space="preserve"> (</w:t>
            </w:r>
            <w:r w:rsidRPr="00B82199">
              <w:rPr>
                <w:i/>
                <w:iCs/>
                <w:kern w:val="2"/>
                <w:szCs w:val="24"/>
              </w:rPr>
              <w:t>netaikoma</w:t>
            </w:r>
            <w:r>
              <w:rPr>
                <w:kern w:val="2"/>
                <w:szCs w:val="24"/>
              </w:rPr>
              <w:t>)</w:t>
            </w:r>
            <w:r w:rsidRPr="00657400">
              <w:rPr>
                <w:kern w:val="2"/>
                <w:szCs w:val="24"/>
              </w:rPr>
              <w:t>;</w:t>
            </w:r>
          </w:p>
          <w:p w14:paraId="75D2622C" w14:textId="77777777" w:rsidR="004F3C9F" w:rsidRPr="00B82199" w:rsidRDefault="004F3C9F" w:rsidP="004F3C9F">
            <w:pPr>
              <w:jc w:val="both"/>
              <w:rPr>
                <w:b/>
                <w:bCs/>
                <w:kern w:val="2"/>
                <w:szCs w:val="24"/>
              </w:rPr>
            </w:pPr>
            <w:r w:rsidRPr="00B82199">
              <w:rPr>
                <w:b/>
                <w:bCs/>
                <w:kern w:val="2"/>
                <w:szCs w:val="24"/>
              </w:rPr>
              <w:t>5.3.3. dėl kainų lygio pokyčio;</w:t>
            </w:r>
          </w:p>
          <w:p w14:paraId="662EA503" w14:textId="230D169D" w:rsidR="004F3C9F" w:rsidRDefault="004F3C9F" w:rsidP="004F3C9F">
            <w:pPr>
              <w:rPr>
                <w:color w:val="FF0000"/>
                <w:kern w:val="2"/>
                <w:szCs w:val="24"/>
              </w:rPr>
            </w:pPr>
            <w:r w:rsidRPr="00657400">
              <w:rPr>
                <w:kern w:val="2"/>
                <w:szCs w:val="24"/>
              </w:rPr>
              <w:t>5.3.4. pagal P</w:t>
            </w:r>
            <w:r w:rsidRPr="00657400">
              <w:rPr>
                <w:szCs w:val="24"/>
              </w:rPr>
              <w:t>aslaugų</w:t>
            </w:r>
            <w:r w:rsidRPr="00657400">
              <w:rPr>
                <w:kern w:val="2"/>
                <w:szCs w:val="24"/>
              </w:rPr>
              <w:t xml:space="preserve"> grupių (įvardinti konkrečią grupę pagal Sutarties dalyką) kainų pokyčius</w:t>
            </w:r>
            <w:r>
              <w:rPr>
                <w:kern w:val="2"/>
                <w:szCs w:val="24"/>
              </w:rPr>
              <w:t xml:space="preserve"> </w:t>
            </w:r>
            <w:r w:rsidRPr="00B82199">
              <w:rPr>
                <w:i/>
                <w:iCs/>
                <w:kern w:val="2"/>
                <w:szCs w:val="24"/>
              </w:rPr>
              <w:t>(netaikoma).</w:t>
            </w:r>
          </w:p>
        </w:tc>
      </w:tr>
      <w:tr w:rsidR="004F3C9F" w14:paraId="493E8FAB" w14:textId="77777777" w:rsidTr="009C1B70">
        <w:trPr>
          <w:trHeight w:val="300"/>
        </w:trPr>
        <w:tc>
          <w:tcPr>
            <w:tcW w:w="2335" w:type="dxa"/>
            <w:gridSpan w:val="2"/>
          </w:tcPr>
          <w:p w14:paraId="2F363431" w14:textId="77777777" w:rsidR="004F3C9F" w:rsidRDefault="004F3C9F" w:rsidP="004F3C9F">
            <w:pPr>
              <w:rPr>
                <w:b/>
                <w:kern w:val="2"/>
                <w:szCs w:val="24"/>
              </w:rPr>
            </w:pPr>
            <w:r>
              <w:rPr>
                <w:b/>
                <w:kern w:val="2"/>
                <w:szCs w:val="24"/>
              </w:rPr>
              <w:t>5.3.1. Sutarties kainos / įkainių peržiūra dėl PVM tarifo pasikeitimo</w:t>
            </w:r>
          </w:p>
        </w:tc>
        <w:tc>
          <w:tcPr>
            <w:tcW w:w="7920" w:type="dxa"/>
            <w:gridSpan w:val="2"/>
          </w:tcPr>
          <w:p w14:paraId="6580F329" w14:textId="38BA7B6C" w:rsidR="004F3C9F" w:rsidRPr="00657400" w:rsidRDefault="004F3C9F" w:rsidP="004F3C9F">
            <w:pPr>
              <w:jc w:val="both"/>
              <w:rPr>
                <w:szCs w:val="24"/>
              </w:rPr>
            </w:pPr>
            <w:r w:rsidRPr="00657400">
              <w:rPr>
                <w:kern w:val="2"/>
                <w:szCs w:val="24"/>
              </w:rPr>
              <w:t>Jeigu Sutarties vykdymo metu pasikeičia PVM mokėjimą reglamentuojantys teisės aktai, darantys tiesioginę įtaką Tiekėjo t</w:t>
            </w:r>
            <w:r w:rsidRPr="00657400">
              <w:rPr>
                <w:szCs w:val="24"/>
              </w:rPr>
              <w:t>ei</w:t>
            </w:r>
            <w:r w:rsidRPr="00657400">
              <w:rPr>
                <w:kern w:val="2"/>
                <w:szCs w:val="24"/>
              </w:rPr>
              <w:t>kiamų P</w:t>
            </w:r>
            <w:r w:rsidRPr="00657400">
              <w:rPr>
                <w:szCs w:val="24"/>
              </w:rPr>
              <w:t>aslaugų</w:t>
            </w:r>
            <w:r w:rsidRPr="00657400">
              <w:rPr>
                <w:kern w:val="2"/>
                <w:szCs w:val="24"/>
              </w:rPr>
              <w:t xml:space="preserve"> Sutartyje nurodytai kainai / įkainiams, Sutarties kaina / įkainiai perskaičiuojami nekeičiant P</w:t>
            </w:r>
            <w:r w:rsidRPr="00657400">
              <w:rPr>
                <w:szCs w:val="24"/>
              </w:rPr>
              <w:t>aslaugų</w:t>
            </w:r>
            <w:r w:rsidRPr="00657400">
              <w:rPr>
                <w:kern w:val="2"/>
                <w:szCs w:val="24"/>
              </w:rPr>
              <w:t xml:space="preserve"> kainos / įkainio be PVM.</w:t>
            </w:r>
          </w:p>
          <w:p w14:paraId="1EFD4643" w14:textId="77777777" w:rsidR="004F3C9F" w:rsidRPr="00657400" w:rsidRDefault="004F3C9F" w:rsidP="004F3C9F">
            <w:pPr>
              <w:jc w:val="both"/>
              <w:rPr>
                <w:kern w:val="2"/>
                <w:szCs w:val="24"/>
              </w:rPr>
            </w:pPr>
          </w:p>
          <w:p w14:paraId="20571E9F" w14:textId="73CD1DAE" w:rsidR="004F3C9F" w:rsidRDefault="004F3C9F" w:rsidP="004F3C9F">
            <w:pPr>
              <w:rPr>
                <w:szCs w:val="24"/>
              </w:rPr>
            </w:pPr>
            <w:r w:rsidRPr="00657400">
              <w:rPr>
                <w:kern w:val="2"/>
                <w:szCs w:val="24"/>
              </w:rPr>
              <w:t>Perskaičiuota (-i) Sutarties kaina / įkainiai įforminama (-i) Susitarimu ir turi būti taikoma (-i) nuo naujo PVM įvedimo datos (nepriklausomai nuo to, kada pasirašytas Susitarimas)</w:t>
            </w:r>
            <w:r>
              <w:rPr>
                <w:kern w:val="2"/>
                <w:szCs w:val="24"/>
              </w:rPr>
              <w:t>.</w:t>
            </w:r>
          </w:p>
        </w:tc>
      </w:tr>
      <w:tr w:rsidR="004F3C9F" w14:paraId="664B1697" w14:textId="77777777" w:rsidTr="009C1B70">
        <w:trPr>
          <w:trHeight w:val="300"/>
        </w:trPr>
        <w:tc>
          <w:tcPr>
            <w:tcW w:w="2335" w:type="dxa"/>
            <w:gridSpan w:val="2"/>
          </w:tcPr>
          <w:p w14:paraId="001A6369" w14:textId="77777777" w:rsidR="004F3C9F" w:rsidRDefault="004F3C9F" w:rsidP="004F3C9F">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7920" w:type="dxa"/>
            <w:gridSpan w:val="2"/>
          </w:tcPr>
          <w:p w14:paraId="0F646B7E" w14:textId="77777777" w:rsidR="004F3C9F" w:rsidRDefault="004F3C9F" w:rsidP="004F3C9F">
            <w:pPr>
              <w:rPr>
                <w:kern w:val="2"/>
                <w:szCs w:val="24"/>
              </w:rPr>
            </w:pPr>
            <w:r>
              <w:rPr>
                <w:kern w:val="2"/>
                <w:szCs w:val="24"/>
              </w:rPr>
              <w:t>Netaikoma</w:t>
            </w:r>
          </w:p>
          <w:p w14:paraId="1A7C8B08" w14:textId="77777777" w:rsidR="004F3C9F" w:rsidRDefault="004F3C9F" w:rsidP="004F3C9F">
            <w:pPr>
              <w:rPr>
                <w:kern w:val="2"/>
                <w:szCs w:val="24"/>
              </w:rPr>
            </w:pPr>
          </w:p>
          <w:p w14:paraId="321E821F" w14:textId="77777777" w:rsidR="004F3C9F" w:rsidRDefault="004F3C9F" w:rsidP="004F3C9F">
            <w:pPr>
              <w:rPr>
                <w:kern w:val="2"/>
                <w:szCs w:val="24"/>
              </w:rPr>
            </w:pPr>
          </w:p>
          <w:p w14:paraId="5772B308" w14:textId="1EF8A0E9" w:rsidR="004F3C9F" w:rsidRDefault="004F3C9F" w:rsidP="004F3C9F">
            <w:pPr>
              <w:rPr>
                <w:szCs w:val="24"/>
              </w:rPr>
            </w:pPr>
          </w:p>
        </w:tc>
      </w:tr>
      <w:tr w:rsidR="004F3C9F" w14:paraId="022882B0" w14:textId="77777777" w:rsidTr="009C1B70">
        <w:trPr>
          <w:trHeight w:val="300"/>
        </w:trPr>
        <w:tc>
          <w:tcPr>
            <w:tcW w:w="2335" w:type="dxa"/>
            <w:gridSpan w:val="2"/>
          </w:tcPr>
          <w:p w14:paraId="6060A47B" w14:textId="7CE0D2FA" w:rsidR="004F3C9F" w:rsidRDefault="004F3C9F" w:rsidP="004F3C9F">
            <w:pPr>
              <w:rPr>
                <w:bCs/>
                <w:kern w:val="2"/>
                <w:szCs w:val="24"/>
              </w:rPr>
            </w:pPr>
            <w:r>
              <w:rPr>
                <w:b/>
                <w:kern w:val="2"/>
                <w:szCs w:val="24"/>
              </w:rPr>
              <w:t>5.3.3. Sutarties kainos / įkainių peržiūra dėl kainų lygio pokyčio</w:t>
            </w:r>
          </w:p>
          <w:p w14:paraId="7692EB0E" w14:textId="77777777" w:rsidR="004F3C9F" w:rsidRDefault="004F3C9F" w:rsidP="004F3C9F">
            <w:pPr>
              <w:rPr>
                <w:kern w:val="2"/>
                <w:szCs w:val="24"/>
              </w:rPr>
            </w:pPr>
          </w:p>
          <w:p w14:paraId="34D2BE09" w14:textId="2D023D35" w:rsidR="004F3C9F" w:rsidRDefault="004F3C9F" w:rsidP="004F3C9F">
            <w:pPr>
              <w:rPr>
                <w:b/>
                <w:kern w:val="2"/>
                <w:szCs w:val="24"/>
              </w:rPr>
            </w:pPr>
          </w:p>
        </w:tc>
        <w:tc>
          <w:tcPr>
            <w:tcW w:w="7920" w:type="dxa"/>
            <w:gridSpan w:val="2"/>
          </w:tcPr>
          <w:p w14:paraId="53622517" w14:textId="77777777" w:rsidR="004F3C9F" w:rsidRPr="00B920C2" w:rsidRDefault="004F3C9F" w:rsidP="004F3C9F">
            <w:pPr>
              <w:jc w:val="both"/>
              <w:rPr>
                <w:szCs w:val="24"/>
              </w:rPr>
            </w:pPr>
            <w:r w:rsidRPr="003C5A2D">
              <w:t xml:space="preserve">5.3.3.1. Bet kuri Sutarties šalis Sutarties galiojimo metu turi teisę inicijuoti Sutartyje numatytų įkainių / kainų perskaičiavimą (keitimą), ne anksčiau kaip po </w:t>
            </w:r>
            <w:r>
              <w:t>12</w:t>
            </w:r>
            <w:r w:rsidRPr="003C5A2D">
              <w:t xml:space="preserve"> (</w:t>
            </w:r>
            <w:r>
              <w:t>dvylikos</w:t>
            </w:r>
            <w:r w:rsidRPr="003C5A2D">
              <w:t>) mėnesių nuo Sutarties įsigaliojimo dienos (</w:t>
            </w:r>
            <w:r w:rsidRPr="003C5A2D">
              <w:rPr>
                <w:i/>
                <w:iCs/>
              </w:rPr>
              <w:t>jeigu perskaičiavimas jau buvo atliktas – nuo paskutinio perskaičiavimo pagal šį punktą dienos</w:t>
            </w:r>
            <w:r w:rsidRPr="003C5A2D">
              <w:t>), jeigu Vartojimo prekių ir paslaugų kainų pokytis (k), apskaičiuotas kaip nustatyta šiame punkte, ± 5 procentai</w:t>
            </w:r>
            <w:r>
              <w:t xml:space="preserve">. </w:t>
            </w:r>
            <w:r w:rsidRPr="0015391B">
              <w:rPr>
                <w:szCs w:val="24"/>
              </w:rPr>
              <w:t>Sutarties kainos / įkainių peržiūra atliekama ne rečiau kaip kas 12 mėnesių.</w:t>
            </w:r>
          </w:p>
          <w:p w14:paraId="7735CD14" w14:textId="77777777" w:rsidR="004F3C9F" w:rsidRPr="006511F2" w:rsidRDefault="004F3C9F" w:rsidP="004F3C9F">
            <w:pPr>
              <w:jc w:val="both"/>
              <w:rPr>
                <w:kern w:val="2"/>
                <w:szCs w:val="24"/>
                <w:shd w:val="clear" w:color="auto" w:fill="FFFFFF"/>
              </w:rPr>
            </w:pPr>
            <w:r>
              <w:rPr>
                <w:kern w:val="2"/>
                <w:szCs w:val="24"/>
                <w:lang w:val="en-US"/>
              </w:rPr>
              <w:t xml:space="preserve">5.3.3.2. </w:t>
            </w:r>
            <w:r w:rsidRPr="006511F2">
              <w:rPr>
                <w:kern w:val="2"/>
                <w:szCs w:val="24"/>
              </w:rPr>
              <w:t>Sutarties k</w:t>
            </w:r>
            <w:r w:rsidRPr="006511F2">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66095D6B" w14:textId="77777777" w:rsidR="004F3C9F" w:rsidRPr="006511F2" w:rsidRDefault="004F3C9F" w:rsidP="004F3C9F">
            <w:pPr>
              <w:jc w:val="both"/>
              <w:rPr>
                <w:kern w:val="2"/>
                <w:szCs w:val="24"/>
                <w:shd w:val="clear" w:color="auto" w:fill="FFFFFF"/>
              </w:rPr>
            </w:pPr>
            <w:r w:rsidRPr="006511F2">
              <w:rPr>
                <w:kern w:val="2"/>
                <w:szCs w:val="24"/>
              </w:rPr>
              <w:t xml:space="preserve">5.3.3.3. </w:t>
            </w:r>
            <w:r w:rsidRPr="006511F2">
              <w:rPr>
                <w:kern w:val="2"/>
                <w:szCs w:val="24"/>
                <w:shd w:val="clear" w:color="auto" w:fill="FFFFFF"/>
              </w:rPr>
              <w:t>Jeigu P</w:t>
            </w:r>
            <w:r w:rsidRPr="006511F2">
              <w:rPr>
                <w:szCs w:val="24"/>
              </w:rPr>
              <w:t>aslaugų teikimas</w:t>
            </w:r>
            <w:r w:rsidRPr="006511F2">
              <w:rPr>
                <w:kern w:val="2"/>
                <w:szCs w:val="24"/>
                <w:shd w:val="clear" w:color="auto" w:fill="FFFFFF"/>
              </w:rPr>
              <w:t xml:space="preserve"> vėluoja dėl Tiekėjo kaltės, uždelstų suteikti P</w:t>
            </w:r>
            <w:r w:rsidRPr="006511F2">
              <w:rPr>
                <w:szCs w:val="24"/>
              </w:rPr>
              <w:t>aslaugų</w:t>
            </w:r>
            <w:r w:rsidRPr="006511F2">
              <w:rPr>
                <w:kern w:val="2"/>
                <w:szCs w:val="24"/>
                <w:shd w:val="clear" w:color="auto" w:fill="FFFFFF"/>
              </w:rPr>
              <w:t xml:space="preserve"> kaina / įkainiai nėra perskaičiuojami dėl kainų lygio kilimo (gali būti mažinami, tačiau negali būti didinami).</w:t>
            </w:r>
          </w:p>
          <w:p w14:paraId="1051B41B" w14:textId="77777777" w:rsidR="004F3C9F" w:rsidRPr="006511F2" w:rsidRDefault="004F3C9F" w:rsidP="004F3C9F">
            <w:pPr>
              <w:jc w:val="both"/>
              <w:rPr>
                <w:kern w:val="2"/>
                <w:szCs w:val="24"/>
                <w:shd w:val="clear" w:color="auto" w:fill="FFFFFF"/>
              </w:rPr>
            </w:pPr>
            <w:r>
              <w:rPr>
                <w:color w:val="000000"/>
                <w:kern w:val="2"/>
                <w:szCs w:val="24"/>
              </w:rPr>
              <w:t xml:space="preserve">5.3.3.4. </w:t>
            </w:r>
            <w:r w:rsidRPr="006511F2">
              <w:rPr>
                <w:kern w:val="2"/>
                <w:szCs w:val="24"/>
              </w:rPr>
              <w:t xml:space="preserve">Atlikdamos Sutarties kainos / įkainių peržiūrą </w:t>
            </w:r>
            <w:r w:rsidRPr="006511F2">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977284E" w14:textId="77777777" w:rsidR="004F3C9F" w:rsidRPr="006511F2" w:rsidRDefault="004F3C9F" w:rsidP="004F3C9F">
            <w:pPr>
              <w:jc w:val="both"/>
              <w:rPr>
                <w:kern w:val="2"/>
                <w:szCs w:val="24"/>
                <w:shd w:val="clear" w:color="auto" w:fill="FFFFFF"/>
              </w:rPr>
            </w:pPr>
            <w:r>
              <w:rPr>
                <w:color w:val="000000"/>
                <w:kern w:val="2"/>
                <w:szCs w:val="24"/>
                <w:shd w:val="clear" w:color="auto" w:fill="FFFFFF"/>
              </w:rPr>
              <w:t xml:space="preserve">5.3.3.5. </w:t>
            </w:r>
            <w:r w:rsidRPr="006511F2">
              <w:rPr>
                <w:kern w:val="2"/>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521086" w14:textId="77777777" w:rsidR="004F3C9F" w:rsidRPr="006511F2" w:rsidRDefault="004F3C9F" w:rsidP="004F3C9F">
            <w:pPr>
              <w:jc w:val="both"/>
              <w:rPr>
                <w:szCs w:val="24"/>
              </w:rPr>
            </w:pPr>
            <w:r>
              <w:rPr>
                <w:color w:val="000000"/>
                <w:kern w:val="2"/>
                <w:szCs w:val="24"/>
                <w:shd w:val="clear" w:color="auto" w:fill="FFFFFF"/>
              </w:rPr>
              <w:t xml:space="preserve">5.3.3.6. </w:t>
            </w:r>
            <w:r w:rsidRPr="006511F2">
              <w:rPr>
                <w:kern w:val="2"/>
                <w:szCs w:val="24"/>
                <w:shd w:val="clear" w:color="auto" w:fill="FFFFFF"/>
              </w:rPr>
              <w:t>Nauja Sutarties kaina / įkainiai apskaičiuojami pagal žemiau pateiktą formulę:</w:t>
            </w:r>
          </w:p>
          <w:p w14:paraId="7650DCDD" w14:textId="77777777" w:rsidR="004F3C9F" w:rsidRDefault="004F3C9F" w:rsidP="004F3C9F">
            <w:pPr>
              <w:jc w:val="both"/>
              <w:rPr>
                <w:color w:val="000000"/>
                <w:szCs w:val="24"/>
              </w:rPr>
            </w:pPr>
          </w:p>
          <w:p w14:paraId="1735F19D" w14:textId="77777777" w:rsidR="004F3C9F" w:rsidRPr="009319F5" w:rsidRDefault="00000000" w:rsidP="004F3C9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F3C9F">
              <w:rPr>
                <w:kern w:val="2"/>
                <w:szCs w:val="24"/>
              </w:rPr>
              <w:t xml:space="preserve">, kur a – </w:t>
            </w:r>
            <w:r w:rsidR="004F3C9F" w:rsidRPr="009319F5">
              <w:rPr>
                <w:kern w:val="2"/>
                <w:szCs w:val="24"/>
              </w:rPr>
              <w:t>kaina / įkainis (Eur be PVM) (jei peržiūra jau buvo atlikta, tai po paskutinio perskaičiavimo)</w:t>
            </w:r>
          </w:p>
          <w:p w14:paraId="0B82DA19" w14:textId="77777777" w:rsidR="004F3C9F" w:rsidRDefault="004F3C9F" w:rsidP="004F3C9F">
            <w:pPr>
              <w:jc w:val="both"/>
              <w:textAlignment w:val="baseline"/>
              <w:rPr>
                <w:szCs w:val="24"/>
              </w:rPr>
            </w:pPr>
            <w:r w:rsidRPr="009319F5">
              <w:rPr>
                <w:kern w:val="2"/>
                <w:szCs w:val="24"/>
              </w:rPr>
              <w:t>a</w:t>
            </w:r>
            <w:r w:rsidRPr="009319F5">
              <w:rPr>
                <w:kern w:val="2"/>
                <w:szCs w:val="24"/>
                <w:vertAlign w:val="subscript"/>
              </w:rPr>
              <w:t>1</w:t>
            </w:r>
            <w:r w:rsidRPr="009319F5">
              <w:rPr>
                <w:kern w:val="2"/>
                <w:szCs w:val="24"/>
              </w:rPr>
              <w:t xml:space="preserve"> – perskaičiuota (pakeista) kaina / įkainis </w:t>
            </w:r>
            <w:r>
              <w:rPr>
                <w:kern w:val="2"/>
                <w:szCs w:val="24"/>
              </w:rPr>
              <w:t>(Eur be PVM)</w:t>
            </w:r>
          </w:p>
          <w:p w14:paraId="35F59E31" w14:textId="77777777" w:rsidR="004F3C9F" w:rsidRDefault="004F3C9F" w:rsidP="004F3C9F">
            <w:pPr>
              <w:jc w:val="both"/>
              <w:textAlignment w:val="baseline"/>
              <w:rPr>
                <w:kern w:val="2"/>
                <w:szCs w:val="24"/>
              </w:rPr>
            </w:pPr>
            <w:r>
              <w:rPr>
                <w:kern w:val="2"/>
                <w:szCs w:val="24"/>
              </w:rPr>
              <w:t xml:space="preserve">k – pagal vartotojų kainų indeksą </w:t>
            </w:r>
            <w:r w:rsidRPr="009319F5">
              <w:rPr>
                <w:kern w:val="2"/>
                <w:szCs w:val="24"/>
              </w:rPr>
              <w:t>(„Vartojimo prekių ir paslaugų“)</w:t>
            </w:r>
            <w:r>
              <w:rPr>
                <w:kern w:val="2"/>
                <w:szCs w:val="24"/>
              </w:rPr>
              <w:t xml:space="preserve"> apskaičiuotas Vartojimo prekių ir paslaugų kainų pokytis (padidėjimas arba sumažėjimas) (%). „k“ reikšmė skaičiuojama pagal formulę:</w:t>
            </w:r>
          </w:p>
          <w:p w14:paraId="2AC27E9E" w14:textId="77777777" w:rsidR="004F3C9F" w:rsidRDefault="004F3C9F" w:rsidP="004F3C9F">
            <w:pPr>
              <w:jc w:val="both"/>
              <w:textAlignment w:val="baseline"/>
              <w:rPr>
                <w:szCs w:val="24"/>
              </w:rPr>
            </w:pPr>
          </w:p>
          <w:p w14:paraId="02802B73" w14:textId="77777777" w:rsidR="004F3C9F" w:rsidRDefault="004F3C9F" w:rsidP="004F3C9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0A0F8929" w14:textId="77777777" w:rsidR="004F3C9F" w:rsidRDefault="004F3C9F" w:rsidP="004F3C9F">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9319F5">
              <w:rPr>
                <w:kern w:val="2"/>
                <w:szCs w:val="24"/>
              </w:rPr>
              <w:t>kainos / įkainių</w:t>
            </w:r>
            <w:r>
              <w:rPr>
                <w:color w:val="FF0000"/>
                <w:kern w:val="2"/>
                <w:szCs w:val="24"/>
              </w:rPr>
              <w:t xml:space="preserve"> </w:t>
            </w:r>
            <w:r>
              <w:rPr>
                <w:kern w:val="2"/>
                <w:szCs w:val="24"/>
              </w:rPr>
              <w:t>peržiūros išsiuntimo kitai Šaliai dieną paskelbtas naujausias vartojimo prekių ir paslaugų indeksas.</w:t>
            </w:r>
          </w:p>
          <w:p w14:paraId="110DAE16" w14:textId="77777777" w:rsidR="004F3C9F" w:rsidRDefault="004F3C9F" w:rsidP="004F3C9F">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p>
          <w:p w14:paraId="54DC3156" w14:textId="77777777" w:rsidR="004F3C9F" w:rsidRDefault="004F3C9F" w:rsidP="004F3C9F">
            <w:pPr>
              <w:jc w:val="both"/>
              <w:rPr>
                <w:szCs w:val="24"/>
              </w:rPr>
            </w:pPr>
            <w:r>
              <w:rPr>
                <w:kern w:val="2"/>
                <w:szCs w:val="24"/>
              </w:rPr>
              <w:t xml:space="preserve">Pirmojo perskaičiavimo atveju laikotarpio pradžia (mėnuo) yra Sutarties įsigaliojimo dienos mėnuo. Antrojo ir vėlesnių perskaičiavimų atveju laikotarpio </w:t>
            </w:r>
            <w:r>
              <w:rPr>
                <w:kern w:val="2"/>
                <w:szCs w:val="24"/>
              </w:rPr>
              <w:lastRenderedPageBreak/>
              <w:t>pradžia (mėnuo) yra paskutinio perskaičiavimo metu naudotos paskelbto atitinkamo indekso reikšmės mėnuo.</w:t>
            </w:r>
          </w:p>
          <w:p w14:paraId="1E5D9968" w14:textId="77777777" w:rsidR="004F3C9F" w:rsidRPr="009319F5" w:rsidRDefault="004F3C9F" w:rsidP="004F3C9F">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9319F5">
              <w:rPr>
                <w:b/>
                <w:kern w:val="2"/>
                <w:szCs w:val="24"/>
                <w:shd w:val="clear" w:color="auto" w:fill="FFFFFF"/>
              </w:rPr>
              <w:t>keturių</w:t>
            </w:r>
            <w:r w:rsidRPr="009319F5">
              <w:rPr>
                <w:kern w:val="2"/>
                <w:szCs w:val="24"/>
                <w:shd w:val="clear" w:color="auto" w:fill="FFFFFF"/>
              </w:rPr>
              <w:t xml:space="preserve"> skaitmenų po kablelio tikslumu. Apskaičiuotas pokytis (k) tolimesniems skaičiavimams naudojamas suapvalinus iki </w:t>
            </w:r>
            <w:r w:rsidRPr="009319F5">
              <w:rPr>
                <w:b/>
                <w:kern w:val="2"/>
                <w:szCs w:val="24"/>
                <w:shd w:val="clear" w:color="auto" w:fill="FFFFFF"/>
              </w:rPr>
              <w:t>vieno</w:t>
            </w:r>
            <w:r w:rsidRPr="009319F5">
              <w:rPr>
                <w:kern w:val="2"/>
                <w:szCs w:val="24"/>
                <w:shd w:val="clear" w:color="auto" w:fill="FFFFFF"/>
              </w:rPr>
              <w:t xml:space="preserve"> skaitmens po kablelio, o apskaičiuotas įkainis „a</w:t>
            </w:r>
            <w:r w:rsidRPr="009319F5">
              <w:rPr>
                <w:kern w:val="2"/>
                <w:szCs w:val="24"/>
                <w:shd w:val="clear" w:color="auto" w:fill="FFFFFF"/>
                <w:vertAlign w:val="subscript"/>
              </w:rPr>
              <w:t>1</w:t>
            </w:r>
            <w:r w:rsidRPr="009319F5">
              <w:rPr>
                <w:kern w:val="2"/>
                <w:szCs w:val="24"/>
                <w:shd w:val="clear" w:color="auto" w:fill="FFFFFF"/>
              </w:rPr>
              <w:t xml:space="preserve">“ suapvalinamas iki </w:t>
            </w:r>
            <w:r w:rsidRPr="009319F5">
              <w:rPr>
                <w:b/>
                <w:kern w:val="2"/>
                <w:szCs w:val="24"/>
                <w:shd w:val="clear" w:color="auto" w:fill="FFFFFF"/>
              </w:rPr>
              <w:t xml:space="preserve">dviejų </w:t>
            </w:r>
            <w:r w:rsidRPr="009319F5">
              <w:rPr>
                <w:kern w:val="2"/>
                <w:szCs w:val="24"/>
                <w:shd w:val="clear" w:color="auto" w:fill="FFFFFF"/>
              </w:rPr>
              <w:t xml:space="preserve"> skaitmenų po kablelio.</w:t>
            </w:r>
          </w:p>
          <w:p w14:paraId="07D2EED2" w14:textId="77777777" w:rsidR="004F3C9F" w:rsidRDefault="004F3C9F" w:rsidP="004F3C9F">
            <w:pPr>
              <w:jc w:val="both"/>
              <w:rPr>
                <w:color w:val="000000"/>
                <w:kern w:val="2"/>
                <w:szCs w:val="24"/>
                <w:shd w:val="clear" w:color="auto" w:fill="FFFFFF"/>
              </w:rPr>
            </w:pPr>
            <w:r>
              <w:rPr>
                <w:color w:val="000000"/>
                <w:kern w:val="2"/>
                <w:szCs w:val="24"/>
                <w:shd w:val="clear" w:color="auto" w:fill="FFFFFF"/>
              </w:rPr>
              <w:t xml:space="preserve">5.3.3.8. Šalis, siekianti Sutarties </w:t>
            </w:r>
            <w:r w:rsidRPr="009319F5">
              <w:rPr>
                <w:kern w:val="2"/>
                <w:szCs w:val="24"/>
                <w:shd w:val="clear" w:color="auto" w:fill="FFFFFF"/>
              </w:rPr>
              <w:t>kainos / įkainių</w:t>
            </w:r>
            <w:r>
              <w:rPr>
                <w:color w:val="FF0000"/>
                <w:kern w:val="2"/>
                <w:szCs w:val="24"/>
                <w:shd w:val="clear" w:color="auto" w:fill="FFFFFF"/>
              </w:rPr>
              <w:t xml:space="preserve"> </w:t>
            </w:r>
            <w:r>
              <w:rPr>
                <w:color w:val="000000"/>
                <w:kern w:val="2"/>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42209F11" w14:textId="77777777" w:rsidR="004F3C9F" w:rsidRPr="009319F5" w:rsidRDefault="004F3C9F" w:rsidP="004F3C9F">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F63732">
              <w:rPr>
                <w:kern w:val="2"/>
                <w:szCs w:val="24"/>
                <w:shd w:val="clear" w:color="auto" w:fill="FFFFFF"/>
              </w:rPr>
              <w:t>5 darbo dienas</w:t>
            </w:r>
            <w:r>
              <w:rPr>
                <w:color w:val="4472C4"/>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9319F5">
              <w:rPr>
                <w:kern w:val="2"/>
                <w:szCs w:val="24"/>
                <w:shd w:val="clear" w:color="auto" w:fill="FFFFFF"/>
              </w:rPr>
              <w:t>kainą / įkainius gavimo dienos.</w:t>
            </w:r>
          </w:p>
          <w:p w14:paraId="78833287" w14:textId="77777777" w:rsidR="004F3C9F" w:rsidRDefault="004F3C9F" w:rsidP="004F3C9F">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4341D87F" w:rsidR="004F3C9F" w:rsidRDefault="004F3C9F" w:rsidP="004F3C9F">
            <w:pPr>
              <w:rPr>
                <w:color w:val="4472C4"/>
                <w:kern w:val="2"/>
                <w:szCs w:val="24"/>
              </w:rPr>
            </w:pPr>
          </w:p>
        </w:tc>
      </w:tr>
      <w:tr w:rsidR="004F3C9F" w14:paraId="6D143C7C" w14:textId="77777777" w:rsidTr="009C1B70">
        <w:trPr>
          <w:trHeight w:val="300"/>
        </w:trPr>
        <w:tc>
          <w:tcPr>
            <w:tcW w:w="2335" w:type="dxa"/>
            <w:gridSpan w:val="2"/>
          </w:tcPr>
          <w:p w14:paraId="672A4CBD" w14:textId="77777777" w:rsidR="004F3C9F" w:rsidRDefault="004F3C9F" w:rsidP="004F3C9F">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920" w:type="dxa"/>
            <w:gridSpan w:val="2"/>
          </w:tcPr>
          <w:p w14:paraId="5CCECE58" w14:textId="77777777" w:rsidR="004F3C9F" w:rsidRDefault="004F3C9F" w:rsidP="004F3C9F">
            <w:pPr>
              <w:rPr>
                <w:kern w:val="2"/>
                <w:szCs w:val="24"/>
              </w:rPr>
            </w:pPr>
            <w:r>
              <w:rPr>
                <w:kern w:val="2"/>
                <w:szCs w:val="24"/>
              </w:rPr>
              <w:t>Netaikoma</w:t>
            </w:r>
          </w:p>
          <w:p w14:paraId="04CEF517" w14:textId="77777777" w:rsidR="004F3C9F" w:rsidRDefault="004F3C9F" w:rsidP="004F3C9F">
            <w:pPr>
              <w:rPr>
                <w:kern w:val="2"/>
                <w:szCs w:val="24"/>
              </w:rPr>
            </w:pPr>
          </w:p>
          <w:p w14:paraId="61574C3A" w14:textId="49F2D24D" w:rsidR="004F3C9F" w:rsidRDefault="004F3C9F" w:rsidP="004F3C9F">
            <w:pPr>
              <w:rPr>
                <w:szCs w:val="24"/>
              </w:rPr>
            </w:pPr>
          </w:p>
        </w:tc>
      </w:tr>
      <w:tr w:rsidR="004F3C9F" w14:paraId="22049506" w14:textId="77777777" w:rsidTr="009C1B70">
        <w:trPr>
          <w:trHeight w:val="300"/>
        </w:trPr>
        <w:tc>
          <w:tcPr>
            <w:tcW w:w="2335" w:type="dxa"/>
            <w:gridSpan w:val="2"/>
          </w:tcPr>
          <w:p w14:paraId="3C616512" w14:textId="77777777" w:rsidR="004F3C9F" w:rsidRDefault="004F3C9F" w:rsidP="004F3C9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920" w:type="dxa"/>
            <w:gridSpan w:val="2"/>
          </w:tcPr>
          <w:p w14:paraId="5320F597" w14:textId="77777777" w:rsidR="004F3C9F" w:rsidRPr="002B45B2" w:rsidRDefault="004F3C9F" w:rsidP="00C369FE">
            <w:pPr>
              <w:jc w:val="both"/>
              <w:rPr>
                <w:kern w:val="2"/>
                <w:szCs w:val="24"/>
              </w:rPr>
            </w:pPr>
            <w:r w:rsidRPr="002B45B2">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4F3C9F" w:rsidRPr="00C369FE" w:rsidRDefault="004F3C9F" w:rsidP="00C369FE">
            <w:pPr>
              <w:jc w:val="both"/>
              <w:rPr>
                <w:szCs w:val="24"/>
              </w:rPr>
            </w:pPr>
            <w:r w:rsidRPr="002B45B2">
              <w:rPr>
                <w:kern w:val="2"/>
                <w:szCs w:val="24"/>
              </w:rPr>
              <w:t xml:space="preserve">Už Nenumatytas </w:t>
            </w:r>
            <w:r w:rsidRPr="002B45B2">
              <w:rPr>
                <w:szCs w:val="24"/>
              </w:rPr>
              <w:t xml:space="preserve">paslaugas </w:t>
            </w:r>
            <w:r w:rsidRPr="002B45B2">
              <w:rPr>
                <w:kern w:val="2"/>
                <w:szCs w:val="24"/>
              </w:rPr>
              <w:t xml:space="preserve">bus apmokama ne didesnėmis nei Užsakymo dieną Tiekėjo prekybos vietoje, kataloge ar interneto svetainėje nurodytomis galiojančiomis šių </w:t>
            </w:r>
            <w:r w:rsidRPr="002B45B2">
              <w:rPr>
                <w:szCs w:val="24"/>
              </w:rPr>
              <w:t xml:space="preserve">paslaugų </w:t>
            </w:r>
            <w:r w:rsidRPr="002B45B2">
              <w:rPr>
                <w:kern w:val="2"/>
                <w:szCs w:val="24"/>
              </w:rPr>
              <w:t>kainomis arba, jei tokios kainos neskelbiamos, tiekėjo pasiūlytomis, konkurencingomis ir rinką atitinkančiomis kainomis. Nenumatytų p</w:t>
            </w:r>
            <w:r w:rsidRPr="002B45B2">
              <w:rPr>
                <w:szCs w:val="24"/>
              </w:rPr>
              <w:t>aslaugų</w:t>
            </w:r>
            <w:r w:rsidRPr="002B45B2">
              <w:rPr>
                <w:kern w:val="2"/>
                <w:szCs w:val="24"/>
              </w:rPr>
              <w:t xml:space="preserve"> kaina su Pirkėju turi būti derinama iš anksto. Gavęs Tiekėjo pateiktas Nenumatytų </w:t>
            </w:r>
            <w:r w:rsidRPr="002B45B2">
              <w:rPr>
                <w:szCs w:val="24"/>
              </w:rPr>
              <w:t xml:space="preserve">paslaugų </w:t>
            </w:r>
            <w:r w:rsidRPr="002B45B2">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2B45B2">
              <w:rPr>
                <w:szCs w:val="24"/>
              </w:rPr>
              <w:t>paslaugų</w:t>
            </w:r>
            <w:r w:rsidRPr="002B45B2">
              <w:rPr>
                <w:kern w:val="2"/>
                <w:szCs w:val="24"/>
              </w:rPr>
              <w:t xml:space="preserve"> kainos atitinka rinkos kainas. Nustačius, kad Tiekėjo pasiūlytos Nenumatytų </w:t>
            </w:r>
            <w:r w:rsidRPr="002B45B2">
              <w:rPr>
                <w:szCs w:val="24"/>
              </w:rPr>
              <w:t>paslaugų</w:t>
            </w:r>
            <w:r w:rsidRPr="002B45B2">
              <w:rPr>
                <w:kern w:val="2"/>
                <w:szCs w:val="24"/>
              </w:rPr>
              <w:t xml:space="preserve"> kainos yra didesnės nei rinkos, Pirkėjas prašo Tiekėjo jas sumažinti. Tiekėjui nesutikus sumažinti Nenumatytų </w:t>
            </w:r>
            <w:r w:rsidRPr="002B45B2">
              <w:rPr>
                <w:szCs w:val="24"/>
              </w:rPr>
              <w:t>paslaugų</w:t>
            </w:r>
            <w:r w:rsidRPr="002B45B2">
              <w:rPr>
                <w:kern w:val="2"/>
                <w:szCs w:val="24"/>
              </w:rPr>
              <w:t xml:space="preserve"> kainos iki rinkos kainos, Pirkėjas pasilieka teisę Nenumatytas </w:t>
            </w:r>
            <w:r w:rsidRPr="002B45B2">
              <w:rPr>
                <w:szCs w:val="24"/>
              </w:rPr>
              <w:t>paslaugas</w:t>
            </w:r>
            <w:r w:rsidRPr="002B45B2">
              <w:rPr>
                <w:kern w:val="2"/>
                <w:szCs w:val="24"/>
              </w:rPr>
              <w:t xml:space="preserve"> įsigyti atskiru pirkimu.</w:t>
            </w:r>
          </w:p>
        </w:tc>
      </w:tr>
      <w:tr w:rsidR="004F3C9F" w14:paraId="64F75697" w14:textId="77777777" w:rsidTr="009C1B70">
        <w:trPr>
          <w:trHeight w:val="300"/>
        </w:trPr>
        <w:tc>
          <w:tcPr>
            <w:tcW w:w="2335" w:type="dxa"/>
            <w:gridSpan w:val="2"/>
          </w:tcPr>
          <w:p w14:paraId="24D5D914" w14:textId="77777777" w:rsidR="004F3C9F" w:rsidRDefault="004F3C9F" w:rsidP="004F3C9F">
            <w:pPr>
              <w:rPr>
                <w:b/>
                <w:kern w:val="2"/>
                <w:szCs w:val="24"/>
              </w:rPr>
            </w:pPr>
            <w:r>
              <w:rPr>
                <w:b/>
                <w:kern w:val="2"/>
                <w:szCs w:val="24"/>
              </w:rPr>
              <w:t>5.5. Atsiskaitymo su Tiekėju terminas ir tvarka</w:t>
            </w:r>
          </w:p>
        </w:tc>
        <w:tc>
          <w:tcPr>
            <w:tcW w:w="7920" w:type="dxa"/>
            <w:gridSpan w:val="2"/>
          </w:tcPr>
          <w:p w14:paraId="52CE7FAC" w14:textId="5015E976" w:rsidR="002B45B2" w:rsidRPr="002B378F" w:rsidRDefault="002B45B2" w:rsidP="002B45B2">
            <w:pPr>
              <w:tabs>
                <w:tab w:val="left" w:pos="993"/>
              </w:tabs>
              <w:suppressAutoHyphens/>
              <w:jc w:val="both"/>
              <w:textAlignment w:val="baseline"/>
              <w:rPr>
                <w:rFonts w:eastAsia="Calibri"/>
                <w:szCs w:val="24"/>
                <w:lang w:val="en-US" w:eastAsia="ar-SA"/>
              </w:rPr>
            </w:pPr>
            <w:r w:rsidRPr="00C45F67">
              <w:rPr>
                <w:rFonts w:eastAsia="Calibri"/>
                <w:szCs w:val="24"/>
                <w:lang w:eastAsia="ar-SA"/>
              </w:rPr>
              <w:t xml:space="preserve">5.5.1. </w:t>
            </w:r>
            <w:r w:rsidRPr="00B00BCA">
              <w:rPr>
                <w:rFonts w:eastAsia="Calibri"/>
                <w:szCs w:val="24"/>
                <w:lang w:eastAsia="ar-SA"/>
              </w:rPr>
              <w:t>Už faktiškai ir laiku suteiktas paslaugas,</w:t>
            </w:r>
            <w:r>
              <w:rPr>
                <w:rFonts w:eastAsia="Calibri"/>
                <w:szCs w:val="24"/>
                <w:lang w:eastAsia="ar-SA"/>
              </w:rPr>
              <w:t xml:space="preserve"> nurodytas Sutarties </w:t>
            </w:r>
            <w:r w:rsidR="002B378F">
              <w:rPr>
                <w:rFonts w:eastAsia="Calibri"/>
                <w:szCs w:val="24"/>
                <w:lang w:val="en-US" w:eastAsia="ar-SA"/>
              </w:rPr>
              <w:t xml:space="preserve">4.5.2.2 </w:t>
            </w:r>
            <w:proofErr w:type="spellStart"/>
            <w:r w:rsidR="002B378F">
              <w:rPr>
                <w:rFonts w:eastAsia="Calibri"/>
                <w:szCs w:val="24"/>
                <w:lang w:val="en-US" w:eastAsia="ar-SA"/>
              </w:rPr>
              <w:t>papunktyje</w:t>
            </w:r>
            <w:proofErr w:type="spellEnd"/>
            <w:r w:rsidR="002B378F">
              <w:rPr>
                <w:rFonts w:eastAsia="Calibri"/>
                <w:szCs w:val="24"/>
                <w:lang w:val="en-US" w:eastAsia="ar-SA"/>
              </w:rPr>
              <w:t>,</w:t>
            </w:r>
            <w:r w:rsidRPr="00B00BCA">
              <w:rPr>
                <w:rFonts w:eastAsia="Calibri"/>
                <w:szCs w:val="24"/>
                <w:lang w:eastAsia="ar-SA"/>
              </w:rPr>
              <w:t xml:space="preserve"> Pirkėjas apmoka kas mėnesį pagal Tiekėjo išrašytą ir elektroniniu būdu pateiktą priimtiną </w:t>
            </w:r>
            <w:r w:rsidR="005A3C20">
              <w:rPr>
                <w:rFonts w:eastAsia="Calibri"/>
                <w:szCs w:val="24"/>
                <w:lang w:eastAsia="ar-SA"/>
              </w:rPr>
              <w:t>Sąskaitą</w:t>
            </w:r>
            <w:r w:rsidRPr="00B00BCA">
              <w:rPr>
                <w:rFonts w:eastAsia="Calibri"/>
                <w:szCs w:val="24"/>
                <w:lang w:eastAsia="ar-SA"/>
              </w:rPr>
              <w:t xml:space="preserve">. Tiekėjas pateikia Pirkėjui išrašytą </w:t>
            </w:r>
            <w:r w:rsidR="005A3C20">
              <w:rPr>
                <w:rFonts w:eastAsia="Calibri"/>
                <w:szCs w:val="24"/>
                <w:lang w:eastAsia="ar-SA"/>
              </w:rPr>
              <w:t>S</w:t>
            </w:r>
            <w:r w:rsidRPr="00B00BCA">
              <w:rPr>
                <w:rFonts w:eastAsia="Calibri"/>
                <w:szCs w:val="24"/>
                <w:lang w:eastAsia="ar-SA"/>
              </w:rPr>
              <w:t xml:space="preserve">ąskaitą už suteiktas </w:t>
            </w:r>
            <w:r w:rsidR="002B378F">
              <w:rPr>
                <w:rFonts w:eastAsia="Calibri"/>
                <w:szCs w:val="24"/>
                <w:lang w:eastAsia="ar-SA"/>
              </w:rPr>
              <w:t xml:space="preserve">Sutarties 4.5.2.2 papunktyje </w:t>
            </w:r>
            <w:r w:rsidR="00071EB7">
              <w:rPr>
                <w:rFonts w:eastAsia="Calibri"/>
                <w:szCs w:val="24"/>
                <w:lang w:eastAsia="ar-SA"/>
              </w:rPr>
              <w:t xml:space="preserve">nurodyta </w:t>
            </w:r>
            <w:r w:rsidRPr="00B00BCA">
              <w:rPr>
                <w:rFonts w:eastAsia="Calibri"/>
                <w:szCs w:val="24"/>
                <w:lang w:eastAsia="ar-SA"/>
              </w:rPr>
              <w:t>paslaugas po to</w:t>
            </w:r>
            <w:r w:rsidR="002B378F">
              <w:rPr>
                <w:rFonts w:eastAsia="Calibri"/>
                <w:szCs w:val="24"/>
                <w:lang w:eastAsia="ar-SA"/>
              </w:rPr>
              <w:t>,</w:t>
            </w:r>
            <w:r w:rsidRPr="00B00BCA">
              <w:rPr>
                <w:rFonts w:eastAsia="Calibri"/>
                <w:szCs w:val="24"/>
                <w:lang w:eastAsia="ar-SA"/>
              </w:rPr>
              <w:t xml:space="preserve"> kai </w:t>
            </w:r>
            <w:r w:rsidR="002B378F">
              <w:rPr>
                <w:rFonts w:eastAsia="Calibri"/>
                <w:szCs w:val="24"/>
                <w:lang w:eastAsia="ar-SA"/>
              </w:rPr>
              <w:t xml:space="preserve">yra abiejų Šalių suderinta forma pateikiama (ir patvirtinama, pasirašoma – jeigu Šalys sutaria, kad reikalingas ir šis veiksmas) tinkamo turinio ataskaita už praėjusio kalendorinio mėnesio suteiktas Sutarties </w:t>
            </w:r>
            <w:r w:rsidR="002B378F">
              <w:rPr>
                <w:rFonts w:eastAsia="Calibri"/>
                <w:szCs w:val="24"/>
                <w:lang w:val="en-US" w:eastAsia="ar-SA"/>
              </w:rPr>
              <w:t xml:space="preserve">4.5.2.2 </w:t>
            </w:r>
            <w:proofErr w:type="spellStart"/>
            <w:r w:rsidR="002B378F">
              <w:rPr>
                <w:rFonts w:eastAsia="Calibri"/>
                <w:szCs w:val="24"/>
                <w:lang w:val="en-US" w:eastAsia="ar-SA"/>
              </w:rPr>
              <w:t>papunktyje</w:t>
            </w:r>
            <w:proofErr w:type="spellEnd"/>
            <w:r w:rsidR="002B378F">
              <w:rPr>
                <w:rFonts w:eastAsia="Calibri"/>
                <w:szCs w:val="24"/>
                <w:lang w:val="en-US" w:eastAsia="ar-SA"/>
              </w:rPr>
              <w:t xml:space="preserve"> </w:t>
            </w:r>
            <w:proofErr w:type="spellStart"/>
            <w:r w:rsidR="002B378F">
              <w:rPr>
                <w:rFonts w:eastAsia="Calibri"/>
                <w:szCs w:val="24"/>
                <w:lang w:val="en-US" w:eastAsia="ar-SA"/>
              </w:rPr>
              <w:t>nu</w:t>
            </w:r>
            <w:r w:rsidR="00071EB7">
              <w:rPr>
                <w:rFonts w:eastAsia="Calibri"/>
                <w:szCs w:val="24"/>
                <w:lang w:val="en-US" w:eastAsia="ar-SA"/>
              </w:rPr>
              <w:t>rodytas</w:t>
            </w:r>
            <w:proofErr w:type="spellEnd"/>
            <w:r w:rsidR="002B378F">
              <w:rPr>
                <w:rFonts w:eastAsia="Calibri"/>
                <w:szCs w:val="24"/>
                <w:lang w:val="en-US" w:eastAsia="ar-SA"/>
              </w:rPr>
              <w:t xml:space="preserve"> </w:t>
            </w:r>
            <w:proofErr w:type="spellStart"/>
            <w:r w:rsidR="002B378F">
              <w:rPr>
                <w:rFonts w:eastAsia="Calibri"/>
                <w:szCs w:val="24"/>
                <w:lang w:val="en-US" w:eastAsia="ar-SA"/>
              </w:rPr>
              <w:t>paslaugas</w:t>
            </w:r>
            <w:proofErr w:type="spellEnd"/>
            <w:r w:rsidR="002B378F">
              <w:rPr>
                <w:rFonts w:eastAsia="Calibri"/>
                <w:szCs w:val="24"/>
                <w:lang w:val="en-US" w:eastAsia="ar-SA"/>
              </w:rPr>
              <w:t>.</w:t>
            </w:r>
          </w:p>
          <w:p w14:paraId="5704C4F9" w14:textId="58A5F6EB" w:rsidR="002B45B2" w:rsidRPr="00C45F67" w:rsidRDefault="002B45B2" w:rsidP="002B45B2">
            <w:pPr>
              <w:tabs>
                <w:tab w:val="left" w:pos="1134"/>
              </w:tabs>
              <w:suppressAutoHyphens/>
              <w:jc w:val="both"/>
              <w:textAlignment w:val="baseline"/>
              <w:rPr>
                <w:szCs w:val="24"/>
              </w:rPr>
            </w:pPr>
            <w:r w:rsidRPr="00B00BCA">
              <w:rPr>
                <w:rFonts w:eastAsia="Calibri"/>
                <w:szCs w:val="24"/>
                <w:lang w:eastAsia="ar-SA"/>
              </w:rPr>
              <w:lastRenderedPageBreak/>
              <w:t xml:space="preserve">5.5.2. Už </w:t>
            </w:r>
            <w:r w:rsidRPr="00B00BCA">
              <w:rPr>
                <w:szCs w:val="24"/>
              </w:rPr>
              <w:t xml:space="preserve">faktiškai ir laiku suteiktas </w:t>
            </w:r>
            <w:r w:rsidRPr="00B00BCA">
              <w:rPr>
                <w:kern w:val="2"/>
                <w:szCs w:val="24"/>
              </w:rPr>
              <w:t>paslaugas</w:t>
            </w:r>
            <w:r w:rsidRPr="00B00BCA">
              <w:rPr>
                <w:szCs w:val="24"/>
              </w:rPr>
              <w:t>,</w:t>
            </w:r>
            <w:r w:rsidR="002B378F">
              <w:rPr>
                <w:szCs w:val="24"/>
              </w:rPr>
              <w:t xml:space="preserve"> nurodytas Sutarties 4.5.1 papunktyje,</w:t>
            </w:r>
            <w:r w:rsidRPr="00B00BCA">
              <w:rPr>
                <w:szCs w:val="24"/>
              </w:rPr>
              <w:t xml:space="preserve"> Tiekėjas</w:t>
            </w:r>
            <w:r w:rsidRPr="00B00BCA">
              <w:rPr>
                <w:bCs/>
                <w:iCs/>
                <w:szCs w:val="24"/>
              </w:rPr>
              <w:t xml:space="preserve"> pateikia Pirkėjui išrašytą </w:t>
            </w:r>
            <w:r w:rsidR="005A3C20">
              <w:rPr>
                <w:bCs/>
                <w:iCs/>
                <w:szCs w:val="24"/>
              </w:rPr>
              <w:t>S</w:t>
            </w:r>
            <w:r w:rsidRPr="00B00BCA">
              <w:rPr>
                <w:bCs/>
                <w:iCs/>
                <w:szCs w:val="24"/>
              </w:rPr>
              <w:t>ąskaitą  už Paslaugas ne vėliau kaip per 10 (dešimt) kalendorinių dienų po to, kai Sutarties Šalys pasirašo paslaugų priėmimo–perdavimo aktą</w:t>
            </w:r>
            <w:r w:rsidRPr="00B00BCA">
              <w:rPr>
                <w:szCs w:val="24"/>
              </w:rPr>
              <w:t>.</w:t>
            </w:r>
          </w:p>
          <w:p w14:paraId="251EC4F4" w14:textId="3431C70A" w:rsidR="002B45B2" w:rsidRPr="002B378F" w:rsidRDefault="002B45B2" w:rsidP="002B378F">
            <w:pPr>
              <w:tabs>
                <w:tab w:val="left" w:pos="993"/>
                <w:tab w:val="left" w:pos="1134"/>
                <w:tab w:val="left" w:pos="1276"/>
              </w:tabs>
              <w:suppressAutoHyphens/>
              <w:jc w:val="both"/>
              <w:textAlignment w:val="baseline"/>
              <w:rPr>
                <w:rFonts w:eastAsia="Calibri"/>
                <w:szCs w:val="24"/>
                <w:lang w:eastAsia="ar-SA"/>
              </w:rPr>
            </w:pPr>
            <w:r w:rsidRPr="00C45F67">
              <w:rPr>
                <w:szCs w:val="24"/>
              </w:rPr>
              <w:t xml:space="preserve">5.5.3. </w:t>
            </w:r>
            <w:r w:rsidRPr="00C45F67">
              <w:rPr>
                <w:rFonts w:eastAsia="Calibri"/>
                <w:szCs w:val="24"/>
                <w:lang w:eastAsia="ar-SA"/>
              </w:rPr>
              <w:t xml:space="preserve">Pirkėjas atsiskaito su Tiekėju ne vėliau kaip per 30 kalendorinių dienų nuo </w:t>
            </w:r>
            <w:r w:rsidR="002B378F">
              <w:rPr>
                <w:rFonts w:eastAsia="Calibri"/>
                <w:szCs w:val="24"/>
                <w:lang w:eastAsia="ar-SA"/>
              </w:rPr>
              <w:t xml:space="preserve">tinkamos </w:t>
            </w:r>
            <w:r w:rsidRPr="00C45F67">
              <w:rPr>
                <w:rFonts w:eastAsia="Calibri"/>
                <w:szCs w:val="24"/>
                <w:lang w:eastAsia="ar-SA"/>
              </w:rPr>
              <w:t>Sąskaitos gavimo dienos.</w:t>
            </w:r>
          </w:p>
          <w:p w14:paraId="2E393D74" w14:textId="75AF150F" w:rsidR="004F3C9F" w:rsidRPr="0072042D" w:rsidRDefault="008428D9" w:rsidP="00D4743C">
            <w:pPr>
              <w:jc w:val="both"/>
              <w:rPr>
                <w:color w:val="4472C4"/>
                <w:kern w:val="2"/>
                <w:szCs w:val="24"/>
                <w:shd w:val="clear" w:color="auto" w:fill="FFFFFF"/>
              </w:rPr>
            </w:pPr>
            <w:r w:rsidRPr="0072042D">
              <w:rPr>
                <w:lang w:eastAsia="ar-SA"/>
              </w:rPr>
              <w:t xml:space="preserve">  </w:t>
            </w:r>
          </w:p>
        </w:tc>
      </w:tr>
      <w:tr w:rsidR="004F3C9F" w14:paraId="65C41120" w14:textId="77777777" w:rsidTr="009C1B70">
        <w:trPr>
          <w:trHeight w:val="300"/>
        </w:trPr>
        <w:tc>
          <w:tcPr>
            <w:tcW w:w="2335" w:type="dxa"/>
            <w:gridSpan w:val="2"/>
          </w:tcPr>
          <w:p w14:paraId="7FC1DBAF" w14:textId="7C3CF058" w:rsidR="004F3C9F" w:rsidRDefault="004F3C9F" w:rsidP="004F3C9F">
            <w:pPr>
              <w:rPr>
                <w:b/>
                <w:kern w:val="2"/>
                <w:szCs w:val="24"/>
              </w:rPr>
            </w:pPr>
            <w:r>
              <w:rPr>
                <w:b/>
                <w:kern w:val="2"/>
                <w:szCs w:val="24"/>
              </w:rPr>
              <w:lastRenderedPageBreak/>
              <w:t>5.6. Avansas</w:t>
            </w:r>
          </w:p>
        </w:tc>
        <w:tc>
          <w:tcPr>
            <w:tcW w:w="7920" w:type="dxa"/>
            <w:gridSpan w:val="2"/>
          </w:tcPr>
          <w:p w14:paraId="712CB482" w14:textId="77777777" w:rsidR="004F3C9F" w:rsidRDefault="004F3C9F" w:rsidP="004F3C9F">
            <w:pPr>
              <w:rPr>
                <w:kern w:val="2"/>
                <w:szCs w:val="24"/>
              </w:rPr>
            </w:pPr>
            <w:r>
              <w:rPr>
                <w:kern w:val="2"/>
                <w:szCs w:val="24"/>
              </w:rPr>
              <w:t>Netaikoma</w:t>
            </w:r>
          </w:p>
          <w:p w14:paraId="5B15E5DF" w14:textId="77777777" w:rsidR="004F3C9F" w:rsidRDefault="004F3C9F" w:rsidP="004F3C9F">
            <w:pPr>
              <w:rPr>
                <w:kern w:val="2"/>
                <w:szCs w:val="24"/>
              </w:rPr>
            </w:pPr>
          </w:p>
          <w:p w14:paraId="382B074E" w14:textId="5149255C" w:rsidR="004F3C9F" w:rsidRDefault="004F3C9F" w:rsidP="004F3C9F">
            <w:pPr>
              <w:spacing w:line="259" w:lineRule="auto"/>
              <w:rPr>
                <w:color w:val="000000"/>
                <w:kern w:val="2"/>
                <w:szCs w:val="24"/>
                <w:shd w:val="clear" w:color="auto" w:fill="FFFFFF"/>
              </w:rPr>
            </w:pPr>
          </w:p>
        </w:tc>
      </w:tr>
      <w:tr w:rsidR="004F3C9F" w14:paraId="19884362" w14:textId="77777777" w:rsidTr="009C1B70">
        <w:trPr>
          <w:trHeight w:val="300"/>
        </w:trPr>
        <w:tc>
          <w:tcPr>
            <w:tcW w:w="2335" w:type="dxa"/>
            <w:gridSpan w:val="2"/>
          </w:tcPr>
          <w:p w14:paraId="2DD1F801" w14:textId="646FE729" w:rsidR="004F3C9F" w:rsidRDefault="004F3C9F" w:rsidP="004F3C9F">
            <w:pPr>
              <w:rPr>
                <w:b/>
                <w:kern w:val="2"/>
                <w:szCs w:val="24"/>
              </w:rPr>
            </w:pPr>
            <w:r>
              <w:rPr>
                <w:b/>
                <w:kern w:val="2"/>
                <w:szCs w:val="24"/>
              </w:rPr>
              <w:t>5.7. Avanso užtikrinimas</w:t>
            </w:r>
          </w:p>
        </w:tc>
        <w:tc>
          <w:tcPr>
            <w:tcW w:w="7920" w:type="dxa"/>
            <w:gridSpan w:val="2"/>
          </w:tcPr>
          <w:p w14:paraId="1A0A2AD8" w14:textId="77777777" w:rsidR="004F3C9F" w:rsidRDefault="004F3C9F" w:rsidP="004F3C9F">
            <w:pPr>
              <w:rPr>
                <w:kern w:val="2"/>
                <w:szCs w:val="24"/>
              </w:rPr>
            </w:pPr>
            <w:r>
              <w:rPr>
                <w:kern w:val="2"/>
                <w:szCs w:val="24"/>
              </w:rPr>
              <w:t>Netaikoma</w:t>
            </w:r>
          </w:p>
          <w:p w14:paraId="3258F3A8" w14:textId="7E2B1A7A" w:rsidR="004F3C9F" w:rsidRDefault="004F3C9F" w:rsidP="004F3C9F">
            <w:pPr>
              <w:rPr>
                <w:kern w:val="2"/>
                <w:szCs w:val="24"/>
              </w:rPr>
            </w:pPr>
            <w:r>
              <w:rPr>
                <w:color w:val="000000"/>
                <w:kern w:val="2"/>
                <w:szCs w:val="24"/>
                <w:shd w:val="clear" w:color="auto" w:fill="FFFFFF"/>
              </w:rPr>
              <w:t xml:space="preserve"> </w:t>
            </w:r>
          </w:p>
        </w:tc>
      </w:tr>
      <w:tr w:rsidR="004F3C9F" w14:paraId="29366B46" w14:textId="77777777" w:rsidTr="009C1B70">
        <w:trPr>
          <w:trHeight w:val="300"/>
        </w:trPr>
        <w:tc>
          <w:tcPr>
            <w:tcW w:w="10255" w:type="dxa"/>
            <w:gridSpan w:val="4"/>
          </w:tcPr>
          <w:p w14:paraId="1B8DC7CB" w14:textId="77777777" w:rsidR="004F3C9F" w:rsidRDefault="004F3C9F" w:rsidP="004F3C9F">
            <w:pPr>
              <w:jc w:val="center"/>
              <w:rPr>
                <w:b/>
                <w:kern w:val="2"/>
                <w:szCs w:val="24"/>
              </w:rPr>
            </w:pPr>
            <w:r>
              <w:rPr>
                <w:b/>
                <w:kern w:val="2"/>
                <w:szCs w:val="24"/>
              </w:rPr>
              <w:t>6. PASLAUGŲ KOKYBĖ IR GARANTINIAI ĮSIPAREIGOJIMAI</w:t>
            </w:r>
          </w:p>
        </w:tc>
      </w:tr>
      <w:tr w:rsidR="004F3C9F" w14:paraId="3D56CB1B" w14:textId="77777777" w:rsidTr="009C1B70">
        <w:trPr>
          <w:trHeight w:val="300"/>
        </w:trPr>
        <w:tc>
          <w:tcPr>
            <w:tcW w:w="2335" w:type="dxa"/>
            <w:gridSpan w:val="2"/>
          </w:tcPr>
          <w:p w14:paraId="27BE1C92" w14:textId="0DC47AF5" w:rsidR="004F3C9F" w:rsidRDefault="004F3C9F" w:rsidP="004F3C9F">
            <w:pPr>
              <w:rPr>
                <w:b/>
                <w:kern w:val="2"/>
                <w:szCs w:val="24"/>
              </w:rPr>
            </w:pPr>
            <w:r>
              <w:rPr>
                <w:b/>
                <w:kern w:val="2"/>
                <w:szCs w:val="24"/>
              </w:rPr>
              <w:t>6.1. Garantinis terminas</w:t>
            </w:r>
          </w:p>
        </w:tc>
        <w:tc>
          <w:tcPr>
            <w:tcW w:w="7920" w:type="dxa"/>
            <w:gridSpan w:val="2"/>
          </w:tcPr>
          <w:p w14:paraId="606FD54D" w14:textId="4081CA07" w:rsidR="004F3C9F" w:rsidRDefault="004F3C9F" w:rsidP="00393A16">
            <w:pPr>
              <w:jc w:val="both"/>
              <w:rPr>
                <w:szCs w:val="24"/>
              </w:rPr>
            </w:pPr>
            <w:r w:rsidRPr="00393A16">
              <w:rPr>
                <w:szCs w:val="24"/>
              </w:rPr>
              <w:t xml:space="preserve">Visoms </w:t>
            </w:r>
            <w:r w:rsidR="008E0543">
              <w:rPr>
                <w:szCs w:val="24"/>
              </w:rPr>
              <w:t>vystymo</w:t>
            </w:r>
            <w:r w:rsidR="00393A16" w:rsidRPr="00393A16">
              <w:rPr>
                <w:szCs w:val="24"/>
              </w:rPr>
              <w:t xml:space="preserve"> paslaugoms</w:t>
            </w:r>
            <w:r w:rsidRPr="00393A16">
              <w:rPr>
                <w:szCs w:val="24"/>
              </w:rPr>
              <w:t xml:space="preserve"> turi būti taikoma 12 mėnesių nuo paslaugų pagal užsakymą priėmimo perdavimo akto pasirašymo dienos, garantinė priežiūra. </w:t>
            </w:r>
          </w:p>
        </w:tc>
      </w:tr>
      <w:tr w:rsidR="004F3C9F" w14:paraId="1619DC5D" w14:textId="77777777" w:rsidTr="009C1B70">
        <w:trPr>
          <w:trHeight w:val="300"/>
        </w:trPr>
        <w:tc>
          <w:tcPr>
            <w:tcW w:w="2335" w:type="dxa"/>
            <w:gridSpan w:val="2"/>
          </w:tcPr>
          <w:p w14:paraId="45BAA65F" w14:textId="5ED03B61" w:rsidR="004F3C9F" w:rsidRDefault="004F3C9F" w:rsidP="004F3C9F">
            <w:pPr>
              <w:rPr>
                <w:b/>
                <w:kern w:val="2"/>
                <w:szCs w:val="24"/>
              </w:rPr>
            </w:pPr>
            <w:r>
              <w:rPr>
                <w:b/>
                <w:szCs w:val="24"/>
              </w:rPr>
              <w:t>6.2. Terminas Paslaugų trūkumams pašalinti</w:t>
            </w:r>
          </w:p>
        </w:tc>
        <w:tc>
          <w:tcPr>
            <w:tcW w:w="7920" w:type="dxa"/>
            <w:gridSpan w:val="2"/>
          </w:tcPr>
          <w:p w14:paraId="4A64BFAB" w14:textId="598FA5D7" w:rsidR="004F3C9F" w:rsidRDefault="00BD5499" w:rsidP="00310889">
            <w:pPr>
              <w:jc w:val="both"/>
              <w:rPr>
                <w:kern w:val="2"/>
                <w:szCs w:val="24"/>
              </w:rPr>
            </w:pPr>
            <w:r>
              <w:rPr>
                <w:kern w:val="2"/>
                <w:szCs w:val="24"/>
              </w:rPr>
              <w:t>Taisyklės nustatytos Techninėje specifikacijoje. Jeigu konkrečių terminų taisyklių nėra numatyta Techninėje specifikacijoje, Pirkėjas turi teisę nustatyti protingą terminą trūkumams pašalinti, atsižvelgiant į nustatytų trūkumų pobūdį ir kiekį.</w:t>
            </w:r>
          </w:p>
        </w:tc>
      </w:tr>
      <w:tr w:rsidR="004F3C9F" w14:paraId="37AEF7C6" w14:textId="77777777" w:rsidTr="009C1B70">
        <w:trPr>
          <w:trHeight w:val="300"/>
        </w:trPr>
        <w:tc>
          <w:tcPr>
            <w:tcW w:w="2335" w:type="dxa"/>
            <w:gridSpan w:val="2"/>
          </w:tcPr>
          <w:p w14:paraId="79279C12" w14:textId="746DE322" w:rsidR="004F3C9F" w:rsidRDefault="004F3C9F" w:rsidP="004F3C9F">
            <w:pPr>
              <w:rPr>
                <w:b/>
                <w:szCs w:val="24"/>
              </w:rPr>
            </w:pPr>
            <w:r>
              <w:rPr>
                <w:b/>
                <w:szCs w:val="24"/>
              </w:rPr>
              <w:t>6.3. Kokybinių kriterijų įgyvendinimo ir tikrinimo tvarka</w:t>
            </w:r>
          </w:p>
        </w:tc>
        <w:tc>
          <w:tcPr>
            <w:tcW w:w="7920" w:type="dxa"/>
            <w:gridSpan w:val="2"/>
          </w:tcPr>
          <w:p w14:paraId="51EEB408" w14:textId="57A89720" w:rsidR="004F3C9F" w:rsidRDefault="004F3C9F" w:rsidP="004F3C9F">
            <w:pPr>
              <w:rPr>
                <w:color w:val="4472C4"/>
                <w:kern w:val="2"/>
                <w:szCs w:val="24"/>
              </w:rPr>
            </w:pPr>
            <w:r>
              <w:rPr>
                <w:kern w:val="2"/>
                <w:szCs w:val="24"/>
              </w:rPr>
              <w:t xml:space="preserve">Netaikoma </w:t>
            </w:r>
          </w:p>
          <w:p w14:paraId="449C3520" w14:textId="79BA972A" w:rsidR="004F3C9F" w:rsidRDefault="004F3C9F" w:rsidP="004F3C9F">
            <w:pPr>
              <w:rPr>
                <w:kern w:val="2"/>
                <w:szCs w:val="24"/>
              </w:rPr>
            </w:pPr>
          </w:p>
        </w:tc>
      </w:tr>
      <w:tr w:rsidR="004F3C9F" w14:paraId="759FE80C" w14:textId="77777777" w:rsidTr="009C1B70">
        <w:trPr>
          <w:trHeight w:val="300"/>
        </w:trPr>
        <w:tc>
          <w:tcPr>
            <w:tcW w:w="10255" w:type="dxa"/>
            <w:gridSpan w:val="4"/>
          </w:tcPr>
          <w:p w14:paraId="4E643707" w14:textId="77777777" w:rsidR="004F3C9F" w:rsidRDefault="004F3C9F" w:rsidP="004F3C9F">
            <w:pPr>
              <w:jc w:val="center"/>
              <w:rPr>
                <w:b/>
                <w:kern w:val="2"/>
                <w:szCs w:val="24"/>
              </w:rPr>
            </w:pPr>
            <w:r>
              <w:rPr>
                <w:b/>
                <w:kern w:val="2"/>
                <w:szCs w:val="24"/>
              </w:rPr>
              <w:t>7. SUTARTIES VYKDYMUI PASITELKIAMI SUBTIEKĖJAI IR (AR) SPECIALISTAI</w:t>
            </w:r>
          </w:p>
        </w:tc>
      </w:tr>
      <w:tr w:rsidR="004F3C9F" w14:paraId="1A744996" w14:textId="77777777" w:rsidTr="009C1B70">
        <w:trPr>
          <w:trHeight w:val="300"/>
        </w:trPr>
        <w:tc>
          <w:tcPr>
            <w:tcW w:w="2335" w:type="dxa"/>
            <w:gridSpan w:val="2"/>
          </w:tcPr>
          <w:p w14:paraId="129612C4" w14:textId="77777777" w:rsidR="004F3C9F" w:rsidRDefault="004F3C9F" w:rsidP="004F3C9F">
            <w:pPr>
              <w:rPr>
                <w:b/>
                <w:bCs/>
                <w:kern w:val="2"/>
                <w:szCs w:val="24"/>
              </w:rPr>
            </w:pPr>
            <w:r>
              <w:rPr>
                <w:b/>
                <w:bCs/>
                <w:kern w:val="2"/>
                <w:szCs w:val="24"/>
              </w:rPr>
              <w:t>7.1. Sutarties vykdymui pasitelkiami subtiekėjai ir (ar) specialistai</w:t>
            </w:r>
          </w:p>
        </w:tc>
        <w:tc>
          <w:tcPr>
            <w:tcW w:w="7920" w:type="dxa"/>
            <w:gridSpan w:val="2"/>
          </w:tcPr>
          <w:p w14:paraId="225AAD2A" w14:textId="77777777" w:rsidR="004F3C9F" w:rsidRDefault="004F3C9F" w:rsidP="004F3C9F">
            <w:pPr>
              <w:rPr>
                <w:kern w:val="2"/>
                <w:szCs w:val="24"/>
              </w:rPr>
            </w:pPr>
            <w:r>
              <w:rPr>
                <w:kern w:val="2"/>
                <w:szCs w:val="24"/>
              </w:rPr>
              <w:t>Sutarties vykdymui subtiekėjai ir (ar) specialistai nepasitelkiami.</w:t>
            </w:r>
          </w:p>
          <w:p w14:paraId="0BB1F46F" w14:textId="77777777" w:rsidR="004F3C9F" w:rsidRDefault="004F3C9F" w:rsidP="004F3C9F">
            <w:pPr>
              <w:rPr>
                <w:kern w:val="2"/>
                <w:szCs w:val="24"/>
              </w:rPr>
            </w:pPr>
          </w:p>
          <w:p w14:paraId="44FB0770" w14:textId="77777777" w:rsidR="004F3C9F" w:rsidRDefault="004F3C9F" w:rsidP="004F3C9F">
            <w:pPr>
              <w:rPr>
                <w:color w:val="FF0000"/>
                <w:kern w:val="2"/>
                <w:szCs w:val="24"/>
              </w:rPr>
            </w:pPr>
            <w:r>
              <w:rPr>
                <w:color w:val="FF0000"/>
                <w:kern w:val="2"/>
                <w:szCs w:val="24"/>
              </w:rPr>
              <w:t>arba</w:t>
            </w:r>
          </w:p>
          <w:p w14:paraId="6D59279B" w14:textId="77777777" w:rsidR="004F3C9F" w:rsidRDefault="004F3C9F" w:rsidP="004F3C9F">
            <w:pPr>
              <w:rPr>
                <w:kern w:val="2"/>
                <w:szCs w:val="24"/>
              </w:rPr>
            </w:pPr>
          </w:p>
          <w:p w14:paraId="10514FEF" w14:textId="77777777" w:rsidR="004F3C9F" w:rsidRDefault="004F3C9F" w:rsidP="004F3C9F">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F3C9F" w14:paraId="4677BEA7" w14:textId="77777777" w:rsidTr="009C1B70">
        <w:trPr>
          <w:trHeight w:val="300"/>
        </w:trPr>
        <w:tc>
          <w:tcPr>
            <w:tcW w:w="10255" w:type="dxa"/>
            <w:gridSpan w:val="4"/>
          </w:tcPr>
          <w:p w14:paraId="7A37B716" w14:textId="77777777" w:rsidR="004F3C9F" w:rsidRDefault="004F3C9F" w:rsidP="004F3C9F">
            <w:pPr>
              <w:jc w:val="center"/>
              <w:rPr>
                <w:b/>
                <w:kern w:val="2"/>
                <w:szCs w:val="24"/>
              </w:rPr>
            </w:pPr>
            <w:r>
              <w:rPr>
                <w:b/>
                <w:kern w:val="2"/>
                <w:szCs w:val="24"/>
              </w:rPr>
              <w:t>8. PRIEVOLIŲ PAGAL SUTARTĮ ĮVYKDYMO UŽTIKRINIMAS</w:t>
            </w:r>
          </w:p>
        </w:tc>
      </w:tr>
      <w:tr w:rsidR="004F3C9F" w14:paraId="4155B16E" w14:textId="77777777" w:rsidTr="009C1B70">
        <w:trPr>
          <w:trHeight w:val="300"/>
        </w:trPr>
        <w:tc>
          <w:tcPr>
            <w:tcW w:w="2335" w:type="dxa"/>
            <w:gridSpan w:val="2"/>
          </w:tcPr>
          <w:p w14:paraId="7AD9E9A7" w14:textId="77777777" w:rsidR="004F3C9F" w:rsidRDefault="004F3C9F" w:rsidP="004F3C9F">
            <w:pPr>
              <w:rPr>
                <w:b/>
                <w:kern w:val="2"/>
                <w:szCs w:val="24"/>
              </w:rPr>
            </w:pPr>
            <w:r>
              <w:rPr>
                <w:b/>
                <w:kern w:val="2"/>
                <w:szCs w:val="24"/>
              </w:rPr>
              <w:t>8.1. Prievolių pagal Sutartį įvykdymo užtikrinimas</w:t>
            </w:r>
          </w:p>
        </w:tc>
        <w:tc>
          <w:tcPr>
            <w:tcW w:w="7920" w:type="dxa"/>
            <w:gridSpan w:val="2"/>
          </w:tcPr>
          <w:p w14:paraId="14E59578" w14:textId="06461FB8" w:rsidR="004F3C9F" w:rsidRDefault="004F3C9F" w:rsidP="004F3C9F">
            <w:pPr>
              <w:rPr>
                <w:kern w:val="2"/>
                <w:szCs w:val="24"/>
              </w:rPr>
            </w:pPr>
            <w:r>
              <w:rPr>
                <w:kern w:val="2"/>
                <w:szCs w:val="24"/>
              </w:rPr>
              <w:t>Prievolių pagal Sutartį įvykdymas užtikrinamas:</w:t>
            </w:r>
          </w:p>
          <w:p w14:paraId="46A3E25A" w14:textId="6FBC0740" w:rsidR="004F3C9F" w:rsidRDefault="004F3C9F" w:rsidP="004F3C9F">
            <w:pPr>
              <w:rPr>
                <w:kern w:val="2"/>
                <w:szCs w:val="24"/>
              </w:rPr>
            </w:pPr>
            <w:r>
              <w:rPr>
                <w:kern w:val="2"/>
                <w:szCs w:val="24"/>
              </w:rPr>
              <w:t>Netesybomis (delspinigiais, bauda</w:t>
            </w:r>
            <w:r w:rsidR="00BD5499">
              <w:rPr>
                <w:kern w:val="2"/>
                <w:szCs w:val="24"/>
              </w:rPr>
              <w:t>)</w:t>
            </w:r>
            <w:r>
              <w:rPr>
                <w:kern w:val="2"/>
                <w:szCs w:val="24"/>
              </w:rPr>
              <w:t>.</w:t>
            </w:r>
          </w:p>
          <w:p w14:paraId="2D80CD6E" w14:textId="4B3B9A41" w:rsidR="004F3C9F" w:rsidRDefault="004F3C9F" w:rsidP="004F3C9F">
            <w:pPr>
              <w:rPr>
                <w:kern w:val="2"/>
                <w:szCs w:val="24"/>
              </w:rPr>
            </w:pPr>
          </w:p>
        </w:tc>
      </w:tr>
      <w:tr w:rsidR="004F3C9F" w14:paraId="25D80381" w14:textId="77777777" w:rsidTr="009C1B70">
        <w:trPr>
          <w:trHeight w:val="300"/>
        </w:trPr>
        <w:tc>
          <w:tcPr>
            <w:tcW w:w="2335" w:type="dxa"/>
            <w:gridSpan w:val="2"/>
          </w:tcPr>
          <w:p w14:paraId="0F8492D8" w14:textId="65641063" w:rsidR="004F3C9F" w:rsidRDefault="004F3C9F" w:rsidP="004F3C9F">
            <w:pPr>
              <w:rPr>
                <w:b/>
                <w:kern w:val="2"/>
                <w:szCs w:val="24"/>
              </w:rPr>
            </w:pPr>
            <w:r>
              <w:rPr>
                <w:b/>
                <w:kern w:val="2"/>
                <w:szCs w:val="24"/>
              </w:rPr>
              <w:t>8.2 Sutarties įvykdymo užtikrinimo galiojimo terminas</w:t>
            </w:r>
          </w:p>
        </w:tc>
        <w:tc>
          <w:tcPr>
            <w:tcW w:w="7920" w:type="dxa"/>
            <w:gridSpan w:val="2"/>
          </w:tcPr>
          <w:p w14:paraId="26517931" w14:textId="27DE2F4E" w:rsidR="004F3C9F" w:rsidRDefault="004F3C9F" w:rsidP="004F3C9F">
            <w:pPr>
              <w:rPr>
                <w:kern w:val="2"/>
                <w:szCs w:val="24"/>
              </w:rPr>
            </w:pPr>
            <w:r>
              <w:rPr>
                <w:kern w:val="2"/>
                <w:szCs w:val="24"/>
              </w:rPr>
              <w:t>Netaikoma</w:t>
            </w:r>
          </w:p>
          <w:p w14:paraId="1EA322D2" w14:textId="740967C0" w:rsidR="004F3C9F" w:rsidRDefault="004F3C9F" w:rsidP="004F3C9F">
            <w:pPr>
              <w:rPr>
                <w:kern w:val="2"/>
                <w:szCs w:val="24"/>
              </w:rPr>
            </w:pPr>
          </w:p>
          <w:p w14:paraId="6A3C4961" w14:textId="5D6D8A09" w:rsidR="004F3C9F" w:rsidRDefault="004F3C9F" w:rsidP="004F3C9F">
            <w:pPr>
              <w:rPr>
                <w:kern w:val="2"/>
                <w:szCs w:val="24"/>
              </w:rPr>
            </w:pPr>
          </w:p>
        </w:tc>
      </w:tr>
      <w:tr w:rsidR="004F3C9F" w14:paraId="2A4E7446" w14:textId="77777777" w:rsidTr="009C1B70">
        <w:trPr>
          <w:trHeight w:val="300"/>
        </w:trPr>
        <w:tc>
          <w:tcPr>
            <w:tcW w:w="2335" w:type="dxa"/>
            <w:gridSpan w:val="2"/>
          </w:tcPr>
          <w:p w14:paraId="6B0B299A" w14:textId="77777777" w:rsidR="004F3C9F" w:rsidRDefault="004F3C9F" w:rsidP="004F3C9F">
            <w:pPr>
              <w:rPr>
                <w:b/>
                <w:kern w:val="2"/>
                <w:szCs w:val="24"/>
              </w:rPr>
            </w:pPr>
            <w:r>
              <w:rPr>
                <w:b/>
                <w:kern w:val="2"/>
                <w:szCs w:val="24"/>
              </w:rPr>
              <w:t>8.3. Sutarties įvykdymo užtikrinimo pateikimas</w:t>
            </w:r>
          </w:p>
        </w:tc>
        <w:tc>
          <w:tcPr>
            <w:tcW w:w="7920" w:type="dxa"/>
            <w:gridSpan w:val="2"/>
          </w:tcPr>
          <w:p w14:paraId="2647EC90" w14:textId="77777777" w:rsidR="004F3C9F" w:rsidRDefault="004F3C9F" w:rsidP="004F3C9F">
            <w:pPr>
              <w:rPr>
                <w:kern w:val="2"/>
                <w:szCs w:val="24"/>
              </w:rPr>
            </w:pPr>
            <w:r>
              <w:rPr>
                <w:kern w:val="2"/>
                <w:szCs w:val="24"/>
              </w:rPr>
              <w:t>Netaikoma</w:t>
            </w:r>
          </w:p>
          <w:p w14:paraId="304B0E48" w14:textId="77777777" w:rsidR="004F3C9F" w:rsidRDefault="004F3C9F" w:rsidP="004F3C9F">
            <w:pPr>
              <w:rPr>
                <w:kern w:val="2"/>
                <w:szCs w:val="24"/>
              </w:rPr>
            </w:pPr>
          </w:p>
          <w:p w14:paraId="47D3FAEF" w14:textId="11C9953C" w:rsidR="004F3C9F" w:rsidRDefault="004F3C9F" w:rsidP="004F3C9F">
            <w:pPr>
              <w:rPr>
                <w:szCs w:val="24"/>
              </w:rPr>
            </w:pPr>
          </w:p>
        </w:tc>
      </w:tr>
      <w:tr w:rsidR="004F3C9F" w14:paraId="15859C99" w14:textId="77777777" w:rsidTr="009C1B70">
        <w:trPr>
          <w:trHeight w:val="300"/>
        </w:trPr>
        <w:tc>
          <w:tcPr>
            <w:tcW w:w="10255" w:type="dxa"/>
            <w:gridSpan w:val="4"/>
          </w:tcPr>
          <w:p w14:paraId="1ECF65EB" w14:textId="77777777" w:rsidR="004F3C9F" w:rsidRDefault="004F3C9F" w:rsidP="004F3C9F">
            <w:pPr>
              <w:jc w:val="center"/>
              <w:rPr>
                <w:b/>
                <w:kern w:val="2"/>
                <w:szCs w:val="24"/>
              </w:rPr>
            </w:pPr>
            <w:r>
              <w:rPr>
                <w:b/>
                <w:kern w:val="2"/>
                <w:szCs w:val="24"/>
              </w:rPr>
              <w:t>9. ŠALIŲ ATSAKOMYBĖ</w:t>
            </w:r>
          </w:p>
        </w:tc>
      </w:tr>
      <w:tr w:rsidR="00BD5499" w14:paraId="751AAE6F" w14:textId="77777777" w:rsidTr="009C1B70">
        <w:trPr>
          <w:trHeight w:val="300"/>
        </w:trPr>
        <w:tc>
          <w:tcPr>
            <w:tcW w:w="2335" w:type="dxa"/>
            <w:gridSpan w:val="2"/>
          </w:tcPr>
          <w:p w14:paraId="41D56436" w14:textId="067E4BE6" w:rsidR="00BD5499" w:rsidRDefault="00BD5499" w:rsidP="00BD5499">
            <w:pPr>
              <w:rPr>
                <w:b/>
                <w:kern w:val="2"/>
                <w:szCs w:val="24"/>
              </w:rPr>
            </w:pPr>
            <w:r>
              <w:rPr>
                <w:b/>
                <w:kern w:val="2"/>
                <w:szCs w:val="24"/>
              </w:rPr>
              <w:t>9.1. Pirkėjui taikomos netesybos už mokėjimų pagal Sutartį vėlavimą</w:t>
            </w:r>
          </w:p>
        </w:tc>
        <w:tc>
          <w:tcPr>
            <w:tcW w:w="7920" w:type="dxa"/>
            <w:gridSpan w:val="2"/>
          </w:tcPr>
          <w:p w14:paraId="070C11FC" w14:textId="539B5865" w:rsidR="00BD5499" w:rsidRDefault="00BD5499" w:rsidP="00BD5499">
            <w:pPr>
              <w:spacing w:line="259" w:lineRule="auto"/>
              <w:jc w:val="both"/>
              <w:rPr>
                <w:color w:val="000000"/>
                <w:kern w:val="2"/>
                <w:szCs w:val="24"/>
              </w:rPr>
            </w:pPr>
            <w:r w:rsidRPr="00657400">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657400">
              <w:rPr>
                <w:color w:val="000000"/>
                <w:kern w:val="2"/>
                <w:szCs w:val="24"/>
              </w:rPr>
              <w:lastRenderedPageBreak/>
              <w:t>šimtosios) procento dydžio delspinigius nuo neapmokėtos sumos be PVM už kiekvieną vėlavimo dieną.</w:t>
            </w:r>
          </w:p>
        </w:tc>
      </w:tr>
      <w:tr w:rsidR="00BD5499" w14:paraId="2C60DAC2" w14:textId="77777777" w:rsidTr="009C1B70">
        <w:trPr>
          <w:trHeight w:val="300"/>
        </w:trPr>
        <w:tc>
          <w:tcPr>
            <w:tcW w:w="2335" w:type="dxa"/>
            <w:gridSpan w:val="2"/>
          </w:tcPr>
          <w:p w14:paraId="1BA2D9E1" w14:textId="425BB12B" w:rsidR="00BD5499" w:rsidRDefault="00BD5499" w:rsidP="00BD5499">
            <w:pPr>
              <w:rPr>
                <w:b/>
                <w:kern w:val="2"/>
                <w:szCs w:val="24"/>
              </w:rPr>
            </w:pPr>
            <w:r>
              <w:rPr>
                <w:b/>
                <w:szCs w:val="24"/>
              </w:rPr>
              <w:lastRenderedPageBreak/>
              <w:t>9.2. Tiekėjui taikomos netesybos</w:t>
            </w:r>
          </w:p>
        </w:tc>
        <w:tc>
          <w:tcPr>
            <w:tcW w:w="7920" w:type="dxa"/>
            <w:gridSpan w:val="2"/>
          </w:tcPr>
          <w:p w14:paraId="7B6CF99F" w14:textId="1590193F" w:rsidR="00BD5499" w:rsidRPr="001954E4" w:rsidRDefault="00BD5499" w:rsidP="00CB368A">
            <w:pPr>
              <w:jc w:val="both"/>
              <w:rPr>
                <w:b/>
                <w:bCs/>
                <w:color w:val="000000"/>
                <w:szCs w:val="24"/>
                <w:lang w:eastAsia="lt-LT"/>
              </w:rPr>
            </w:pPr>
            <w:r w:rsidRPr="001954E4">
              <w:rPr>
                <w:b/>
                <w:bCs/>
                <w:color w:val="000000"/>
                <w:szCs w:val="24"/>
                <w:lang w:eastAsia="lt-LT"/>
              </w:rPr>
              <w:t xml:space="preserve">Atsakomybės taisyklės dėl </w:t>
            </w:r>
            <w:r w:rsidR="00DB65C4" w:rsidRPr="001954E4">
              <w:rPr>
                <w:b/>
                <w:bCs/>
                <w:color w:val="000000"/>
                <w:szCs w:val="24"/>
                <w:lang w:eastAsia="lt-LT"/>
              </w:rPr>
              <w:t>P</w:t>
            </w:r>
            <w:r w:rsidRPr="001954E4">
              <w:rPr>
                <w:b/>
                <w:bCs/>
                <w:color w:val="000000"/>
                <w:szCs w:val="24"/>
                <w:lang w:eastAsia="lt-LT"/>
              </w:rPr>
              <w:t>aslaugų</w:t>
            </w:r>
            <w:r w:rsidR="00DB65C4" w:rsidRPr="001954E4">
              <w:rPr>
                <w:b/>
                <w:bCs/>
                <w:color w:val="000000"/>
                <w:szCs w:val="24"/>
                <w:lang w:eastAsia="lt-LT"/>
              </w:rPr>
              <w:t xml:space="preserve"> </w:t>
            </w:r>
            <w:r w:rsidR="00310889">
              <w:rPr>
                <w:b/>
                <w:bCs/>
                <w:color w:val="000000"/>
                <w:szCs w:val="24"/>
                <w:lang w:eastAsia="lt-LT"/>
              </w:rPr>
              <w:t xml:space="preserve">teikimo </w:t>
            </w:r>
            <w:r w:rsidR="00DB65C4" w:rsidRPr="001954E4">
              <w:rPr>
                <w:b/>
                <w:bCs/>
                <w:color w:val="000000"/>
                <w:szCs w:val="24"/>
                <w:lang w:eastAsia="lt-LT"/>
              </w:rPr>
              <w:t>gedimų ir sutrikimų</w:t>
            </w:r>
            <w:r w:rsidRPr="001954E4">
              <w:rPr>
                <w:b/>
                <w:bCs/>
                <w:color w:val="000000"/>
                <w:szCs w:val="24"/>
                <w:lang w:eastAsia="lt-LT"/>
              </w:rPr>
              <w:t>:</w:t>
            </w:r>
          </w:p>
          <w:p w14:paraId="1EB14D2A" w14:textId="03077124" w:rsidR="00BD5499" w:rsidRPr="001954E4" w:rsidRDefault="00BD5499" w:rsidP="00CB368A">
            <w:pPr>
              <w:jc w:val="both"/>
              <w:rPr>
                <w:color w:val="000000"/>
                <w:szCs w:val="24"/>
                <w:lang w:eastAsia="lt-LT"/>
              </w:rPr>
            </w:pPr>
            <w:r w:rsidRPr="001954E4">
              <w:rPr>
                <w:rFonts w:eastAsia="Calibri"/>
                <w:szCs w:val="24"/>
              </w:rPr>
              <w:t>9.2.</w:t>
            </w:r>
            <w:r w:rsidR="00501F63">
              <w:rPr>
                <w:rFonts w:eastAsia="Calibri"/>
                <w:szCs w:val="24"/>
                <w:lang w:val="en-US"/>
              </w:rPr>
              <w:t>1</w:t>
            </w:r>
            <w:r w:rsidRPr="001954E4">
              <w:rPr>
                <w:rFonts w:eastAsia="Calibri"/>
                <w:szCs w:val="24"/>
              </w:rPr>
              <w:t>. j</w:t>
            </w:r>
            <w:r w:rsidRPr="001954E4">
              <w:rPr>
                <w:color w:val="000000"/>
                <w:szCs w:val="24"/>
                <w:lang w:eastAsia="lt-LT"/>
              </w:rPr>
              <w:t>eigu Tiekėjas dėl savo kaltės vėluoja išspręsti kritin</w:t>
            </w:r>
            <w:r w:rsidR="00335DB9" w:rsidRPr="001954E4">
              <w:rPr>
                <w:color w:val="000000"/>
                <w:szCs w:val="24"/>
                <w:lang w:eastAsia="lt-LT"/>
              </w:rPr>
              <w:t>io (aukšto lygio)</w:t>
            </w:r>
            <w:r w:rsidRPr="001954E4">
              <w:rPr>
                <w:color w:val="000000"/>
                <w:szCs w:val="24"/>
                <w:lang w:eastAsia="lt-LT"/>
              </w:rPr>
              <w:t xml:space="preserve"> </w:t>
            </w:r>
            <w:r w:rsidR="00335DB9" w:rsidRPr="001954E4">
              <w:rPr>
                <w:color w:val="000000"/>
                <w:szCs w:val="24"/>
                <w:lang w:eastAsia="lt-LT"/>
              </w:rPr>
              <w:t>gedimą ir</w:t>
            </w:r>
            <w:r w:rsidRPr="001954E4">
              <w:rPr>
                <w:color w:val="000000"/>
                <w:szCs w:val="24"/>
                <w:lang w:eastAsia="lt-LT"/>
              </w:rPr>
              <w:t xml:space="preserve"> sutrikimą Techninėje specifikacijoje nustatytais terminais, už kiekvieną vėluojamą valandą Tiekėjas turi mokėti </w:t>
            </w:r>
            <w:r w:rsidR="00501F63">
              <w:rPr>
                <w:color w:val="000000"/>
                <w:szCs w:val="24"/>
                <w:lang w:val="en-US" w:eastAsia="lt-LT"/>
              </w:rPr>
              <w:t>30</w:t>
            </w:r>
            <w:r w:rsidRPr="001954E4">
              <w:rPr>
                <w:color w:val="000000"/>
                <w:szCs w:val="24"/>
                <w:lang w:eastAsia="lt-LT"/>
              </w:rPr>
              <w:t xml:space="preserve"> (</w:t>
            </w:r>
            <w:r w:rsidR="00501F63">
              <w:rPr>
                <w:color w:val="000000"/>
                <w:szCs w:val="24"/>
                <w:lang w:eastAsia="lt-LT"/>
              </w:rPr>
              <w:t>trisdešimt</w:t>
            </w:r>
            <w:r w:rsidRPr="001954E4">
              <w:rPr>
                <w:color w:val="000000"/>
                <w:szCs w:val="24"/>
                <w:lang w:eastAsia="lt-LT"/>
              </w:rPr>
              <w:t xml:space="preserve"> Eur 0 ct) eurų dydžio baudą;</w:t>
            </w:r>
          </w:p>
          <w:p w14:paraId="12E9F63D" w14:textId="50E52F1A" w:rsidR="00BD5499" w:rsidRPr="001954E4" w:rsidRDefault="00BD5499" w:rsidP="00CB368A">
            <w:pPr>
              <w:jc w:val="both"/>
              <w:rPr>
                <w:color w:val="000000"/>
                <w:szCs w:val="24"/>
                <w:lang w:eastAsia="lt-LT"/>
              </w:rPr>
            </w:pPr>
            <w:r w:rsidRPr="001954E4">
              <w:rPr>
                <w:rFonts w:eastAsia="Calibri"/>
                <w:szCs w:val="24"/>
              </w:rPr>
              <w:t>9.2.</w:t>
            </w:r>
            <w:r w:rsidR="00501F63">
              <w:rPr>
                <w:rFonts w:eastAsia="Calibri"/>
                <w:szCs w:val="24"/>
              </w:rPr>
              <w:t>2</w:t>
            </w:r>
            <w:r w:rsidRPr="001954E4">
              <w:rPr>
                <w:rFonts w:eastAsia="Calibri"/>
                <w:szCs w:val="24"/>
              </w:rPr>
              <w:t>. j</w:t>
            </w:r>
            <w:r w:rsidRPr="001954E4">
              <w:rPr>
                <w:color w:val="000000"/>
                <w:szCs w:val="24"/>
                <w:lang w:eastAsia="lt-LT"/>
              </w:rPr>
              <w:t xml:space="preserve">eigu Tiekėjas dėl savo kaltės vėluoja išspręsti </w:t>
            </w:r>
            <w:r w:rsidR="00335DB9" w:rsidRPr="001954E4">
              <w:rPr>
                <w:color w:val="000000"/>
                <w:szCs w:val="24"/>
                <w:lang w:eastAsia="lt-LT"/>
              </w:rPr>
              <w:t>svarbų (vidutinio lygio)</w:t>
            </w:r>
            <w:r w:rsidRPr="001954E4">
              <w:rPr>
                <w:color w:val="000000"/>
                <w:szCs w:val="24"/>
                <w:lang w:eastAsia="lt-LT"/>
              </w:rPr>
              <w:t xml:space="preserve"> </w:t>
            </w:r>
            <w:r w:rsidR="00335DB9" w:rsidRPr="001954E4">
              <w:rPr>
                <w:color w:val="000000"/>
                <w:szCs w:val="24"/>
                <w:lang w:eastAsia="lt-LT"/>
              </w:rPr>
              <w:t xml:space="preserve">gedimą ir </w:t>
            </w:r>
            <w:r w:rsidRPr="001954E4">
              <w:rPr>
                <w:color w:val="000000"/>
                <w:szCs w:val="24"/>
                <w:lang w:eastAsia="lt-LT"/>
              </w:rPr>
              <w:t xml:space="preserve">sutrikimą Techninėje specifikacijoje nustatytais terminais, už kiekvieną vėluojamą valandą Tiekėjas turi mokėti </w:t>
            </w:r>
            <w:r w:rsidR="00501F63">
              <w:rPr>
                <w:color w:val="000000"/>
                <w:szCs w:val="24"/>
                <w:lang w:val="en-US" w:eastAsia="lt-LT"/>
              </w:rPr>
              <w:t>20</w:t>
            </w:r>
            <w:r w:rsidRPr="001954E4">
              <w:rPr>
                <w:color w:val="000000"/>
                <w:szCs w:val="24"/>
                <w:lang w:eastAsia="lt-LT"/>
              </w:rPr>
              <w:t xml:space="preserve"> (</w:t>
            </w:r>
            <w:r w:rsidR="00501F63">
              <w:rPr>
                <w:color w:val="000000"/>
                <w:szCs w:val="24"/>
                <w:lang w:eastAsia="lt-LT"/>
              </w:rPr>
              <w:t>dvidešimt</w:t>
            </w:r>
            <w:r w:rsidRPr="001954E4">
              <w:rPr>
                <w:color w:val="000000"/>
                <w:szCs w:val="24"/>
                <w:lang w:eastAsia="lt-LT"/>
              </w:rPr>
              <w:t xml:space="preserve"> Eur 0 ct) eurų dydžio baudą;</w:t>
            </w:r>
          </w:p>
          <w:p w14:paraId="3D191B0A" w14:textId="2D1E2FE4" w:rsidR="00335DB9" w:rsidRPr="001954E4" w:rsidRDefault="00335DB9" w:rsidP="00335DB9">
            <w:pPr>
              <w:jc w:val="both"/>
              <w:rPr>
                <w:color w:val="000000"/>
                <w:szCs w:val="24"/>
                <w:lang w:eastAsia="lt-LT"/>
              </w:rPr>
            </w:pPr>
            <w:r w:rsidRPr="001954E4">
              <w:rPr>
                <w:rFonts w:eastAsia="Calibri"/>
                <w:szCs w:val="24"/>
              </w:rPr>
              <w:t>9.2.</w:t>
            </w:r>
            <w:r w:rsidR="00501F63">
              <w:rPr>
                <w:rFonts w:eastAsia="Calibri"/>
                <w:szCs w:val="24"/>
              </w:rPr>
              <w:t>3</w:t>
            </w:r>
            <w:r w:rsidRPr="001954E4">
              <w:rPr>
                <w:rFonts w:eastAsia="Calibri"/>
                <w:szCs w:val="24"/>
              </w:rPr>
              <w:t>. j</w:t>
            </w:r>
            <w:r w:rsidRPr="001954E4">
              <w:rPr>
                <w:color w:val="000000"/>
                <w:szCs w:val="24"/>
                <w:lang w:eastAsia="lt-LT"/>
              </w:rPr>
              <w:t xml:space="preserve">eigu Tiekėjas dėl savo kaltės vėluoja išspręsti nesvarbų (žemo lygio) gedimą ir sutrikimą Techninėje specifikacijoje nustatytais terminais, už kiekvieną vėluojamą valandą Tiekėjas turi mokėti </w:t>
            </w:r>
            <w:r w:rsidR="00501F63">
              <w:rPr>
                <w:color w:val="000000"/>
                <w:szCs w:val="24"/>
                <w:lang w:val="en-US" w:eastAsia="lt-LT"/>
              </w:rPr>
              <w:t>10</w:t>
            </w:r>
            <w:r w:rsidRPr="001954E4">
              <w:rPr>
                <w:color w:val="000000"/>
                <w:szCs w:val="24"/>
                <w:lang w:eastAsia="lt-LT"/>
              </w:rPr>
              <w:t xml:space="preserve"> (</w:t>
            </w:r>
            <w:r w:rsidR="00501F63">
              <w:rPr>
                <w:color w:val="000000"/>
                <w:szCs w:val="24"/>
                <w:lang w:eastAsia="lt-LT"/>
              </w:rPr>
              <w:t>dešimt</w:t>
            </w:r>
            <w:r w:rsidRPr="001954E4">
              <w:rPr>
                <w:color w:val="000000"/>
                <w:szCs w:val="24"/>
                <w:lang w:eastAsia="lt-LT"/>
              </w:rPr>
              <w:t xml:space="preserve"> Eur 0 ct) eurų dydžio baudą;</w:t>
            </w:r>
          </w:p>
          <w:p w14:paraId="0ED5BEA7" w14:textId="680945AB" w:rsidR="00DB65C4" w:rsidRPr="001954E4" w:rsidRDefault="00BD5499" w:rsidP="00CB368A">
            <w:pPr>
              <w:jc w:val="both"/>
              <w:rPr>
                <w:color w:val="000000"/>
                <w:szCs w:val="24"/>
                <w:lang w:eastAsia="lt-LT"/>
              </w:rPr>
            </w:pPr>
            <w:r w:rsidRPr="001954E4">
              <w:rPr>
                <w:color w:val="000000"/>
                <w:szCs w:val="24"/>
                <w:lang w:eastAsia="lt-LT"/>
              </w:rPr>
              <w:t>9.2.</w:t>
            </w:r>
            <w:r w:rsidR="00501F63">
              <w:rPr>
                <w:color w:val="000000"/>
                <w:szCs w:val="24"/>
                <w:lang w:eastAsia="lt-LT"/>
              </w:rPr>
              <w:t>4</w:t>
            </w:r>
            <w:r w:rsidRPr="001954E4">
              <w:rPr>
                <w:color w:val="000000"/>
                <w:szCs w:val="24"/>
                <w:lang w:eastAsia="lt-LT"/>
              </w:rPr>
              <w:t xml:space="preserve">. jeigu Tiekėjas </w:t>
            </w:r>
            <w:r w:rsidR="00DB65C4" w:rsidRPr="001954E4">
              <w:rPr>
                <w:color w:val="000000"/>
                <w:szCs w:val="24"/>
                <w:lang w:eastAsia="lt-LT"/>
              </w:rPr>
              <w:t xml:space="preserve">nesuteikia nemokamos pagalbos </w:t>
            </w:r>
            <w:r w:rsidR="00DB65C4" w:rsidRPr="001954E4">
              <w:t xml:space="preserve">ir konsultacijos judriojo </w:t>
            </w:r>
            <w:r w:rsidR="00DB65C4" w:rsidRPr="00A96A9A">
              <w:t xml:space="preserve">ryšio paslaugų teikimo klausimais, Pirkėjui pareikalavus, </w:t>
            </w:r>
            <w:r w:rsidRPr="00A96A9A">
              <w:rPr>
                <w:color w:val="000000"/>
                <w:szCs w:val="24"/>
                <w:lang w:eastAsia="lt-LT"/>
              </w:rPr>
              <w:t xml:space="preserve">Tiekėjas turi mokėti </w:t>
            </w:r>
            <w:r w:rsidR="00DB65C4" w:rsidRPr="00A96A9A">
              <w:rPr>
                <w:color w:val="000000"/>
                <w:szCs w:val="24"/>
                <w:lang w:val="en-US" w:eastAsia="lt-LT"/>
              </w:rPr>
              <w:t>3</w:t>
            </w:r>
            <w:r w:rsidR="00DB65C4" w:rsidRPr="00A96A9A">
              <w:rPr>
                <w:color w:val="000000"/>
                <w:szCs w:val="24"/>
                <w:lang w:eastAsia="lt-LT"/>
              </w:rPr>
              <w:t>,00 (trys Eur 0 ct) eurų dydžio baudą</w:t>
            </w:r>
            <w:r w:rsidR="00DB65C4" w:rsidRPr="001954E4">
              <w:rPr>
                <w:color w:val="000000"/>
                <w:szCs w:val="24"/>
                <w:lang w:eastAsia="lt-LT"/>
              </w:rPr>
              <w:t xml:space="preserve"> už kiekvieną atvejį atskirai.</w:t>
            </w:r>
          </w:p>
          <w:p w14:paraId="27AF23ED" w14:textId="36D9FE73" w:rsidR="00BD5499" w:rsidRDefault="00DB65C4" w:rsidP="00CB368A">
            <w:pPr>
              <w:jc w:val="both"/>
              <w:rPr>
                <w:b/>
                <w:bCs/>
                <w:i/>
                <w:iCs/>
                <w:color w:val="000000"/>
                <w:szCs w:val="24"/>
                <w:lang w:eastAsia="lt-LT"/>
              </w:rPr>
            </w:pPr>
            <w:r w:rsidRPr="001954E4">
              <w:rPr>
                <w:b/>
                <w:bCs/>
                <w:i/>
                <w:iCs/>
                <w:color w:val="000000"/>
                <w:szCs w:val="24"/>
                <w:lang w:eastAsia="lt-LT"/>
              </w:rPr>
              <w:t xml:space="preserve">Aukšto, vidutinio ir žemo lygio gedimų ir sutrikimų </w:t>
            </w:r>
            <w:r w:rsidR="00BD5499" w:rsidRPr="001954E4">
              <w:rPr>
                <w:b/>
                <w:bCs/>
                <w:i/>
                <w:iCs/>
                <w:color w:val="000000"/>
                <w:szCs w:val="24"/>
                <w:lang w:eastAsia="lt-LT"/>
              </w:rPr>
              <w:t>apibrėžimai bei jų išsprendimo terminai yra detalizuoti Techninėje specifikacijoje (Sutarties priedas Nr. 1).</w:t>
            </w:r>
          </w:p>
          <w:p w14:paraId="3535BE04" w14:textId="77777777" w:rsidR="00310889" w:rsidRPr="001954E4" w:rsidRDefault="00310889" w:rsidP="00CB368A">
            <w:pPr>
              <w:jc w:val="both"/>
              <w:rPr>
                <w:b/>
                <w:bCs/>
                <w:i/>
                <w:iCs/>
                <w:color w:val="000000"/>
                <w:szCs w:val="24"/>
                <w:lang w:eastAsia="lt-LT"/>
              </w:rPr>
            </w:pPr>
          </w:p>
          <w:p w14:paraId="375B015E" w14:textId="4D8A9C63" w:rsidR="00BD5499" w:rsidRPr="001954E4" w:rsidRDefault="00BD5499" w:rsidP="00CB368A">
            <w:pPr>
              <w:jc w:val="both"/>
              <w:rPr>
                <w:b/>
                <w:bCs/>
                <w:color w:val="000000"/>
                <w:szCs w:val="24"/>
                <w:lang w:eastAsia="lt-LT"/>
              </w:rPr>
            </w:pPr>
            <w:r w:rsidRPr="001954E4">
              <w:rPr>
                <w:b/>
                <w:bCs/>
                <w:color w:val="000000"/>
                <w:szCs w:val="24"/>
                <w:lang w:eastAsia="lt-LT"/>
              </w:rPr>
              <w:t xml:space="preserve">Atsakomybės taisyklės dėl </w:t>
            </w:r>
            <w:r w:rsidR="001954E4" w:rsidRPr="001954E4">
              <w:rPr>
                <w:b/>
                <w:bCs/>
                <w:color w:val="000000"/>
                <w:szCs w:val="24"/>
                <w:lang w:eastAsia="lt-LT"/>
              </w:rPr>
              <w:t xml:space="preserve">vystymo </w:t>
            </w:r>
            <w:r w:rsidRPr="001954E4">
              <w:rPr>
                <w:b/>
                <w:bCs/>
                <w:color w:val="000000"/>
                <w:szCs w:val="24"/>
                <w:lang w:eastAsia="lt-LT"/>
              </w:rPr>
              <w:t>paslaugų:</w:t>
            </w:r>
          </w:p>
          <w:p w14:paraId="39503DB4" w14:textId="502E7977" w:rsidR="00BD5499" w:rsidRPr="001954E4" w:rsidRDefault="00BD5499" w:rsidP="00CB368A">
            <w:pPr>
              <w:jc w:val="both"/>
              <w:rPr>
                <w:color w:val="000000"/>
                <w:szCs w:val="24"/>
                <w:lang w:eastAsia="lt-LT"/>
              </w:rPr>
            </w:pPr>
            <w:r w:rsidRPr="001954E4">
              <w:rPr>
                <w:color w:val="000000"/>
                <w:szCs w:val="24"/>
                <w:lang w:val="en-US" w:eastAsia="lt-LT"/>
              </w:rPr>
              <w:t>9.2.</w:t>
            </w:r>
            <w:r w:rsidR="00A96A9A">
              <w:rPr>
                <w:color w:val="000000"/>
                <w:szCs w:val="24"/>
                <w:lang w:val="en-US" w:eastAsia="lt-LT"/>
              </w:rPr>
              <w:t>5</w:t>
            </w:r>
            <w:r w:rsidRPr="001954E4">
              <w:rPr>
                <w:color w:val="000000"/>
                <w:szCs w:val="24"/>
                <w:lang w:val="en-US" w:eastAsia="lt-LT"/>
              </w:rPr>
              <w:t>. j</w:t>
            </w:r>
            <w:proofErr w:type="spellStart"/>
            <w:r w:rsidRPr="001954E4">
              <w:rPr>
                <w:color w:val="000000"/>
                <w:szCs w:val="24"/>
                <w:lang w:eastAsia="lt-LT"/>
              </w:rPr>
              <w:t>eigu</w:t>
            </w:r>
            <w:proofErr w:type="spellEnd"/>
            <w:r w:rsidRPr="001954E4">
              <w:rPr>
                <w:color w:val="000000"/>
                <w:szCs w:val="24"/>
                <w:lang w:eastAsia="lt-LT"/>
              </w:rPr>
              <w:t xml:space="preserve"> Tiekėjas dėl savo kaltės vėluoja: 1) suteikti </w:t>
            </w:r>
            <w:r w:rsidR="00A96A9A">
              <w:rPr>
                <w:color w:val="000000"/>
                <w:szCs w:val="24"/>
                <w:lang w:eastAsia="lt-LT"/>
              </w:rPr>
              <w:t xml:space="preserve">vystymo </w:t>
            </w:r>
            <w:r w:rsidRPr="001954E4">
              <w:rPr>
                <w:color w:val="000000"/>
                <w:szCs w:val="24"/>
                <w:lang w:eastAsia="lt-LT"/>
              </w:rPr>
              <w:t xml:space="preserve">paslaugas, nurodytas Sutartyje ir Techninėje specifikacijoje </w:t>
            </w:r>
            <w:r w:rsidRPr="001954E4">
              <w:rPr>
                <w:i/>
                <w:iCs/>
                <w:color w:val="000000"/>
                <w:szCs w:val="24"/>
                <w:lang w:eastAsia="lt-LT"/>
              </w:rPr>
              <w:t>(Sutarties priedas Nr. 1)</w:t>
            </w:r>
            <w:r w:rsidRPr="001954E4">
              <w:rPr>
                <w:color w:val="000000"/>
                <w:szCs w:val="24"/>
                <w:lang w:eastAsia="lt-LT"/>
              </w:rPr>
              <w:t xml:space="preserve"> Šalių sutartais terminais; 2) vėluoja pataisyti </w:t>
            </w:r>
            <w:r w:rsidR="00A96A9A">
              <w:rPr>
                <w:color w:val="000000"/>
                <w:szCs w:val="24"/>
                <w:lang w:eastAsia="lt-LT"/>
              </w:rPr>
              <w:t xml:space="preserve">vystymo </w:t>
            </w:r>
            <w:r w:rsidRPr="001954E4">
              <w:rPr>
                <w:color w:val="000000"/>
                <w:szCs w:val="24"/>
                <w:lang w:eastAsia="lt-LT"/>
              </w:rPr>
              <w:t>paslaugų teikimo trūkumus per nustatytą protingą terminą (pvz.: Tiekėjas nesilaiko Techninės specifikacijoje nustatytų reikalavimų, Tiekėjui yra surašoma pretenzija ir nustatomas protingas terminas trūkumų pašalinimui ir Tiekėjas per nustatytą protingą terminą nepašalina pastebėtų paslaugų teikimo trūkumų) ir kitos pan. situacijos), Pirkėjas raštu (el. paštu) informuoja apie tai Tiekėją ir nesumažindamas kitų savo teisių gynimo priemonių, numatytų Sutartyje, skaičiuoja 0,02 procentų dydžio delspinigius nuo konkrečios (konkretaus užsakymo) vystymo paslaugų vertės Eur be PVM. Delspinigiai nėra skaičiuojami tuo periodu, kai Pirkėjas yra gavęs galutinius ir / ar tarpinius paslaugų teikimo rezultatus ir tikrina vystymo paslaugų kokybę. Jeigu vystymo paslaugų teikimo trūkumai šalinami pasibaigus vystymo paslaugų teikimo terminui – už trūkumų šalinimo laiką yra skaičiuojami 0,02 procentų dydžio delspinigiai nuo konkrečios (konkretaus užsakymo) vystymo paslaugų vertės, Eur be PVM už kiekvieną uždelstą dieną.</w:t>
            </w:r>
          </w:p>
          <w:p w14:paraId="565BF1F7" w14:textId="0633EFED" w:rsidR="00BD5499" w:rsidRPr="001954E4" w:rsidRDefault="00BD5499" w:rsidP="00CB368A">
            <w:pPr>
              <w:jc w:val="both"/>
              <w:rPr>
                <w:b/>
                <w:bCs/>
                <w:color w:val="000000"/>
                <w:szCs w:val="24"/>
                <w:lang w:eastAsia="lt-LT"/>
              </w:rPr>
            </w:pPr>
            <w:r w:rsidRPr="001954E4">
              <w:rPr>
                <w:b/>
                <w:bCs/>
                <w:color w:val="000000"/>
                <w:szCs w:val="24"/>
                <w:lang w:eastAsia="lt-LT"/>
              </w:rPr>
              <w:t xml:space="preserve">Atsakomybės taisyklės dėl </w:t>
            </w:r>
            <w:r w:rsidR="001954E4" w:rsidRPr="001954E4">
              <w:rPr>
                <w:b/>
                <w:bCs/>
                <w:color w:val="000000"/>
                <w:szCs w:val="24"/>
                <w:lang w:eastAsia="lt-LT"/>
              </w:rPr>
              <w:t>mokymų</w:t>
            </w:r>
            <w:r w:rsidRPr="001954E4">
              <w:rPr>
                <w:b/>
                <w:bCs/>
                <w:color w:val="000000"/>
                <w:szCs w:val="24"/>
                <w:lang w:eastAsia="lt-LT"/>
              </w:rPr>
              <w:t xml:space="preserve"> paslaugų:</w:t>
            </w:r>
          </w:p>
          <w:p w14:paraId="205E66D3" w14:textId="0BA1066C" w:rsidR="00BD5499" w:rsidRPr="00A96A9A" w:rsidRDefault="00BD5499" w:rsidP="00CB368A">
            <w:pPr>
              <w:jc w:val="both"/>
              <w:rPr>
                <w:color w:val="000000"/>
                <w:szCs w:val="24"/>
                <w:lang w:eastAsia="lt-LT"/>
              </w:rPr>
            </w:pPr>
            <w:r w:rsidRPr="001954E4">
              <w:rPr>
                <w:color w:val="000000"/>
                <w:szCs w:val="24"/>
                <w:lang w:eastAsia="lt-LT"/>
              </w:rPr>
              <w:t>9.2.</w:t>
            </w:r>
            <w:r w:rsidR="00A96A9A">
              <w:rPr>
                <w:color w:val="000000"/>
                <w:szCs w:val="24"/>
                <w:lang w:val="en-US" w:eastAsia="lt-LT"/>
              </w:rPr>
              <w:t>6</w:t>
            </w:r>
            <w:r w:rsidRPr="001954E4">
              <w:rPr>
                <w:color w:val="000000"/>
                <w:szCs w:val="24"/>
                <w:lang w:eastAsia="lt-LT"/>
              </w:rPr>
              <w:t xml:space="preserve">. jeigu Tiekėjas </w:t>
            </w:r>
            <w:r w:rsidR="00A96A9A">
              <w:rPr>
                <w:color w:val="000000"/>
                <w:szCs w:val="24"/>
                <w:lang w:eastAsia="lt-LT"/>
              </w:rPr>
              <w:t xml:space="preserve">dėl savo kaltės </w:t>
            </w:r>
            <w:r w:rsidRPr="001954E4">
              <w:rPr>
                <w:color w:val="000000"/>
                <w:szCs w:val="24"/>
                <w:lang w:eastAsia="lt-LT"/>
              </w:rPr>
              <w:t xml:space="preserve">vėluoja suteikti </w:t>
            </w:r>
            <w:r w:rsidR="001954E4" w:rsidRPr="001954E4">
              <w:rPr>
                <w:color w:val="000000"/>
                <w:szCs w:val="24"/>
                <w:lang w:eastAsia="lt-LT"/>
              </w:rPr>
              <w:t>mokymų</w:t>
            </w:r>
            <w:r w:rsidRPr="001954E4">
              <w:rPr>
                <w:color w:val="000000"/>
                <w:szCs w:val="24"/>
                <w:lang w:eastAsia="lt-LT"/>
              </w:rPr>
              <w:t xml:space="preserve"> paslaugas Šalių sutartais terminais</w:t>
            </w:r>
            <w:r w:rsidR="00A96A9A">
              <w:rPr>
                <w:color w:val="000000"/>
                <w:szCs w:val="24"/>
                <w:lang w:eastAsia="lt-LT"/>
              </w:rPr>
              <w:t xml:space="preserve">, Tiekėjas už kiekvieną tokį atvejį taiko </w:t>
            </w:r>
            <w:r w:rsidR="00A96A9A">
              <w:rPr>
                <w:color w:val="000000"/>
                <w:szCs w:val="24"/>
                <w:lang w:val="en-US" w:eastAsia="lt-LT"/>
              </w:rPr>
              <w:t>100</w:t>
            </w:r>
            <w:r w:rsidR="00427057">
              <w:rPr>
                <w:color w:val="000000"/>
                <w:szCs w:val="24"/>
                <w:lang w:val="en-US" w:eastAsia="lt-LT"/>
              </w:rPr>
              <w:t>,00 (</w:t>
            </w:r>
            <w:proofErr w:type="spellStart"/>
            <w:r w:rsidR="00427057">
              <w:rPr>
                <w:color w:val="000000"/>
                <w:szCs w:val="24"/>
                <w:lang w:val="en-US" w:eastAsia="lt-LT"/>
              </w:rPr>
              <w:t>vienas</w:t>
            </w:r>
            <w:proofErr w:type="spellEnd"/>
            <w:r w:rsidR="00427057">
              <w:rPr>
                <w:color w:val="000000"/>
                <w:szCs w:val="24"/>
                <w:lang w:val="en-US" w:eastAsia="lt-LT"/>
              </w:rPr>
              <w:t xml:space="preserve"> </w:t>
            </w:r>
            <w:r w:rsidR="00427057">
              <w:rPr>
                <w:color w:val="000000"/>
                <w:szCs w:val="24"/>
                <w:lang w:eastAsia="lt-LT"/>
              </w:rPr>
              <w:t>šimtas Eur 0 ct)</w:t>
            </w:r>
            <w:r w:rsidR="00A96A9A">
              <w:rPr>
                <w:color w:val="000000"/>
                <w:szCs w:val="24"/>
                <w:lang w:val="en-US" w:eastAsia="lt-LT"/>
              </w:rPr>
              <w:t xml:space="preserve"> </w:t>
            </w:r>
            <w:proofErr w:type="spellStart"/>
            <w:r w:rsidR="00427057">
              <w:rPr>
                <w:color w:val="000000"/>
                <w:szCs w:val="24"/>
                <w:lang w:val="en-US" w:eastAsia="lt-LT"/>
              </w:rPr>
              <w:t>Eur</w:t>
            </w:r>
            <w:proofErr w:type="spellEnd"/>
            <w:r w:rsidR="00A96A9A">
              <w:rPr>
                <w:color w:val="000000"/>
                <w:szCs w:val="24"/>
                <w:lang w:eastAsia="lt-LT"/>
              </w:rPr>
              <w:t xml:space="preserve"> baudą. </w:t>
            </w:r>
          </w:p>
          <w:p w14:paraId="609B7B2D" w14:textId="77777777" w:rsidR="00BD5499" w:rsidRPr="001954E4" w:rsidRDefault="00BD5499" w:rsidP="00CB368A">
            <w:pPr>
              <w:jc w:val="both"/>
              <w:rPr>
                <w:szCs w:val="24"/>
              </w:rPr>
            </w:pPr>
            <w:r w:rsidRPr="001954E4">
              <w:rPr>
                <w:b/>
                <w:bCs/>
                <w:szCs w:val="24"/>
              </w:rPr>
              <w:t>Atsakomybės taisyklės dėl kibernetinio saugumo taisyklių (Pirkėjas yra esminis kibernetinio saugumo subjektas</w:t>
            </w:r>
            <w:r w:rsidRPr="001954E4">
              <w:rPr>
                <w:szCs w:val="24"/>
              </w:rPr>
              <w:t xml:space="preserve">): </w:t>
            </w:r>
          </w:p>
          <w:p w14:paraId="7388FC8B" w14:textId="1F6B40BF" w:rsidR="007C18FF" w:rsidRPr="00B00BCA" w:rsidRDefault="007C18FF" w:rsidP="007C18FF">
            <w:pPr>
              <w:tabs>
                <w:tab w:val="left" w:pos="1134"/>
              </w:tabs>
              <w:suppressAutoHyphens/>
              <w:autoSpaceDN w:val="0"/>
              <w:jc w:val="both"/>
              <w:textAlignment w:val="baseline"/>
              <w:rPr>
                <w:szCs w:val="24"/>
              </w:rPr>
            </w:pPr>
            <w:r w:rsidRPr="00B00BCA">
              <w:rPr>
                <w:szCs w:val="24"/>
              </w:rPr>
              <w:t>9.2.</w:t>
            </w:r>
            <w:r>
              <w:rPr>
                <w:szCs w:val="24"/>
                <w:lang w:val="en-US"/>
              </w:rPr>
              <w:t>7</w:t>
            </w:r>
            <w:r w:rsidRPr="00B00BCA">
              <w:rPr>
                <w:szCs w:val="24"/>
              </w:rPr>
              <w:t xml:space="preserve">. Tiekėjas paslaugų teikimo metu turi užtikrinti, kad jis ir jo pasitelkiami kiti ūkio subjektai (ūkio subjektai, kurių pajėgumais remiamasi kvalifikacijai pagrįsti, subtiekėjai ir kita) paslaugų teikimo metu laikysis standarte LST </w:t>
            </w:r>
            <w:r w:rsidRPr="00B00BCA">
              <w:rPr>
                <w:szCs w:val="24"/>
              </w:rPr>
              <w:lastRenderedPageBreak/>
              <w:t xml:space="preserve">ISO/IEC 27001:2022 „Informacinės technologijos. Saugumo metodai. Informacijos saugumo valdymo sistemos“ nustatytų reikalavimų ir paslaugų teikimo metu Pirkėjui paprašius, per abiejų šalių suderintą terminą, pateiks paaiškinimus ir (ar) kitus įrodymus (pvz.: sertifikatus ir (ar) politikas, ir (ar) procesų aprašus, ir (ar) išorinio audito išvadas), kurie patvirtintų, kad paslaugų teikimo metu užtikrinami informacijos saugumo valdymo procesai: </w:t>
            </w:r>
          </w:p>
          <w:p w14:paraId="694D5023" w14:textId="637AD094" w:rsidR="007C18FF" w:rsidRPr="00B00BCA" w:rsidRDefault="007C18FF" w:rsidP="007C18FF">
            <w:pPr>
              <w:jc w:val="both"/>
              <w:rPr>
                <w:color w:val="000000"/>
                <w:szCs w:val="24"/>
                <w:lang w:eastAsia="lt-LT"/>
              </w:rPr>
            </w:pPr>
            <w:r w:rsidRPr="00B00BCA">
              <w:rPr>
                <w:szCs w:val="24"/>
                <w:lang w:eastAsia="ar-SA"/>
              </w:rPr>
              <w:t>9.2.</w:t>
            </w:r>
            <w:r>
              <w:rPr>
                <w:szCs w:val="24"/>
                <w:lang w:eastAsia="ar-SA"/>
              </w:rPr>
              <w:t>7.1.</w:t>
            </w:r>
            <w:r w:rsidRPr="00B00BCA">
              <w:rPr>
                <w:szCs w:val="24"/>
                <w:lang w:eastAsia="ar-SA"/>
              </w:rPr>
              <w:t xml:space="preserve"> jeigu Tiekėjas dėl savo kaltės vėluoja per abiejų šalių suderintą terminą pateikti </w:t>
            </w:r>
            <w:r w:rsidRPr="00B00BCA">
              <w:rPr>
                <w:szCs w:val="24"/>
              </w:rPr>
              <w:t xml:space="preserve">paaiškinimus ir (ar) kitus įrodymus (pvz.: sertifikatus ir (ar) politikas, ir (ar) procesų aprašus, ir (ar) išorinio audito išvadas), kurie patvirtintų, kad paslaugų teikimo metu užtikrinami informacijos saugumo valdymo procesai, Tiekėjas už kiekvieną </w:t>
            </w:r>
            <w:r w:rsidRPr="00B00BCA">
              <w:rPr>
                <w:color w:val="000000"/>
                <w:szCs w:val="24"/>
                <w:lang w:eastAsia="lt-LT"/>
              </w:rPr>
              <w:t xml:space="preserve">už kiekvieną vėluojamą darbo dieną turi sumokėti </w:t>
            </w:r>
            <w:r w:rsidR="00F8622D">
              <w:rPr>
                <w:color w:val="000000"/>
                <w:szCs w:val="24"/>
                <w:lang w:eastAsia="lt-LT"/>
              </w:rPr>
              <w:t>50</w:t>
            </w:r>
            <w:r w:rsidRPr="00B00BCA">
              <w:rPr>
                <w:color w:val="000000"/>
                <w:szCs w:val="24"/>
                <w:lang w:eastAsia="lt-LT"/>
              </w:rPr>
              <w:t xml:space="preserve"> </w:t>
            </w:r>
            <w:r w:rsidR="00F8622D">
              <w:rPr>
                <w:color w:val="000000"/>
                <w:szCs w:val="24"/>
                <w:lang w:eastAsia="lt-LT"/>
              </w:rPr>
              <w:t xml:space="preserve">(penkiasdešimt) </w:t>
            </w:r>
            <w:r w:rsidRPr="00B00BCA">
              <w:rPr>
                <w:color w:val="000000"/>
                <w:szCs w:val="24"/>
                <w:lang w:eastAsia="lt-LT"/>
              </w:rPr>
              <w:t xml:space="preserve">eurų dydžio baudą. </w:t>
            </w:r>
          </w:p>
          <w:p w14:paraId="5608416E" w14:textId="61010B15" w:rsidR="007C18FF" w:rsidRDefault="007C18FF" w:rsidP="007C18FF">
            <w:pPr>
              <w:jc w:val="both"/>
              <w:rPr>
                <w:rFonts w:eastAsia="Calibri"/>
                <w:szCs w:val="24"/>
              </w:rPr>
            </w:pPr>
            <w:r w:rsidRPr="00B00BCA">
              <w:rPr>
                <w:color w:val="000000"/>
                <w:szCs w:val="24"/>
                <w:lang w:eastAsia="lt-LT"/>
              </w:rPr>
              <w:t>9.2.</w:t>
            </w:r>
            <w:r>
              <w:rPr>
                <w:color w:val="000000"/>
                <w:szCs w:val="24"/>
                <w:lang w:eastAsia="lt-LT"/>
              </w:rPr>
              <w:t xml:space="preserve">7.2. </w:t>
            </w:r>
            <w:r w:rsidRPr="00B00BCA">
              <w:rPr>
                <w:color w:val="000000"/>
                <w:szCs w:val="24"/>
                <w:lang w:eastAsia="lt-LT"/>
              </w:rPr>
              <w:t xml:space="preserve">jeigu Tiekėjas </w:t>
            </w:r>
            <w:r w:rsidRPr="00B00BCA">
              <w:rPr>
                <w:szCs w:val="24"/>
              </w:rPr>
              <w:t xml:space="preserve">paslaugų teikimo metu neužtikrina, kad jis ir jo pasitelkiami kiti ūkio subjektai (ūkio subjektai, kurių pajėgumais remiamasi kvalifikacijai pagrįsti, subtiekėjai ir kita) paslaugų teikimo metu laikosi standarte LST ISO/IEC 27001:2022 „Informacinės technologijos Saugumo metodai. Informacijos saugumo valdymo sistemos“ nustatytų reikalavimų, Tiekėjas už kiekvieną tokį (pažeidimo) atvejį turi sumokėti </w:t>
            </w:r>
            <w:r>
              <w:rPr>
                <w:szCs w:val="24"/>
              </w:rPr>
              <w:t>2 5</w:t>
            </w:r>
            <w:r w:rsidRPr="00B00BCA">
              <w:rPr>
                <w:szCs w:val="24"/>
              </w:rPr>
              <w:t>00,00 (</w:t>
            </w:r>
            <w:r w:rsidR="00F8622D">
              <w:rPr>
                <w:szCs w:val="24"/>
              </w:rPr>
              <w:t xml:space="preserve">du </w:t>
            </w:r>
            <w:r>
              <w:rPr>
                <w:szCs w:val="24"/>
              </w:rPr>
              <w:t>tūkstanči</w:t>
            </w:r>
            <w:r w:rsidR="00F8622D">
              <w:rPr>
                <w:szCs w:val="24"/>
              </w:rPr>
              <w:t>ai</w:t>
            </w:r>
            <w:r>
              <w:rPr>
                <w:szCs w:val="24"/>
              </w:rPr>
              <w:t xml:space="preserve"> penki šimtai</w:t>
            </w:r>
            <w:r w:rsidRPr="00B00BCA">
              <w:rPr>
                <w:szCs w:val="24"/>
              </w:rPr>
              <w:t xml:space="preserve">) eurų baudą bei atlyginti </w:t>
            </w:r>
            <w:r w:rsidRPr="00B00BCA">
              <w:rPr>
                <w:rFonts w:eastAsia="Calibri"/>
                <w:szCs w:val="24"/>
              </w:rPr>
              <w:t>tiesioginius (faktiškai patirtas išlaidas) nuostolius, jeigu jų nepadengia bauda.</w:t>
            </w:r>
          </w:p>
          <w:p w14:paraId="15C2F653" w14:textId="50AE7ECB" w:rsidR="007C18FF" w:rsidRPr="00A54226" w:rsidRDefault="007C18FF" w:rsidP="007C18FF">
            <w:pPr>
              <w:jc w:val="both"/>
              <w:rPr>
                <w:szCs w:val="24"/>
              </w:rPr>
            </w:pPr>
            <w:r>
              <w:rPr>
                <w:szCs w:val="24"/>
              </w:rPr>
              <w:t xml:space="preserve">Pastaba. Vadovaujantis Lietuvos Respublikos kibernetinio saugumo įstatymo </w:t>
            </w:r>
            <w:r>
              <w:rPr>
                <w:szCs w:val="24"/>
                <w:lang w:val="en-US"/>
              </w:rPr>
              <w:t xml:space="preserve">30 </w:t>
            </w:r>
            <w:proofErr w:type="spellStart"/>
            <w:r>
              <w:rPr>
                <w:szCs w:val="24"/>
                <w:lang w:val="en-US"/>
              </w:rPr>
              <w:t>straipsnio</w:t>
            </w:r>
            <w:proofErr w:type="spellEnd"/>
            <w:r>
              <w:rPr>
                <w:szCs w:val="24"/>
                <w:lang w:val="en-US"/>
              </w:rPr>
              <w:t xml:space="preserve"> 2 </w:t>
            </w:r>
            <w:proofErr w:type="spellStart"/>
            <w:r>
              <w:rPr>
                <w:szCs w:val="24"/>
                <w:lang w:val="en-US"/>
              </w:rPr>
              <w:t>dalies</w:t>
            </w:r>
            <w:proofErr w:type="spellEnd"/>
            <w:r>
              <w:rPr>
                <w:szCs w:val="24"/>
                <w:lang w:val="en-US"/>
              </w:rPr>
              <w:t xml:space="preserve"> 3 </w:t>
            </w:r>
            <w:proofErr w:type="spellStart"/>
            <w:r>
              <w:rPr>
                <w:szCs w:val="24"/>
                <w:lang w:val="en-US"/>
              </w:rPr>
              <w:t>punktu</w:t>
            </w:r>
            <w:proofErr w:type="spellEnd"/>
            <w:r>
              <w:rPr>
                <w:szCs w:val="24"/>
                <w:lang w:val="en-US"/>
              </w:rPr>
              <w:t>, Specia</w:t>
            </w:r>
            <w:proofErr w:type="spellStart"/>
            <w:r>
              <w:rPr>
                <w:szCs w:val="24"/>
              </w:rPr>
              <w:t>liųjų</w:t>
            </w:r>
            <w:proofErr w:type="spellEnd"/>
            <w:r>
              <w:rPr>
                <w:szCs w:val="24"/>
              </w:rPr>
              <w:t xml:space="preserve"> sąlygų </w:t>
            </w:r>
            <w:r>
              <w:rPr>
                <w:szCs w:val="24"/>
                <w:lang w:val="en-US"/>
              </w:rPr>
              <w:t xml:space="preserve">9.2.7 </w:t>
            </w:r>
            <w:proofErr w:type="spellStart"/>
            <w:r>
              <w:rPr>
                <w:szCs w:val="24"/>
                <w:lang w:val="en-US"/>
              </w:rPr>
              <w:t>papunk</w:t>
            </w:r>
            <w:r>
              <w:rPr>
                <w:szCs w:val="24"/>
              </w:rPr>
              <w:t>tyje</w:t>
            </w:r>
            <w:proofErr w:type="spellEnd"/>
            <w:r>
              <w:rPr>
                <w:szCs w:val="24"/>
              </w:rPr>
              <w:t xml:space="preserve"> numatyta atsakomybė, įskaitant tiekėjo atlyginamus tiesioginius (faktiškai patirtas išlaidas) nuostolius yra</w:t>
            </w:r>
            <w:r>
              <w:rPr>
                <w:szCs w:val="24"/>
                <w:lang w:val="en-US"/>
              </w:rPr>
              <w:t xml:space="preserve"> </w:t>
            </w:r>
            <w:r w:rsidRPr="00A54226">
              <w:rPr>
                <w:szCs w:val="24"/>
              </w:rPr>
              <w:t>ne didesnė kaip 60</w:t>
            </w:r>
            <w:r w:rsidR="00427057">
              <w:rPr>
                <w:szCs w:val="24"/>
              </w:rPr>
              <w:t> </w:t>
            </w:r>
            <w:r w:rsidRPr="00A54226">
              <w:rPr>
                <w:szCs w:val="24"/>
              </w:rPr>
              <w:t>000</w:t>
            </w:r>
            <w:r w:rsidR="00427057">
              <w:rPr>
                <w:szCs w:val="24"/>
              </w:rPr>
              <w:t>,00</w:t>
            </w:r>
            <w:r w:rsidRPr="00A54226">
              <w:rPr>
                <w:szCs w:val="24"/>
              </w:rPr>
              <w:t xml:space="preserve"> Eur</w:t>
            </w:r>
            <w:r>
              <w:rPr>
                <w:szCs w:val="24"/>
              </w:rPr>
              <w:t xml:space="preserve">. </w:t>
            </w:r>
          </w:p>
          <w:p w14:paraId="73708E10" w14:textId="77777777" w:rsidR="007C18FF" w:rsidRPr="00B00BCA" w:rsidRDefault="007C18FF" w:rsidP="007C18FF">
            <w:pPr>
              <w:jc w:val="both"/>
              <w:rPr>
                <w:color w:val="000000"/>
                <w:szCs w:val="24"/>
                <w:lang w:eastAsia="lt-LT"/>
              </w:rPr>
            </w:pPr>
          </w:p>
          <w:p w14:paraId="4006F9B1" w14:textId="235C2CF8" w:rsidR="007C18FF" w:rsidRDefault="007C18FF" w:rsidP="007C18FF">
            <w:pPr>
              <w:jc w:val="both"/>
              <w:rPr>
                <w:rFonts w:eastAsia="Calibri"/>
                <w:szCs w:val="24"/>
              </w:rPr>
            </w:pPr>
            <w:r w:rsidRPr="00B00BCA">
              <w:rPr>
                <w:szCs w:val="24"/>
                <w:lang w:eastAsia="ar-SA"/>
              </w:rPr>
              <w:t>9.2.</w:t>
            </w:r>
            <w:r w:rsidR="00F8622D">
              <w:rPr>
                <w:szCs w:val="24"/>
                <w:lang w:eastAsia="ar-SA"/>
              </w:rPr>
              <w:t>8</w:t>
            </w:r>
            <w:r w:rsidRPr="00B00BCA">
              <w:rPr>
                <w:szCs w:val="24"/>
                <w:lang w:eastAsia="ar-SA"/>
              </w:rPr>
              <w:t>. Jeigu Tiekėjas paslaugų teikimo metu neužtikrina Techninės specifikacijos  skyriuje ,,Tiekėjo atitiktis kibernetinio saugumo reikalavimams“</w:t>
            </w:r>
            <w:r w:rsidR="001A7F8D">
              <w:rPr>
                <w:szCs w:val="24"/>
                <w:lang w:eastAsia="ar-SA"/>
              </w:rPr>
              <w:t xml:space="preserve"> </w:t>
            </w:r>
            <w:r w:rsidR="00F8622D">
              <w:rPr>
                <w:szCs w:val="24"/>
                <w:lang w:eastAsia="ar-SA"/>
              </w:rPr>
              <w:t xml:space="preserve">(išskyrus Sutarties specialiųjų sąlygų </w:t>
            </w:r>
            <w:r w:rsidR="001A7F8D">
              <w:rPr>
                <w:szCs w:val="24"/>
                <w:lang w:eastAsia="ar-SA"/>
              </w:rPr>
              <w:t>9.</w:t>
            </w:r>
            <w:r w:rsidR="001A7F8D">
              <w:rPr>
                <w:szCs w:val="24"/>
                <w:lang w:val="en-US" w:eastAsia="ar-SA"/>
              </w:rPr>
              <w:t xml:space="preserve">2.7 </w:t>
            </w:r>
            <w:proofErr w:type="spellStart"/>
            <w:r w:rsidR="001A7F8D">
              <w:rPr>
                <w:szCs w:val="24"/>
                <w:lang w:val="en-US" w:eastAsia="ar-SA"/>
              </w:rPr>
              <w:t>papunkt</w:t>
            </w:r>
            <w:proofErr w:type="spellEnd"/>
            <w:r w:rsidR="001A7F8D">
              <w:rPr>
                <w:szCs w:val="24"/>
                <w:lang w:eastAsia="ar-SA"/>
              </w:rPr>
              <w:t xml:space="preserve">į) </w:t>
            </w:r>
            <w:r w:rsidRPr="00B00BCA">
              <w:rPr>
                <w:szCs w:val="24"/>
                <w:lang w:eastAsia="ar-SA"/>
              </w:rPr>
              <w:t xml:space="preserve">ir </w:t>
            </w:r>
            <w:r w:rsidR="00F8622D">
              <w:rPr>
                <w:szCs w:val="24"/>
                <w:lang w:eastAsia="ar-SA"/>
              </w:rPr>
              <w:t>VII</w:t>
            </w:r>
            <w:r w:rsidRPr="00B00BCA">
              <w:rPr>
                <w:szCs w:val="24"/>
                <w:lang w:eastAsia="ar-SA"/>
              </w:rPr>
              <w:t xml:space="preserve"> skyriuje ,,Tiekėjo prieigų valdymo, įskaitant prieigų laikotarpio ribojimo užtikrinimas“ nustatytų pareigų laikymosi, Tiekėjas už </w:t>
            </w:r>
            <w:r w:rsidRPr="00B00BCA">
              <w:rPr>
                <w:szCs w:val="24"/>
              </w:rPr>
              <w:t>kiekvieną tokį (pažeidimo) atvejį turi sumokėti 5</w:t>
            </w:r>
            <w:r>
              <w:rPr>
                <w:szCs w:val="24"/>
              </w:rPr>
              <w:t xml:space="preserve"> </w:t>
            </w:r>
            <w:r w:rsidRPr="00B00BCA">
              <w:rPr>
                <w:szCs w:val="24"/>
              </w:rPr>
              <w:t>000,00 (penkių tūkstančių</w:t>
            </w:r>
            <w:r w:rsidR="00427057">
              <w:rPr>
                <w:szCs w:val="24"/>
              </w:rPr>
              <w:t xml:space="preserve"> Eur 0 ct</w:t>
            </w:r>
            <w:r w:rsidRPr="00B00BCA">
              <w:rPr>
                <w:szCs w:val="24"/>
              </w:rPr>
              <w:t xml:space="preserve">) eurų baudą bei atlyginti </w:t>
            </w:r>
            <w:r w:rsidRPr="00B00BCA">
              <w:rPr>
                <w:rFonts w:eastAsia="Calibri"/>
                <w:szCs w:val="24"/>
              </w:rPr>
              <w:t>tiesioginius (faktiškai patirtas išlaidas) nuostolius, jeigu jų nepadengia bauda.</w:t>
            </w:r>
          </w:p>
          <w:p w14:paraId="66A5DB22" w14:textId="5B16FB27" w:rsidR="007C18FF" w:rsidRPr="00A54226" w:rsidRDefault="007C18FF" w:rsidP="007C18FF">
            <w:pPr>
              <w:jc w:val="both"/>
              <w:rPr>
                <w:szCs w:val="24"/>
              </w:rPr>
            </w:pPr>
            <w:r>
              <w:rPr>
                <w:szCs w:val="24"/>
              </w:rPr>
              <w:t xml:space="preserve">Pastaba. Vadovaujantis Lietuvos Respublikos kibernetinio saugumo įstatymo </w:t>
            </w:r>
            <w:r>
              <w:rPr>
                <w:szCs w:val="24"/>
                <w:lang w:val="en-US"/>
              </w:rPr>
              <w:t xml:space="preserve">30 </w:t>
            </w:r>
            <w:proofErr w:type="spellStart"/>
            <w:r>
              <w:rPr>
                <w:szCs w:val="24"/>
                <w:lang w:val="en-US"/>
              </w:rPr>
              <w:t>straipsnio</w:t>
            </w:r>
            <w:proofErr w:type="spellEnd"/>
            <w:r>
              <w:rPr>
                <w:szCs w:val="24"/>
                <w:lang w:val="en-US"/>
              </w:rPr>
              <w:t xml:space="preserve"> 2 </w:t>
            </w:r>
            <w:proofErr w:type="spellStart"/>
            <w:r>
              <w:rPr>
                <w:szCs w:val="24"/>
                <w:lang w:val="en-US"/>
              </w:rPr>
              <w:t>dalies</w:t>
            </w:r>
            <w:proofErr w:type="spellEnd"/>
            <w:r>
              <w:rPr>
                <w:szCs w:val="24"/>
                <w:lang w:val="en-US"/>
              </w:rPr>
              <w:t xml:space="preserve"> 3 </w:t>
            </w:r>
            <w:proofErr w:type="spellStart"/>
            <w:r>
              <w:rPr>
                <w:szCs w:val="24"/>
                <w:lang w:val="en-US"/>
              </w:rPr>
              <w:t>punktu</w:t>
            </w:r>
            <w:proofErr w:type="spellEnd"/>
            <w:r>
              <w:rPr>
                <w:szCs w:val="24"/>
                <w:lang w:val="en-US"/>
              </w:rPr>
              <w:t>, Specia</w:t>
            </w:r>
            <w:proofErr w:type="spellStart"/>
            <w:r>
              <w:rPr>
                <w:szCs w:val="24"/>
              </w:rPr>
              <w:t>liųjų</w:t>
            </w:r>
            <w:proofErr w:type="spellEnd"/>
            <w:r>
              <w:rPr>
                <w:szCs w:val="24"/>
              </w:rPr>
              <w:t xml:space="preserve"> sąlygų </w:t>
            </w:r>
            <w:r>
              <w:rPr>
                <w:szCs w:val="24"/>
                <w:lang w:val="en-US"/>
              </w:rPr>
              <w:t>9.2.</w:t>
            </w:r>
            <w:r w:rsidR="00F8622D">
              <w:rPr>
                <w:szCs w:val="24"/>
                <w:lang w:val="en-US"/>
              </w:rPr>
              <w:t>8</w:t>
            </w:r>
            <w:r>
              <w:rPr>
                <w:szCs w:val="24"/>
                <w:lang w:val="en-US"/>
              </w:rPr>
              <w:t xml:space="preserve"> </w:t>
            </w:r>
            <w:proofErr w:type="spellStart"/>
            <w:r>
              <w:rPr>
                <w:szCs w:val="24"/>
                <w:lang w:val="en-US"/>
              </w:rPr>
              <w:t>papunk</w:t>
            </w:r>
            <w:r>
              <w:rPr>
                <w:szCs w:val="24"/>
              </w:rPr>
              <w:t>tyje</w:t>
            </w:r>
            <w:proofErr w:type="spellEnd"/>
            <w:r>
              <w:rPr>
                <w:szCs w:val="24"/>
              </w:rPr>
              <w:t xml:space="preserve"> numatyta atsakomybė, įskaitant tiekėjo atlyginamus tiesioginius (faktiškai patirtas išlaidas) nuostolius yra</w:t>
            </w:r>
            <w:r>
              <w:rPr>
                <w:szCs w:val="24"/>
                <w:lang w:val="en-US"/>
              </w:rPr>
              <w:t xml:space="preserve"> </w:t>
            </w:r>
            <w:r w:rsidRPr="00A54226">
              <w:rPr>
                <w:szCs w:val="24"/>
              </w:rPr>
              <w:t>ne didesnė kaip 60</w:t>
            </w:r>
            <w:r w:rsidR="00427057">
              <w:rPr>
                <w:szCs w:val="24"/>
              </w:rPr>
              <w:t> </w:t>
            </w:r>
            <w:r w:rsidRPr="00A54226">
              <w:rPr>
                <w:szCs w:val="24"/>
              </w:rPr>
              <w:t>000</w:t>
            </w:r>
            <w:r w:rsidR="00427057">
              <w:rPr>
                <w:szCs w:val="24"/>
              </w:rPr>
              <w:t>,00</w:t>
            </w:r>
            <w:r w:rsidRPr="00A54226">
              <w:rPr>
                <w:szCs w:val="24"/>
              </w:rPr>
              <w:t xml:space="preserve"> Eur</w:t>
            </w:r>
            <w:r>
              <w:rPr>
                <w:szCs w:val="24"/>
              </w:rPr>
              <w:t xml:space="preserve">. </w:t>
            </w:r>
          </w:p>
          <w:p w14:paraId="0C419165" w14:textId="77777777" w:rsidR="007C18FF" w:rsidRPr="00C45F67" w:rsidRDefault="007C18FF" w:rsidP="007C18FF">
            <w:pPr>
              <w:jc w:val="both"/>
              <w:rPr>
                <w:szCs w:val="24"/>
                <w:highlight w:val="yellow"/>
                <w:lang w:eastAsia="lt-LT"/>
              </w:rPr>
            </w:pPr>
          </w:p>
          <w:p w14:paraId="4A739586" w14:textId="3EF6196E" w:rsidR="007C18FF" w:rsidRPr="00C45F67" w:rsidRDefault="007C18FF" w:rsidP="007C18FF">
            <w:pPr>
              <w:jc w:val="both"/>
              <w:rPr>
                <w:szCs w:val="24"/>
                <w:lang w:eastAsia="lt-LT"/>
              </w:rPr>
            </w:pPr>
            <w:r w:rsidRPr="00C45F67">
              <w:rPr>
                <w:color w:val="000000"/>
                <w:szCs w:val="24"/>
                <w:lang w:eastAsia="lt-LT"/>
              </w:rPr>
              <w:t>9.2.</w:t>
            </w:r>
            <w:r w:rsidR="00F8622D">
              <w:rPr>
                <w:color w:val="000000"/>
                <w:szCs w:val="24"/>
                <w:lang w:eastAsia="lt-LT"/>
              </w:rPr>
              <w:t>9</w:t>
            </w:r>
            <w:r w:rsidRPr="00C45F67">
              <w:rPr>
                <w:color w:val="000000"/>
                <w:szCs w:val="24"/>
                <w:lang w:eastAsia="lt-LT"/>
              </w:rPr>
              <w:t xml:space="preserve">. Jeigu Tiekėjas </w:t>
            </w:r>
            <w:r w:rsidRPr="00C45F67">
              <w:rPr>
                <w:szCs w:val="24"/>
                <w:lang w:eastAsia="lt-LT"/>
              </w:rPr>
              <w:t>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36BA2A7" w:rsidR="00BD5499" w:rsidRPr="001954E4" w:rsidRDefault="007C18FF" w:rsidP="007C18FF">
            <w:pPr>
              <w:jc w:val="both"/>
              <w:rPr>
                <w:b/>
                <w:kern w:val="2"/>
                <w:szCs w:val="24"/>
              </w:rPr>
            </w:pPr>
            <w:r w:rsidRPr="00C45F67">
              <w:rPr>
                <w:szCs w:val="24"/>
                <w:lang w:eastAsia="lt-LT"/>
              </w:rPr>
              <w:t>9.2.</w:t>
            </w:r>
            <w:r w:rsidR="00F8622D">
              <w:rPr>
                <w:szCs w:val="24"/>
                <w:lang w:val="en-US" w:eastAsia="lt-LT"/>
              </w:rPr>
              <w:t>10</w:t>
            </w:r>
            <w:r w:rsidRPr="00C45F67">
              <w:rPr>
                <w:szCs w:val="24"/>
                <w:lang w:eastAsia="lt-LT"/>
              </w:rPr>
              <w:t>. Tiekėjas privalo sumokėti Pirkėjui netesybas per 10 dienų nuo Pirkėjo pareikalavimo, jeigu netesybų suma nėra išskaitoma iš Tiekėjui mokėtinos sumos.</w:t>
            </w:r>
          </w:p>
        </w:tc>
      </w:tr>
      <w:tr w:rsidR="00BD5499" w14:paraId="681F27EE" w14:textId="77777777" w:rsidTr="009C1B70">
        <w:trPr>
          <w:trHeight w:val="300"/>
        </w:trPr>
        <w:tc>
          <w:tcPr>
            <w:tcW w:w="2335" w:type="dxa"/>
            <w:gridSpan w:val="2"/>
          </w:tcPr>
          <w:p w14:paraId="1AB519AC" w14:textId="7CBD3645" w:rsidR="00BD5499" w:rsidRDefault="00BD5499" w:rsidP="00BD5499">
            <w:pPr>
              <w:rPr>
                <w:b/>
                <w:kern w:val="2"/>
                <w:szCs w:val="24"/>
              </w:rPr>
            </w:pPr>
            <w:r>
              <w:rPr>
                <w:b/>
                <w:kern w:val="2"/>
                <w:szCs w:val="24"/>
              </w:rPr>
              <w:lastRenderedPageBreak/>
              <w:t xml:space="preserve">9.3. Tiekėjui / Pirkėjui taikoma bauda nutraukus Sutartį dėl esminio </w:t>
            </w:r>
            <w:r>
              <w:rPr>
                <w:b/>
                <w:kern w:val="2"/>
                <w:szCs w:val="24"/>
              </w:rPr>
              <w:lastRenderedPageBreak/>
              <w:t>Sutarties pažeidimo ar nepagrįstai nutraukus Sutarties vykdymą ne Sutartyje nustatyta tvarka</w:t>
            </w:r>
          </w:p>
        </w:tc>
        <w:tc>
          <w:tcPr>
            <w:tcW w:w="7920" w:type="dxa"/>
            <w:gridSpan w:val="2"/>
          </w:tcPr>
          <w:p w14:paraId="51AE015C" w14:textId="77777777" w:rsidR="00BD5499" w:rsidRPr="00657400" w:rsidRDefault="00BD5499" w:rsidP="00BD5499">
            <w:pPr>
              <w:jc w:val="both"/>
              <w:rPr>
                <w:color w:val="000000"/>
                <w:szCs w:val="24"/>
                <w:lang w:eastAsia="lt-LT"/>
              </w:rPr>
            </w:pPr>
            <w:r w:rsidRPr="00657400">
              <w:rPr>
                <w:color w:val="000000"/>
                <w:szCs w:val="24"/>
                <w:lang w:eastAsia="lt-LT"/>
              </w:rPr>
              <w:lastRenderedPageBreak/>
              <w:t xml:space="preserve">9.3.1. Nutraukus Sutartį dėl esminio Sutarties pažeidimo, nustatyto Sutarties Specialiosiose sąlygose, </w:t>
            </w:r>
            <w:r>
              <w:rPr>
                <w:color w:val="000000"/>
                <w:szCs w:val="24"/>
                <w:lang w:eastAsia="lt-LT"/>
              </w:rPr>
              <w:t xml:space="preserve">taikoma </w:t>
            </w:r>
            <w:r w:rsidRPr="00657400">
              <w:rPr>
                <w:color w:val="000000"/>
                <w:szCs w:val="24"/>
                <w:lang w:eastAsia="lt-LT"/>
              </w:rPr>
              <w:t xml:space="preserve">10 procentų dydžio bauda nuo Pradinės Sutarties vertės, nurodytos Specialiųjų sąlygų 5.2 punkte. Taip pat turi būti </w:t>
            </w:r>
            <w:r w:rsidRPr="00657400">
              <w:rPr>
                <w:rFonts w:eastAsia="Calibri"/>
                <w:szCs w:val="24"/>
              </w:rPr>
              <w:lastRenderedPageBreak/>
              <w:t>atlyginami tiesioginiai (faktiškai patirtos išlaidos) nuostoliai, jeigu jų nepadengia bauda.</w:t>
            </w:r>
          </w:p>
          <w:p w14:paraId="1B77056F" w14:textId="77777777" w:rsidR="00BD5499" w:rsidRPr="00657400" w:rsidRDefault="00BD5499" w:rsidP="00BD5499">
            <w:pPr>
              <w:jc w:val="both"/>
              <w:rPr>
                <w:color w:val="000000"/>
                <w:szCs w:val="24"/>
                <w:lang w:eastAsia="lt-LT"/>
              </w:rPr>
            </w:pPr>
            <w:r w:rsidRPr="00657400">
              <w:rPr>
                <w:color w:val="000000"/>
                <w:szCs w:val="24"/>
                <w:lang w:eastAsia="lt-LT"/>
              </w:rPr>
              <w:t xml:space="preserve">9.3.2. Nepagrįstai nutraukus Sutarties vykdymą ne Sutartyje nustatyta tvarka, </w:t>
            </w:r>
            <w:r w:rsidRPr="00657400">
              <w:rPr>
                <w:szCs w:val="24"/>
                <w:lang w:eastAsia="lt-LT"/>
              </w:rPr>
              <w:t xml:space="preserve">mokama 5 procentų </w:t>
            </w:r>
            <w:r w:rsidRPr="00657400">
              <w:rPr>
                <w:color w:val="000000"/>
                <w:szCs w:val="24"/>
                <w:lang w:eastAsia="lt-LT"/>
              </w:rPr>
              <w:t>dydžio bauda nuo Pradinės Sutarties vertės, nurodytos Specialiųjų sąlygų 5.2 punkte.</w:t>
            </w:r>
          </w:p>
          <w:p w14:paraId="40183317" w14:textId="77777777" w:rsidR="00BD5499" w:rsidRPr="00657400" w:rsidRDefault="00BD5499" w:rsidP="00BD5499">
            <w:pPr>
              <w:jc w:val="both"/>
              <w:rPr>
                <w:color w:val="000000"/>
                <w:szCs w:val="24"/>
                <w:lang w:eastAsia="lt-LT"/>
              </w:rPr>
            </w:pPr>
            <w:r w:rsidRPr="00657400">
              <w:rPr>
                <w:color w:val="000000"/>
                <w:szCs w:val="24"/>
                <w:lang w:eastAsia="lt-LT"/>
              </w:rPr>
              <w:t>9.3.3. Kitos papildomos taisyklės:</w:t>
            </w:r>
          </w:p>
          <w:p w14:paraId="7B6CC2EF" w14:textId="77777777" w:rsidR="00BD5499" w:rsidRPr="00657400" w:rsidRDefault="00BD5499" w:rsidP="00BD5499">
            <w:pPr>
              <w:pStyle w:val="pf0"/>
              <w:tabs>
                <w:tab w:val="left" w:pos="1134"/>
                <w:tab w:val="left" w:pos="1701"/>
                <w:tab w:val="left" w:pos="1843"/>
              </w:tabs>
              <w:spacing w:before="0" w:beforeAutospacing="0" w:after="0" w:afterAutospacing="0"/>
              <w:jc w:val="both"/>
              <w:rPr>
                <w:rStyle w:val="cf01"/>
                <w:rFonts w:ascii="Times New Roman" w:eastAsia="SimSun" w:hAnsi="Times New Roman" w:cs="Times New Roman"/>
                <w:sz w:val="24"/>
              </w:rPr>
            </w:pPr>
            <w:r w:rsidRPr="00657400">
              <w:rPr>
                <w:rStyle w:val="cf01"/>
                <w:rFonts w:ascii="Times New Roman" w:eastAsia="SimSun" w:hAnsi="Times New Roman" w:cs="Times New Roman"/>
                <w:sz w:val="24"/>
              </w:rPr>
              <w:t xml:space="preserve">9.3.3.1.Taikant </w:t>
            </w:r>
            <w:proofErr w:type="spellStart"/>
            <w:r w:rsidRPr="00657400">
              <w:rPr>
                <w:rStyle w:val="cf01"/>
                <w:rFonts w:ascii="Times New Roman" w:eastAsia="SimSun" w:hAnsi="Times New Roman" w:cs="Times New Roman"/>
                <w:sz w:val="24"/>
              </w:rPr>
              <w:t>non</w:t>
            </w:r>
            <w:proofErr w:type="spellEnd"/>
            <w:r w:rsidRPr="00657400">
              <w:rPr>
                <w:rStyle w:val="cf01"/>
                <w:rFonts w:ascii="Times New Roman" w:eastAsia="SimSun" w:hAnsi="Times New Roman" w:cs="Times New Roman"/>
                <w:sz w:val="24"/>
              </w:rPr>
              <w:t xml:space="preserve"> bis </w:t>
            </w:r>
            <w:proofErr w:type="spellStart"/>
            <w:r w:rsidRPr="00657400">
              <w:rPr>
                <w:rStyle w:val="cf01"/>
                <w:rFonts w:ascii="Times New Roman" w:eastAsia="SimSun" w:hAnsi="Times New Roman" w:cs="Times New Roman"/>
                <w:sz w:val="24"/>
              </w:rPr>
              <w:t>in</w:t>
            </w:r>
            <w:proofErr w:type="spellEnd"/>
            <w:r w:rsidRPr="00657400">
              <w:rPr>
                <w:rStyle w:val="cf01"/>
                <w:rFonts w:ascii="Times New Roman" w:eastAsia="SimSun" w:hAnsi="Times New Roman" w:cs="Times New Roman"/>
                <w:sz w:val="24"/>
              </w:rPr>
              <w:t xml:space="preserve"> </w:t>
            </w:r>
            <w:proofErr w:type="spellStart"/>
            <w:r w:rsidRPr="00657400">
              <w:rPr>
                <w:rStyle w:val="cf01"/>
                <w:rFonts w:ascii="Times New Roman" w:eastAsia="SimSun" w:hAnsi="Times New Roman" w:cs="Times New Roman"/>
                <w:sz w:val="24"/>
              </w:rPr>
              <w:t>idem</w:t>
            </w:r>
            <w:proofErr w:type="spellEnd"/>
            <w:r w:rsidRPr="00657400">
              <w:rPr>
                <w:rStyle w:val="cf01"/>
                <w:rFonts w:ascii="Times New Roman" w:eastAsia="SimSun" w:hAnsi="Times New Roman" w:cs="Times New Roman"/>
                <w:sz w:val="24"/>
              </w:rPr>
              <w:t xml:space="preserve"> principą (draudžiama bausti du kartu už tą patį), jeigu Tiekėjui už tą patį Sutarties pažeidimą galėtų būti pritaikytos dvi Sutartyje nustatytos atsakomybės taisyklės, taikoma ta taisyklė, kuri numato griežtesnį atsakomybės dydį (baudos dydį ir pan.).</w:t>
            </w:r>
          </w:p>
          <w:p w14:paraId="7CBFE0C7" w14:textId="167F32E7" w:rsidR="00BD5499" w:rsidRDefault="00BD5499" w:rsidP="00BD5499">
            <w:pPr>
              <w:rPr>
                <w:kern w:val="2"/>
                <w:szCs w:val="24"/>
              </w:rPr>
            </w:pPr>
            <w:r w:rsidRPr="00657400">
              <w:rPr>
                <w:rStyle w:val="normaltextrun"/>
                <w:szCs w:val="24"/>
              </w:rPr>
              <w:t xml:space="preserve">9.3.3.2. Maksimali Šalių atsakomybės riba turi neviršyti Sutarties vertės be PVM, tačiau </w:t>
            </w:r>
            <w:r w:rsidRPr="00657400">
              <w:rPr>
                <w:szCs w:val="24"/>
              </w:rPr>
              <w:t>laikantis Lietuvos Respublikos civilinio kodekso 6.252 str. nustatytų sąlygų atsakomybės ribojimas netaikomas tais atvejais, kai žala padaryta tyčia ar dėl didelio neatsargumo.</w:t>
            </w:r>
          </w:p>
        </w:tc>
      </w:tr>
      <w:tr w:rsidR="00BD5499" w14:paraId="3A1BC4FA" w14:textId="77777777" w:rsidTr="009C1B70">
        <w:trPr>
          <w:trHeight w:val="300"/>
        </w:trPr>
        <w:tc>
          <w:tcPr>
            <w:tcW w:w="2335" w:type="dxa"/>
            <w:gridSpan w:val="2"/>
          </w:tcPr>
          <w:p w14:paraId="0E4BB632" w14:textId="0AF19C99" w:rsidR="00BD5499" w:rsidRDefault="00BD5499" w:rsidP="00BD54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7920" w:type="dxa"/>
            <w:gridSpan w:val="2"/>
          </w:tcPr>
          <w:p w14:paraId="541F65B9" w14:textId="5B40A2D6" w:rsidR="00BD5499" w:rsidRPr="00657400" w:rsidRDefault="00BD5499" w:rsidP="00BD5499">
            <w:pPr>
              <w:jc w:val="both"/>
              <w:rPr>
                <w:color w:val="000000"/>
                <w:szCs w:val="24"/>
                <w:lang w:eastAsia="lt-LT"/>
              </w:rPr>
            </w:pPr>
            <w:r w:rsidRPr="00657400">
              <w:rPr>
                <w:bCs/>
                <w:kern w:val="2"/>
                <w:szCs w:val="24"/>
              </w:rPr>
              <w:t>Tiekėjui pažeidus Bendrosiose sąlygose nurodytą subtiekėjų ir (ar) specialistų keitimo tvarką (nesilaikant jos) už kiekvieną pažeidimo atvejį taikoma 5</w:t>
            </w:r>
            <w:r w:rsidRPr="00657400">
              <w:rPr>
                <w:color w:val="000000"/>
                <w:szCs w:val="24"/>
                <w:lang w:eastAsia="lt-LT"/>
              </w:rPr>
              <w:t xml:space="preserve"> procentų dydžio bauda nuo Pradinės Sutarties vertės, nurodytos Specialiųjų sąlygų 5.2 punkte. </w:t>
            </w:r>
          </w:p>
          <w:p w14:paraId="6C28E1C0" w14:textId="77777777" w:rsidR="00BD5499" w:rsidRDefault="00BD5499" w:rsidP="00BD5499">
            <w:pPr>
              <w:rPr>
                <w:bCs/>
                <w:kern w:val="2"/>
                <w:szCs w:val="24"/>
              </w:rPr>
            </w:pPr>
          </w:p>
          <w:p w14:paraId="663FD6AE" w14:textId="2747F427" w:rsidR="00BD5499" w:rsidRDefault="00BD5499" w:rsidP="00BD5499">
            <w:pPr>
              <w:rPr>
                <w:kern w:val="2"/>
                <w:szCs w:val="24"/>
              </w:rPr>
            </w:pPr>
          </w:p>
        </w:tc>
      </w:tr>
      <w:tr w:rsidR="00BD5499" w14:paraId="02A0AD2F" w14:textId="77777777" w:rsidTr="009C1B70">
        <w:trPr>
          <w:trHeight w:val="300"/>
        </w:trPr>
        <w:tc>
          <w:tcPr>
            <w:tcW w:w="2335" w:type="dxa"/>
            <w:gridSpan w:val="2"/>
          </w:tcPr>
          <w:p w14:paraId="566076A6" w14:textId="1092562B" w:rsidR="00BD5499" w:rsidRDefault="00BD5499" w:rsidP="00BD5499">
            <w:pPr>
              <w:rPr>
                <w:b/>
                <w:kern w:val="2"/>
                <w:szCs w:val="24"/>
              </w:rPr>
            </w:pPr>
            <w:r>
              <w:rPr>
                <w:b/>
                <w:kern w:val="2"/>
                <w:szCs w:val="24"/>
              </w:rPr>
              <w:t>9.5. Tiekėjui taikomos baudos dėl aplinkosauginių ir (arba) socialinių kriterijų nesilaikymo</w:t>
            </w:r>
          </w:p>
        </w:tc>
        <w:tc>
          <w:tcPr>
            <w:tcW w:w="7920" w:type="dxa"/>
            <w:gridSpan w:val="2"/>
          </w:tcPr>
          <w:p w14:paraId="016A6ACA" w14:textId="77777777" w:rsidR="00BD5499" w:rsidRDefault="00BD5499" w:rsidP="00BD5499">
            <w:pPr>
              <w:rPr>
                <w:bCs/>
                <w:color w:val="000000"/>
                <w:kern w:val="2"/>
                <w:szCs w:val="24"/>
              </w:rPr>
            </w:pPr>
            <w:r>
              <w:rPr>
                <w:bCs/>
                <w:color w:val="000000"/>
                <w:kern w:val="2"/>
                <w:szCs w:val="24"/>
              </w:rPr>
              <w:t>Netaikoma</w:t>
            </w:r>
          </w:p>
          <w:p w14:paraId="6A8F7802" w14:textId="77777777" w:rsidR="00BD5499" w:rsidRDefault="00BD5499" w:rsidP="00BD5499">
            <w:pPr>
              <w:rPr>
                <w:bCs/>
                <w:kern w:val="2"/>
                <w:szCs w:val="24"/>
              </w:rPr>
            </w:pPr>
          </w:p>
          <w:p w14:paraId="748DE540" w14:textId="78642374" w:rsidR="00BD5499" w:rsidRDefault="00BD5499" w:rsidP="00BD5499">
            <w:pPr>
              <w:rPr>
                <w:color w:val="4472C4"/>
                <w:kern w:val="2"/>
                <w:szCs w:val="24"/>
              </w:rPr>
            </w:pPr>
          </w:p>
        </w:tc>
      </w:tr>
      <w:tr w:rsidR="00BD5499" w14:paraId="7439E02A" w14:textId="77777777" w:rsidTr="009C1B70">
        <w:trPr>
          <w:trHeight w:val="300"/>
        </w:trPr>
        <w:tc>
          <w:tcPr>
            <w:tcW w:w="2335" w:type="dxa"/>
            <w:gridSpan w:val="2"/>
          </w:tcPr>
          <w:p w14:paraId="69208AF6" w14:textId="7EE0BDAD" w:rsidR="00BD5499" w:rsidRDefault="00BD5499" w:rsidP="00BD5499">
            <w:pPr>
              <w:rPr>
                <w:b/>
                <w:kern w:val="2"/>
                <w:szCs w:val="24"/>
              </w:rPr>
            </w:pPr>
            <w:r>
              <w:rPr>
                <w:b/>
                <w:kern w:val="2"/>
                <w:szCs w:val="24"/>
              </w:rPr>
              <w:t>9.6. Tiekėjui / Pirkėjui taikoma bauda dėl konfidencialumo reikalavimų nesilaikymo</w:t>
            </w:r>
          </w:p>
        </w:tc>
        <w:tc>
          <w:tcPr>
            <w:tcW w:w="7920" w:type="dxa"/>
            <w:gridSpan w:val="2"/>
          </w:tcPr>
          <w:p w14:paraId="30A99159" w14:textId="2728F8E7" w:rsidR="00BD5499" w:rsidRDefault="00BD5499" w:rsidP="00280D59">
            <w:pPr>
              <w:jc w:val="both"/>
              <w:rPr>
                <w:color w:val="4472C4"/>
                <w:kern w:val="2"/>
                <w:szCs w:val="24"/>
              </w:rPr>
            </w:pPr>
            <w:r w:rsidRPr="00657400">
              <w:rPr>
                <w:bCs/>
                <w:kern w:val="2"/>
                <w:szCs w:val="24"/>
              </w:rPr>
              <w:t>Tiekėjui / Pirkėjui pažeidus Bendrosiose sąlygose ir Techninėje specifikacijoje nurodytas konfidencialumo reikalavimų taisykles už kiekvieną pažeidimo atvejį taikoma 5</w:t>
            </w:r>
            <w:r w:rsidRPr="00657400">
              <w:rPr>
                <w:color w:val="000000"/>
                <w:szCs w:val="24"/>
                <w:lang w:eastAsia="lt-LT"/>
              </w:rPr>
              <w:t> procentų dydžio bauda nuo Pradinės Sutarties vertės, nurodytos Specialiųjų sąlygų 5.2 punkte bei turi būti</w:t>
            </w:r>
            <w:r w:rsidRPr="00657400">
              <w:rPr>
                <w:rFonts w:eastAsia="Calibri"/>
                <w:szCs w:val="24"/>
              </w:rPr>
              <w:t xml:space="preserve"> atlyginami patirti tiesioginiai (faktiškai patirtos išlaidos) nuostoliai kurių nepadengia bauda.</w:t>
            </w:r>
          </w:p>
        </w:tc>
      </w:tr>
      <w:tr w:rsidR="00BD5499" w14:paraId="1E6BA83A" w14:textId="77777777" w:rsidTr="009C1B70">
        <w:trPr>
          <w:trHeight w:val="300"/>
        </w:trPr>
        <w:tc>
          <w:tcPr>
            <w:tcW w:w="2335" w:type="dxa"/>
            <w:gridSpan w:val="2"/>
          </w:tcPr>
          <w:p w14:paraId="6B59AD7B" w14:textId="3DB423A4" w:rsidR="00BD5499" w:rsidRDefault="00BD5499" w:rsidP="00BD54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7920" w:type="dxa"/>
            <w:gridSpan w:val="2"/>
          </w:tcPr>
          <w:p w14:paraId="5FE65770" w14:textId="710A71B5" w:rsidR="00BD5499" w:rsidRDefault="00BD5499" w:rsidP="00BD5499">
            <w:pPr>
              <w:rPr>
                <w:bCs/>
                <w:color w:val="FF0000"/>
                <w:kern w:val="2"/>
                <w:szCs w:val="24"/>
              </w:rPr>
            </w:pPr>
            <w:r>
              <w:rPr>
                <w:bCs/>
                <w:szCs w:val="24"/>
              </w:rPr>
              <w:t xml:space="preserve">Netaikoma </w:t>
            </w:r>
          </w:p>
          <w:p w14:paraId="22B55FD9" w14:textId="77777777" w:rsidR="00BD5499" w:rsidRDefault="00BD5499" w:rsidP="00BD5499">
            <w:pPr>
              <w:rPr>
                <w:bCs/>
                <w:kern w:val="2"/>
                <w:szCs w:val="24"/>
              </w:rPr>
            </w:pPr>
          </w:p>
          <w:p w14:paraId="232ABA7C" w14:textId="6A0B8E3D" w:rsidR="00BD5499" w:rsidRDefault="00BD5499" w:rsidP="00BD5499">
            <w:pPr>
              <w:rPr>
                <w:color w:val="4472C4"/>
                <w:kern w:val="2"/>
                <w:szCs w:val="24"/>
              </w:rPr>
            </w:pPr>
          </w:p>
          <w:p w14:paraId="31D0481F" w14:textId="38B92F6E" w:rsidR="00BD5499" w:rsidRDefault="00BD5499" w:rsidP="00BD5499">
            <w:pPr>
              <w:rPr>
                <w:color w:val="4472C4"/>
                <w:kern w:val="2"/>
                <w:szCs w:val="24"/>
              </w:rPr>
            </w:pPr>
          </w:p>
        </w:tc>
      </w:tr>
      <w:tr w:rsidR="00BD5499" w14:paraId="2E410A63" w14:textId="77777777" w:rsidTr="009C1B70">
        <w:trPr>
          <w:trHeight w:val="1560"/>
        </w:trPr>
        <w:tc>
          <w:tcPr>
            <w:tcW w:w="2335" w:type="dxa"/>
            <w:gridSpan w:val="2"/>
            <w:tcBorders>
              <w:top w:val="single" w:sz="4" w:space="0" w:color="auto"/>
              <w:left w:val="single" w:sz="4" w:space="0" w:color="auto"/>
              <w:bottom w:val="single" w:sz="4" w:space="0" w:color="auto"/>
              <w:right w:val="single" w:sz="4" w:space="0" w:color="auto"/>
            </w:tcBorders>
          </w:tcPr>
          <w:p w14:paraId="2321802E" w14:textId="5A2E29E9" w:rsidR="00BD5499" w:rsidRDefault="00BD5499" w:rsidP="00BD54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7920" w:type="dxa"/>
            <w:gridSpan w:val="2"/>
            <w:tcBorders>
              <w:top w:val="single" w:sz="4" w:space="0" w:color="auto"/>
              <w:left w:val="single" w:sz="4" w:space="0" w:color="auto"/>
              <w:bottom w:val="single" w:sz="4" w:space="0" w:color="auto"/>
              <w:right w:val="single" w:sz="4" w:space="0" w:color="auto"/>
            </w:tcBorders>
          </w:tcPr>
          <w:p w14:paraId="0FC6812C" w14:textId="77777777" w:rsidR="00BD5499" w:rsidRDefault="00BD5499" w:rsidP="00BD5499">
            <w:pPr>
              <w:rPr>
                <w:bCs/>
                <w:kern w:val="2"/>
                <w:szCs w:val="24"/>
              </w:rPr>
            </w:pPr>
            <w:r>
              <w:rPr>
                <w:bCs/>
                <w:kern w:val="2"/>
                <w:szCs w:val="24"/>
              </w:rPr>
              <w:t>Netaikoma</w:t>
            </w:r>
          </w:p>
          <w:p w14:paraId="4D564143" w14:textId="77777777" w:rsidR="00BD5499" w:rsidRDefault="00BD5499" w:rsidP="00BD5499">
            <w:pPr>
              <w:rPr>
                <w:bCs/>
                <w:kern w:val="2"/>
                <w:szCs w:val="24"/>
              </w:rPr>
            </w:pPr>
          </w:p>
          <w:p w14:paraId="5AD4BC1A" w14:textId="585C981E" w:rsidR="00BD5499" w:rsidRDefault="00BD5499" w:rsidP="00BD5499">
            <w:pPr>
              <w:rPr>
                <w:color w:val="4472C4"/>
                <w:kern w:val="2"/>
                <w:szCs w:val="24"/>
              </w:rPr>
            </w:pPr>
          </w:p>
        </w:tc>
      </w:tr>
      <w:tr w:rsidR="00BD5499" w14:paraId="126A6D36" w14:textId="77777777" w:rsidTr="009C1B70">
        <w:trPr>
          <w:trHeight w:val="300"/>
        </w:trPr>
        <w:tc>
          <w:tcPr>
            <w:tcW w:w="2335" w:type="dxa"/>
            <w:gridSpan w:val="2"/>
          </w:tcPr>
          <w:p w14:paraId="10384E36" w14:textId="4FFA607E" w:rsidR="00BD5499" w:rsidRDefault="00BD5499" w:rsidP="00BD54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7920" w:type="dxa"/>
            <w:gridSpan w:val="2"/>
          </w:tcPr>
          <w:p w14:paraId="5354982A" w14:textId="77777777" w:rsidR="00BD5499" w:rsidRDefault="00BD5499" w:rsidP="00BD5499">
            <w:pPr>
              <w:rPr>
                <w:bCs/>
                <w:kern w:val="2"/>
                <w:szCs w:val="24"/>
              </w:rPr>
            </w:pPr>
            <w:r>
              <w:rPr>
                <w:bCs/>
                <w:kern w:val="2"/>
                <w:szCs w:val="24"/>
              </w:rPr>
              <w:t>Netaikoma</w:t>
            </w:r>
          </w:p>
          <w:p w14:paraId="6F5E6DA7" w14:textId="77777777" w:rsidR="00BD5499" w:rsidRDefault="00BD5499" w:rsidP="00BD5499">
            <w:pPr>
              <w:rPr>
                <w:bCs/>
                <w:kern w:val="2"/>
                <w:szCs w:val="24"/>
              </w:rPr>
            </w:pPr>
          </w:p>
          <w:p w14:paraId="3293B58C" w14:textId="77777777" w:rsidR="00BD5499" w:rsidRDefault="00BD5499" w:rsidP="00BD5499">
            <w:pPr>
              <w:rPr>
                <w:bCs/>
                <w:szCs w:val="24"/>
              </w:rPr>
            </w:pPr>
          </w:p>
          <w:p w14:paraId="39D0982B" w14:textId="77777777" w:rsidR="00BD5499" w:rsidRDefault="00BD5499" w:rsidP="00BD5499">
            <w:pPr>
              <w:rPr>
                <w:color w:val="4472C4"/>
                <w:kern w:val="2"/>
                <w:szCs w:val="24"/>
              </w:rPr>
            </w:pPr>
          </w:p>
        </w:tc>
      </w:tr>
      <w:tr w:rsidR="00BD5499" w14:paraId="7412B22E" w14:textId="77777777" w:rsidTr="009C1B70">
        <w:trPr>
          <w:trHeight w:val="300"/>
        </w:trPr>
        <w:tc>
          <w:tcPr>
            <w:tcW w:w="10255" w:type="dxa"/>
            <w:gridSpan w:val="4"/>
          </w:tcPr>
          <w:p w14:paraId="0D543F72" w14:textId="77777777" w:rsidR="00BD5499" w:rsidRDefault="00BD5499" w:rsidP="00BD5499">
            <w:pPr>
              <w:jc w:val="center"/>
              <w:rPr>
                <w:color w:val="4472C4"/>
                <w:kern w:val="2"/>
                <w:szCs w:val="24"/>
              </w:rPr>
            </w:pPr>
            <w:r>
              <w:rPr>
                <w:b/>
                <w:kern w:val="2"/>
                <w:szCs w:val="24"/>
              </w:rPr>
              <w:t>10. ESMINĖS SUTARTIES SĄLYGOS</w:t>
            </w:r>
          </w:p>
        </w:tc>
      </w:tr>
      <w:tr w:rsidR="00BD5499" w14:paraId="4A74E676" w14:textId="77777777" w:rsidTr="009C1B70">
        <w:trPr>
          <w:trHeight w:val="300"/>
        </w:trPr>
        <w:tc>
          <w:tcPr>
            <w:tcW w:w="2335" w:type="dxa"/>
            <w:gridSpan w:val="2"/>
          </w:tcPr>
          <w:p w14:paraId="0C4A90A4" w14:textId="48800356" w:rsidR="00BD5499" w:rsidRDefault="00BD5499" w:rsidP="00BD5499">
            <w:pPr>
              <w:rPr>
                <w:b/>
                <w:kern w:val="2"/>
                <w:szCs w:val="24"/>
                <w:lang w:val="en-US"/>
              </w:rPr>
            </w:pPr>
            <w:r>
              <w:rPr>
                <w:b/>
                <w:kern w:val="2"/>
                <w:szCs w:val="24"/>
                <w:lang w:val="en-US"/>
              </w:rPr>
              <w:t xml:space="preserve">10.1. </w:t>
            </w:r>
            <w:r>
              <w:rPr>
                <w:b/>
                <w:kern w:val="2"/>
                <w:szCs w:val="24"/>
              </w:rPr>
              <w:t>Esminės Sutarties sąlygos</w:t>
            </w:r>
          </w:p>
        </w:tc>
        <w:tc>
          <w:tcPr>
            <w:tcW w:w="7920" w:type="dxa"/>
            <w:gridSpan w:val="2"/>
          </w:tcPr>
          <w:p w14:paraId="1AD3CD3A" w14:textId="7133829D" w:rsidR="00BD5499" w:rsidRDefault="00BD5499" w:rsidP="00BD5499">
            <w:pPr>
              <w:rPr>
                <w:color w:val="4472C4"/>
                <w:kern w:val="2"/>
                <w:szCs w:val="24"/>
              </w:rPr>
            </w:pPr>
            <w:r w:rsidRPr="00657400">
              <w:rPr>
                <w:szCs w:val="24"/>
              </w:rPr>
              <w:t xml:space="preserve">Kai Tiekėjui dėl paslaugų teikimo yra teikiamos pastabos, kurių Tiekėjas  dėl savo kaltės sutartu laiku neištaiso. </w:t>
            </w:r>
          </w:p>
        </w:tc>
      </w:tr>
      <w:tr w:rsidR="00BD5499" w14:paraId="68A8F8F5" w14:textId="77777777" w:rsidTr="009C1B70">
        <w:trPr>
          <w:trHeight w:val="300"/>
        </w:trPr>
        <w:tc>
          <w:tcPr>
            <w:tcW w:w="2335" w:type="dxa"/>
            <w:gridSpan w:val="2"/>
          </w:tcPr>
          <w:p w14:paraId="458F7686" w14:textId="28A3D4D6" w:rsidR="00BD5499" w:rsidRDefault="00BD5499" w:rsidP="00BD5499">
            <w:pPr>
              <w:rPr>
                <w:b/>
                <w:kern w:val="2"/>
                <w:szCs w:val="24"/>
                <w:lang w:val="en-US"/>
              </w:rPr>
            </w:pPr>
            <w:r>
              <w:rPr>
                <w:b/>
                <w:bCs/>
              </w:rPr>
              <w:t>10.2. Dideli arba nuolatiniai esminės Sutarties sąlygos vykdymo trūkumai</w:t>
            </w:r>
          </w:p>
        </w:tc>
        <w:tc>
          <w:tcPr>
            <w:tcW w:w="7920" w:type="dxa"/>
            <w:gridSpan w:val="2"/>
          </w:tcPr>
          <w:p w14:paraId="2BC2BBBD" w14:textId="45B9C1FB" w:rsidR="00BD5499" w:rsidRDefault="00BD5499" w:rsidP="00BD5499">
            <w:pPr>
              <w:rPr>
                <w:kern w:val="2"/>
                <w:szCs w:val="24"/>
              </w:rPr>
            </w:pPr>
            <w:r w:rsidRPr="00657400">
              <w:rPr>
                <w:szCs w:val="24"/>
                <w:lang w:eastAsia="lt-LT"/>
              </w:rPr>
              <w:t xml:space="preserve">Tiekėjui dėl paslaugų teikimo yra teikiamos 2 (du) kartus tos pačios pastabos / paslaugų rezultatų trūkumai, kurių Tiekėjas neištaiso, į jas Tiekėjas neatsižvelgia ir nepakoreguoja paslaugų rezultatų.  </w:t>
            </w:r>
          </w:p>
        </w:tc>
      </w:tr>
      <w:tr w:rsidR="00BD5499" w14:paraId="5D5614C8" w14:textId="77777777" w:rsidTr="009C1B70">
        <w:trPr>
          <w:trHeight w:val="300"/>
        </w:trPr>
        <w:tc>
          <w:tcPr>
            <w:tcW w:w="10255" w:type="dxa"/>
            <w:gridSpan w:val="4"/>
          </w:tcPr>
          <w:p w14:paraId="01BA2625" w14:textId="77777777" w:rsidR="00BD5499" w:rsidRDefault="00BD5499" w:rsidP="00BD5499">
            <w:pPr>
              <w:jc w:val="center"/>
              <w:rPr>
                <w:b/>
                <w:kern w:val="2"/>
                <w:szCs w:val="24"/>
              </w:rPr>
            </w:pPr>
            <w:r>
              <w:rPr>
                <w:b/>
                <w:kern w:val="2"/>
                <w:szCs w:val="24"/>
              </w:rPr>
              <w:t>11. SUTARTIES GALIOJIMAS IR KEITIMAS</w:t>
            </w:r>
          </w:p>
        </w:tc>
      </w:tr>
      <w:tr w:rsidR="00BD5499" w14:paraId="01B4A21F" w14:textId="77777777" w:rsidTr="009C1B70">
        <w:trPr>
          <w:trHeight w:val="300"/>
        </w:trPr>
        <w:tc>
          <w:tcPr>
            <w:tcW w:w="2335" w:type="dxa"/>
            <w:gridSpan w:val="2"/>
          </w:tcPr>
          <w:p w14:paraId="4A683777" w14:textId="77777777" w:rsidR="00BD5499" w:rsidRDefault="00BD5499" w:rsidP="00BD5499">
            <w:pPr>
              <w:rPr>
                <w:b/>
                <w:kern w:val="2"/>
                <w:szCs w:val="24"/>
              </w:rPr>
            </w:pPr>
            <w:r>
              <w:rPr>
                <w:b/>
                <w:szCs w:val="24"/>
              </w:rPr>
              <w:t>11.1. Sutarties sudarymas ir įsigaliojimas</w:t>
            </w:r>
          </w:p>
        </w:tc>
        <w:tc>
          <w:tcPr>
            <w:tcW w:w="7920" w:type="dxa"/>
            <w:gridSpan w:val="2"/>
          </w:tcPr>
          <w:p w14:paraId="5B0547D4" w14:textId="300B51C6" w:rsidR="00BD5499" w:rsidRDefault="00BD5499" w:rsidP="00310F3C">
            <w:pPr>
              <w:jc w:val="both"/>
              <w:rPr>
                <w:color w:val="4472C4"/>
                <w:kern w:val="2"/>
                <w:szCs w:val="24"/>
              </w:rPr>
            </w:pPr>
            <w:r w:rsidRPr="00310F3C">
              <w:rPr>
                <w:rFonts w:eastAsia="Calibri"/>
                <w:szCs w:val="24"/>
              </w:rPr>
              <w:t xml:space="preserve">Sutartis </w:t>
            </w:r>
            <w:r w:rsidRPr="00310F3C">
              <w:rPr>
                <w:szCs w:val="24"/>
              </w:rPr>
              <w:t>įsigalioja, kai įvykdomos šios dvi sąlygos: 1) Šalių įgalioti atstovai pasirašo sutartį ir 2) Šalių įgalioti atstovai pasirašo Asmens duomenų tvarkymo sutartį.</w:t>
            </w:r>
            <w:r w:rsidRPr="00310F3C">
              <w:rPr>
                <w:color w:val="000000"/>
                <w:kern w:val="2"/>
                <w:szCs w:val="24"/>
              </w:rPr>
              <w:t xml:space="preserve"> Sutartis galioja iki visiško prievolių įvykdymo (kol bus išnaudota Pradinės Sutarties vertė, bet jos terminas negali būti ilgesnis kaip </w:t>
            </w:r>
            <w:r w:rsidRPr="00310F3C">
              <w:rPr>
                <w:color w:val="000000"/>
                <w:kern w:val="2"/>
                <w:szCs w:val="24"/>
                <w:lang w:val="en-US"/>
              </w:rPr>
              <w:t>38</w:t>
            </w:r>
            <w:r w:rsidRPr="00310F3C">
              <w:rPr>
                <w:color w:val="000000"/>
                <w:kern w:val="2"/>
                <w:szCs w:val="24"/>
              </w:rPr>
              <w:t xml:space="preserve"> </w:t>
            </w:r>
            <w:r w:rsidRPr="00310F3C">
              <w:rPr>
                <w:kern w:val="2"/>
                <w:szCs w:val="24"/>
              </w:rPr>
              <w:t xml:space="preserve">mėnesiai </w:t>
            </w:r>
            <w:r w:rsidRPr="00310F3C">
              <w:rPr>
                <w:color w:val="000000"/>
                <w:kern w:val="2"/>
                <w:szCs w:val="24"/>
              </w:rPr>
              <w:t>nuo Sutarties įsigaliojimo dienos).</w:t>
            </w:r>
            <w:r>
              <w:rPr>
                <w:color w:val="4472C4"/>
                <w:kern w:val="2"/>
                <w:szCs w:val="24"/>
              </w:rPr>
              <w:t xml:space="preserve"> </w:t>
            </w:r>
          </w:p>
          <w:p w14:paraId="7396F7FD" w14:textId="1A7BAC19" w:rsidR="00BD5499" w:rsidRDefault="00BD5499" w:rsidP="00BD5499">
            <w:pPr>
              <w:rPr>
                <w:color w:val="4472C4"/>
                <w:kern w:val="2"/>
                <w:szCs w:val="24"/>
              </w:rPr>
            </w:pPr>
          </w:p>
        </w:tc>
      </w:tr>
      <w:tr w:rsidR="00BD5499" w14:paraId="0D3292E1" w14:textId="77777777" w:rsidTr="009C1B70">
        <w:trPr>
          <w:trHeight w:val="300"/>
        </w:trPr>
        <w:tc>
          <w:tcPr>
            <w:tcW w:w="2335" w:type="dxa"/>
            <w:gridSpan w:val="2"/>
          </w:tcPr>
          <w:p w14:paraId="09BC2075" w14:textId="316E2550" w:rsidR="00BD5499" w:rsidRDefault="00BD5499" w:rsidP="00BD5499">
            <w:pPr>
              <w:rPr>
                <w:b/>
                <w:kern w:val="2"/>
                <w:szCs w:val="24"/>
              </w:rPr>
            </w:pPr>
            <w:r>
              <w:rPr>
                <w:b/>
                <w:kern w:val="2"/>
                <w:szCs w:val="24"/>
              </w:rPr>
              <w:t>11.2. Sutarties galiojimo termino pratęsimas</w:t>
            </w:r>
          </w:p>
        </w:tc>
        <w:tc>
          <w:tcPr>
            <w:tcW w:w="7920" w:type="dxa"/>
            <w:gridSpan w:val="2"/>
          </w:tcPr>
          <w:p w14:paraId="7197E005" w14:textId="77777777" w:rsidR="00BD5499" w:rsidRDefault="00BD5499" w:rsidP="00BD5499">
            <w:pPr>
              <w:rPr>
                <w:kern w:val="2"/>
                <w:szCs w:val="24"/>
              </w:rPr>
            </w:pPr>
            <w:r>
              <w:rPr>
                <w:kern w:val="2"/>
                <w:szCs w:val="24"/>
              </w:rPr>
              <w:t>Netaikoma</w:t>
            </w:r>
          </w:p>
          <w:p w14:paraId="6A7A18C0" w14:textId="77777777" w:rsidR="00BD5499" w:rsidRDefault="00BD5499" w:rsidP="00BD5499">
            <w:pPr>
              <w:rPr>
                <w:kern w:val="2"/>
                <w:szCs w:val="24"/>
              </w:rPr>
            </w:pPr>
          </w:p>
          <w:p w14:paraId="782060E8" w14:textId="0E6E3F88" w:rsidR="00BD5499" w:rsidRDefault="00BD5499" w:rsidP="00BD5499">
            <w:pPr>
              <w:rPr>
                <w:kern w:val="2"/>
                <w:szCs w:val="24"/>
              </w:rPr>
            </w:pPr>
          </w:p>
        </w:tc>
      </w:tr>
      <w:tr w:rsidR="00BD5499" w14:paraId="7FE809EC" w14:textId="77777777" w:rsidTr="009C1B70">
        <w:trPr>
          <w:trHeight w:val="300"/>
        </w:trPr>
        <w:tc>
          <w:tcPr>
            <w:tcW w:w="10255" w:type="dxa"/>
            <w:gridSpan w:val="4"/>
          </w:tcPr>
          <w:p w14:paraId="6839791C" w14:textId="77777777" w:rsidR="00BD5499" w:rsidRDefault="00BD5499" w:rsidP="00BD5499">
            <w:pPr>
              <w:jc w:val="center"/>
              <w:rPr>
                <w:b/>
                <w:kern w:val="2"/>
                <w:szCs w:val="24"/>
              </w:rPr>
            </w:pPr>
            <w:r>
              <w:rPr>
                <w:b/>
                <w:kern w:val="2"/>
                <w:szCs w:val="24"/>
              </w:rPr>
              <w:t>12. SUTARTIES NUTRAUKIMAS</w:t>
            </w:r>
          </w:p>
        </w:tc>
      </w:tr>
      <w:tr w:rsidR="00BD5499" w14:paraId="519D54A3" w14:textId="77777777" w:rsidTr="005A7D6E">
        <w:trPr>
          <w:trHeight w:val="300"/>
        </w:trPr>
        <w:tc>
          <w:tcPr>
            <w:tcW w:w="1975" w:type="dxa"/>
            <w:tcBorders>
              <w:top w:val="single" w:sz="4" w:space="0" w:color="auto"/>
              <w:left w:val="single" w:sz="4" w:space="0" w:color="auto"/>
              <w:bottom w:val="single" w:sz="4" w:space="0" w:color="auto"/>
              <w:right w:val="single" w:sz="4" w:space="0" w:color="auto"/>
            </w:tcBorders>
          </w:tcPr>
          <w:p w14:paraId="03D1B260" w14:textId="77777777" w:rsidR="00BD5499" w:rsidRDefault="00BD5499" w:rsidP="00BD5499">
            <w:pPr>
              <w:rPr>
                <w:b/>
                <w:kern w:val="2"/>
                <w:szCs w:val="24"/>
              </w:rPr>
            </w:pPr>
            <w:r>
              <w:rPr>
                <w:b/>
                <w:kern w:val="2"/>
                <w:szCs w:val="24"/>
              </w:rPr>
              <w:t>12.1. Sutarties nutraukimo pagrindai</w:t>
            </w:r>
          </w:p>
        </w:tc>
        <w:tc>
          <w:tcPr>
            <w:tcW w:w="8280" w:type="dxa"/>
            <w:gridSpan w:val="3"/>
            <w:tcBorders>
              <w:top w:val="single" w:sz="4" w:space="0" w:color="auto"/>
              <w:left w:val="single" w:sz="4" w:space="0" w:color="auto"/>
              <w:bottom w:val="single" w:sz="4" w:space="0" w:color="auto"/>
              <w:right w:val="single" w:sz="4" w:space="0" w:color="auto"/>
            </w:tcBorders>
          </w:tcPr>
          <w:p w14:paraId="48830DD7" w14:textId="77777777" w:rsidR="00BD5499" w:rsidRDefault="00BD5499" w:rsidP="00BD5499">
            <w:pPr>
              <w:jc w:val="both"/>
              <w:rPr>
                <w:kern w:val="2"/>
                <w:szCs w:val="24"/>
              </w:rPr>
            </w:pPr>
            <w:r>
              <w:rPr>
                <w:kern w:val="2"/>
                <w:szCs w:val="24"/>
              </w:rPr>
              <w:t>12.1.1.</w:t>
            </w:r>
            <w:r w:rsidRPr="00657400">
              <w:rPr>
                <w:kern w:val="2"/>
                <w:szCs w:val="24"/>
              </w:rPr>
              <w:t>Sutartis gali būti nutraukiama rašytiniu Šalių susitarimu arba vienašališkai, Bendrosiose sąlygose nustatyta tvarka.</w:t>
            </w:r>
          </w:p>
          <w:p w14:paraId="251C8169" w14:textId="36880332" w:rsidR="00BD5499" w:rsidRDefault="00BD5499" w:rsidP="00BD5499">
            <w:pPr>
              <w:rPr>
                <w:color w:val="4472C4"/>
                <w:kern w:val="2"/>
                <w:szCs w:val="24"/>
              </w:rPr>
            </w:pPr>
          </w:p>
        </w:tc>
      </w:tr>
      <w:tr w:rsidR="00BD5499" w14:paraId="57B2F7FC" w14:textId="77777777" w:rsidTr="005A7D6E">
        <w:trPr>
          <w:trHeight w:val="300"/>
        </w:trPr>
        <w:tc>
          <w:tcPr>
            <w:tcW w:w="1975" w:type="dxa"/>
            <w:tcBorders>
              <w:top w:val="single" w:sz="4" w:space="0" w:color="auto"/>
              <w:left w:val="single" w:sz="4" w:space="0" w:color="auto"/>
              <w:bottom w:val="single" w:sz="4" w:space="0" w:color="auto"/>
              <w:right w:val="single" w:sz="4" w:space="0" w:color="auto"/>
            </w:tcBorders>
          </w:tcPr>
          <w:p w14:paraId="1BC4D399" w14:textId="4C16CD48" w:rsidR="00BD5499" w:rsidRDefault="00BD5499" w:rsidP="00BD5499">
            <w:pPr>
              <w:rPr>
                <w:b/>
                <w:kern w:val="2"/>
                <w:szCs w:val="24"/>
              </w:rPr>
            </w:pPr>
            <w:r>
              <w:rPr>
                <w:b/>
                <w:kern w:val="2"/>
                <w:szCs w:val="24"/>
              </w:rPr>
              <w:t xml:space="preserve">12.2. Esminiai Sutarties </w:t>
            </w:r>
            <w:r>
              <w:rPr>
                <w:b/>
                <w:szCs w:val="24"/>
              </w:rPr>
              <w:t>pažeidimai</w:t>
            </w:r>
          </w:p>
        </w:tc>
        <w:tc>
          <w:tcPr>
            <w:tcW w:w="8280" w:type="dxa"/>
            <w:gridSpan w:val="3"/>
            <w:tcBorders>
              <w:top w:val="single" w:sz="4" w:space="0" w:color="auto"/>
              <w:left w:val="single" w:sz="4" w:space="0" w:color="auto"/>
              <w:bottom w:val="single" w:sz="4" w:space="0" w:color="auto"/>
              <w:right w:val="single" w:sz="4" w:space="0" w:color="auto"/>
            </w:tcBorders>
          </w:tcPr>
          <w:p w14:paraId="18C94A34" w14:textId="77777777" w:rsidR="00BD5499" w:rsidRDefault="00BD5499" w:rsidP="00BD5499">
            <w:pPr>
              <w:jc w:val="both"/>
              <w:rPr>
                <w:szCs w:val="24"/>
                <w:lang w:eastAsia="lt-LT"/>
              </w:rPr>
            </w:pPr>
            <w:r>
              <w:rPr>
                <w:kern w:val="2"/>
                <w:szCs w:val="24"/>
              </w:rPr>
              <w:t xml:space="preserve">12.2.1. </w:t>
            </w:r>
            <w:r w:rsidRPr="00345E6A">
              <w:rPr>
                <w:kern w:val="2"/>
                <w:szCs w:val="24"/>
              </w:rPr>
              <w:t xml:space="preserve">kai Pirkėjas Sutartyje nustatytais terminais daugiau kaip 30 kalendorinių dienų vėluoja apmokėti </w:t>
            </w:r>
            <w:r>
              <w:rPr>
                <w:kern w:val="2"/>
                <w:szCs w:val="24"/>
              </w:rPr>
              <w:t>Tiekėjui</w:t>
            </w:r>
            <w:r w:rsidRPr="00345E6A">
              <w:rPr>
                <w:kern w:val="2"/>
                <w:szCs w:val="24"/>
              </w:rPr>
              <w:t xml:space="preserve"> už tinkamai ir kokybiškai suteiktas Paslaugas</w:t>
            </w:r>
          </w:p>
          <w:p w14:paraId="7D305F3D" w14:textId="77777777" w:rsidR="00BD5499" w:rsidRPr="009E78B1" w:rsidRDefault="00BD5499" w:rsidP="00BD5499">
            <w:pPr>
              <w:jc w:val="both"/>
              <w:rPr>
                <w:szCs w:val="24"/>
                <w:lang w:eastAsia="lt-LT"/>
              </w:rPr>
            </w:pPr>
            <w:r w:rsidRPr="009E78B1">
              <w:rPr>
                <w:szCs w:val="24"/>
                <w:lang w:eastAsia="lt-LT"/>
              </w:rPr>
              <w:t xml:space="preserve">12.2.2. kai Tiekėjas tris kartus dėl savo kaltės neišsprendžia kritinės klaidos </w:t>
            </w:r>
            <w:r>
              <w:rPr>
                <w:szCs w:val="24"/>
                <w:lang w:eastAsia="lt-LT"/>
              </w:rPr>
              <w:t xml:space="preserve">sutrikimo </w:t>
            </w:r>
            <w:r w:rsidRPr="009E78B1">
              <w:rPr>
                <w:szCs w:val="24"/>
                <w:lang w:eastAsia="lt-LT"/>
              </w:rPr>
              <w:t>Techninėje specifikacijoje nustatytais terminais;</w:t>
            </w:r>
          </w:p>
          <w:p w14:paraId="43C2B543" w14:textId="77777777" w:rsidR="00BD5499" w:rsidRPr="009E78B1" w:rsidRDefault="00BD5499" w:rsidP="00BD5499">
            <w:pPr>
              <w:jc w:val="both"/>
              <w:rPr>
                <w:szCs w:val="24"/>
                <w:lang w:eastAsia="lt-LT"/>
              </w:rPr>
            </w:pPr>
            <w:r w:rsidRPr="009E78B1">
              <w:rPr>
                <w:szCs w:val="24"/>
                <w:lang w:eastAsia="lt-LT"/>
              </w:rPr>
              <w:t xml:space="preserve">12.2.3. kai Tiekėjas keturis kartus dėl savo kaltės neišsprendžia didelės klaidos </w:t>
            </w:r>
            <w:r>
              <w:rPr>
                <w:szCs w:val="24"/>
                <w:lang w:eastAsia="lt-LT"/>
              </w:rPr>
              <w:t xml:space="preserve">sutrikimo </w:t>
            </w:r>
            <w:r w:rsidRPr="009E78B1">
              <w:rPr>
                <w:szCs w:val="24"/>
                <w:lang w:eastAsia="lt-LT"/>
              </w:rPr>
              <w:t>Techninėje specifikacijoje nustatytais terminais;</w:t>
            </w:r>
          </w:p>
          <w:p w14:paraId="1FB0A495" w14:textId="77777777" w:rsidR="00BD5499" w:rsidRPr="00657400" w:rsidRDefault="00BD5499" w:rsidP="00BD5499">
            <w:pPr>
              <w:spacing w:line="257" w:lineRule="atLeast"/>
              <w:jc w:val="both"/>
              <w:rPr>
                <w:szCs w:val="24"/>
                <w:lang w:eastAsia="lt-LT"/>
              </w:rPr>
            </w:pPr>
            <w:r>
              <w:rPr>
                <w:kern w:val="2"/>
                <w:szCs w:val="24"/>
              </w:rPr>
              <w:lastRenderedPageBreak/>
              <w:t xml:space="preserve">12.2.4. </w:t>
            </w:r>
            <w:r w:rsidRPr="00345E6A">
              <w:rPr>
                <w:kern w:val="2"/>
                <w:szCs w:val="24"/>
              </w:rPr>
              <w:t>kai Tiekėjas neužtikrina nacionalinio saugumo reikalavimų, kurie buvo nustatyti Pirkimo procedūros metu laikymosi Sutarties galiojimo laiku</w:t>
            </w:r>
            <w:r>
              <w:rPr>
                <w:kern w:val="2"/>
                <w:szCs w:val="24"/>
              </w:rPr>
              <w:t>;</w:t>
            </w:r>
          </w:p>
          <w:p w14:paraId="56A6A86B" w14:textId="77777777" w:rsidR="00BD5499" w:rsidRPr="00657400" w:rsidRDefault="00BD5499" w:rsidP="00BD5499">
            <w:pPr>
              <w:tabs>
                <w:tab w:val="left" w:pos="700"/>
                <w:tab w:val="left" w:pos="790"/>
              </w:tabs>
              <w:spacing w:line="257" w:lineRule="atLeast"/>
              <w:jc w:val="both"/>
              <w:rPr>
                <w:szCs w:val="24"/>
                <w:lang w:eastAsia="lt-LT"/>
              </w:rPr>
            </w:pPr>
            <w:r w:rsidRPr="00657400">
              <w:rPr>
                <w:szCs w:val="24"/>
                <w:lang w:eastAsia="lt-LT"/>
              </w:rPr>
              <w:t>12.2.</w:t>
            </w:r>
            <w:r>
              <w:rPr>
                <w:szCs w:val="24"/>
                <w:lang w:eastAsia="lt-LT"/>
              </w:rPr>
              <w:t>5</w:t>
            </w:r>
            <w:r w:rsidRPr="00657400">
              <w:rPr>
                <w:szCs w:val="24"/>
                <w:lang w:eastAsia="lt-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5297E4DD" w:rsidR="00BD5499" w:rsidRDefault="00BD5499" w:rsidP="00BD5499">
            <w:pPr>
              <w:spacing w:line="257" w:lineRule="auto"/>
              <w:rPr>
                <w:rFonts w:eastAsia="Arial"/>
                <w:color w:val="FF0000"/>
                <w:kern w:val="2"/>
                <w:szCs w:val="24"/>
              </w:rPr>
            </w:pPr>
            <w:r w:rsidRPr="00657400">
              <w:rPr>
                <w:szCs w:val="24"/>
                <w:lang w:eastAsia="lt-LT"/>
              </w:rPr>
              <w:t>12.2.</w:t>
            </w:r>
            <w:r>
              <w:rPr>
                <w:szCs w:val="24"/>
                <w:lang w:eastAsia="lt-LT"/>
              </w:rPr>
              <w:t>4</w:t>
            </w:r>
            <w:r w:rsidRPr="00657400">
              <w:rPr>
                <w:szCs w:val="24"/>
                <w:lang w:eastAsia="lt-LT"/>
              </w:rPr>
              <w:t>. Tiekėjas 3 (tris) kartus pažeidžia esminę Sutarties sąlygą.</w:t>
            </w:r>
          </w:p>
        </w:tc>
      </w:tr>
      <w:tr w:rsidR="00BD5499" w14:paraId="46270E91" w14:textId="77777777" w:rsidTr="009C1B70">
        <w:trPr>
          <w:trHeight w:val="300"/>
        </w:trPr>
        <w:tc>
          <w:tcPr>
            <w:tcW w:w="10255" w:type="dxa"/>
            <w:gridSpan w:val="4"/>
          </w:tcPr>
          <w:p w14:paraId="07E06248" w14:textId="79C6F1A1" w:rsidR="00BD5499" w:rsidRDefault="00BD5499" w:rsidP="00BD5499">
            <w:pPr>
              <w:jc w:val="center"/>
              <w:rPr>
                <w:kern w:val="2"/>
                <w:szCs w:val="24"/>
              </w:rPr>
            </w:pPr>
            <w:r>
              <w:rPr>
                <w:b/>
                <w:kern w:val="2"/>
                <w:szCs w:val="24"/>
              </w:rPr>
              <w:lastRenderedPageBreak/>
              <w:t xml:space="preserve">13. APLINKOS APSAUGOS IR SOCIALINIAI KRITERIJAI </w:t>
            </w:r>
          </w:p>
        </w:tc>
      </w:tr>
      <w:tr w:rsidR="00BD5499" w14:paraId="18AE2F61" w14:textId="77777777" w:rsidTr="005A7D6E">
        <w:trPr>
          <w:trHeight w:val="300"/>
        </w:trPr>
        <w:tc>
          <w:tcPr>
            <w:tcW w:w="1975" w:type="dxa"/>
          </w:tcPr>
          <w:p w14:paraId="6366A32C" w14:textId="77777777" w:rsidR="00BD5499" w:rsidRDefault="00BD5499" w:rsidP="00BD5499">
            <w:pPr>
              <w:rPr>
                <w:b/>
                <w:kern w:val="2"/>
                <w:szCs w:val="24"/>
              </w:rPr>
            </w:pPr>
            <w:r>
              <w:rPr>
                <w:b/>
                <w:kern w:val="2"/>
                <w:szCs w:val="24"/>
              </w:rPr>
              <w:t xml:space="preserve">13.1. Su perkamomis paslaugomis susiję  aplinkos apsaugos kriterijai </w:t>
            </w:r>
          </w:p>
        </w:tc>
        <w:tc>
          <w:tcPr>
            <w:tcW w:w="8280" w:type="dxa"/>
            <w:gridSpan w:val="3"/>
          </w:tcPr>
          <w:p w14:paraId="36A77406" w14:textId="77777777" w:rsidR="00BD5499" w:rsidRPr="00657400" w:rsidRDefault="00BD5499" w:rsidP="005A7D6E">
            <w:pPr>
              <w:jc w:val="both"/>
            </w:pPr>
            <w:r w:rsidRPr="00657400">
              <w:rPr>
                <w:color w:val="000000"/>
                <w:kern w:val="2"/>
                <w:szCs w:val="24"/>
                <w:shd w:val="clear" w:color="auto" w:fill="FFFFFF"/>
              </w:rPr>
              <w:t xml:space="preserve">Aplinkosauginiai kriterijai Paslaugoms nustatomi vadovaujantis </w:t>
            </w:r>
            <w:r w:rsidRPr="00657400">
              <w:rPr>
                <w:color w:val="000000"/>
                <w:kern w:val="2"/>
                <w:szCs w:val="24"/>
              </w:rPr>
              <w:t>Aplinkos apsaugos kriterijų taikymo, vykdant žaliuosius pirkimus, tvarkos aprašo, patvirtinto 2011 m. birželio 28 d. įsakymu D1-508</w:t>
            </w:r>
            <w:r w:rsidRPr="00657400">
              <w:rPr>
                <w:color w:val="000000"/>
                <w:kern w:val="2"/>
                <w:szCs w:val="24"/>
                <w:shd w:val="clear" w:color="auto" w:fill="FFFFFF"/>
              </w:rPr>
              <w:t xml:space="preserve"> „Dėl Aplinkos apsaugos kriterijų taikymo, vykdant žaliuosius pirkimus, tvarkos aprašo patvirtinimo“ (toliau – Tvarkos aprašas) 4.4.4.1. papunkčiu (prekei pagaminti ir (ar) tiekti, paslaugai teikti ar darbams atlikti sunaudojama mažiau gamtos išteklių ir (ar) sudėtyje yra pakartotinai panaudotų ir (ar) perdirbtų medžiagų): </w:t>
            </w:r>
            <w:r w:rsidRPr="00657400">
              <w:t xml:space="preserve">taikant Tvarkos aprašo 4.4.4.1 papunktyje nustatytą aplinkosauginį principą ir siekiant, kad teikiant Paslaugas ir vykdant sutartinius įsipareigojimus, būtų sunaudojama mažiau gamtos išteklių, turi būti </w:t>
            </w:r>
            <w:r w:rsidRPr="00657400">
              <w:rPr>
                <w:b/>
                <w:bCs/>
              </w:rPr>
              <w:t>mažinamas popieriaus sunaudojimas</w:t>
            </w:r>
            <w:r w:rsidRPr="00657400">
              <w:t>,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11AE12C" w14:textId="77777777" w:rsidR="00BD5499" w:rsidRPr="00657400" w:rsidRDefault="00BD5499" w:rsidP="005A7D6E">
            <w:pPr>
              <w:jc w:val="both"/>
              <w:rPr>
                <w:color w:val="000000"/>
                <w:kern w:val="2"/>
                <w:szCs w:val="24"/>
                <w:shd w:val="clear" w:color="auto" w:fill="FFFFFF"/>
              </w:rPr>
            </w:pPr>
          </w:p>
          <w:p w14:paraId="3F14B69B" w14:textId="0F3D2A68" w:rsidR="00BD5499" w:rsidRDefault="00BD5499" w:rsidP="005A7D6E">
            <w:pPr>
              <w:jc w:val="both"/>
              <w:rPr>
                <w:kern w:val="2"/>
                <w:szCs w:val="24"/>
              </w:rPr>
            </w:pPr>
            <w:r w:rsidRPr="00657400">
              <w:rPr>
                <w:color w:val="000000"/>
                <w:kern w:val="2"/>
                <w:szCs w:val="24"/>
                <w:shd w:val="clear" w:color="auto" w:fill="FFFFFF"/>
              </w:rPr>
              <w:t xml:space="preserve">Pirkimo objektas tenkina Tvarko aprašo 4.4.3 papunktyje nustatytą sąlygą, t. y. </w:t>
            </w:r>
            <w:r w:rsidRPr="00657400">
              <w:rPr>
                <w:b/>
                <w:bCs/>
                <w:color w:val="000000"/>
                <w:kern w:val="2"/>
                <w:szCs w:val="24"/>
                <w:shd w:val="clear" w:color="auto" w:fill="FFFFFF"/>
              </w:rPr>
              <w:t>perkama tik nematerialaus pobūdžio (intelektinė) ar kitokia paslauga</w:t>
            </w:r>
            <w:r w:rsidRPr="00657400">
              <w:rPr>
                <w:color w:val="000000"/>
                <w:kern w:val="2"/>
                <w:szCs w:val="24"/>
                <w:shd w:val="clear" w:color="auto" w:fill="FFFFFF"/>
              </w:rPr>
              <w:t>,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BD5499" w14:paraId="71B127CD" w14:textId="77777777" w:rsidTr="005A7D6E">
        <w:trPr>
          <w:trHeight w:val="300"/>
        </w:trPr>
        <w:tc>
          <w:tcPr>
            <w:tcW w:w="1975" w:type="dxa"/>
          </w:tcPr>
          <w:p w14:paraId="6D5C5242" w14:textId="77777777" w:rsidR="00BD5499" w:rsidRDefault="00BD5499" w:rsidP="00BD5499">
            <w:pPr>
              <w:rPr>
                <w:b/>
                <w:kern w:val="2"/>
                <w:szCs w:val="24"/>
              </w:rPr>
            </w:pPr>
            <w:r>
              <w:rPr>
                <w:b/>
                <w:kern w:val="2"/>
                <w:szCs w:val="24"/>
              </w:rPr>
              <w:t>13.2. Su perkamomis Paslaugomis susiję socialiniai kriterijai</w:t>
            </w:r>
          </w:p>
        </w:tc>
        <w:tc>
          <w:tcPr>
            <w:tcW w:w="8280" w:type="dxa"/>
            <w:gridSpan w:val="3"/>
          </w:tcPr>
          <w:p w14:paraId="09CCACC2" w14:textId="77777777" w:rsidR="00BD5499" w:rsidRDefault="00BD5499" w:rsidP="00BD5499">
            <w:pPr>
              <w:rPr>
                <w:color w:val="000000"/>
                <w:kern w:val="2"/>
                <w:szCs w:val="24"/>
                <w:shd w:val="clear" w:color="auto" w:fill="FFFFFF"/>
              </w:rPr>
            </w:pPr>
            <w:r>
              <w:rPr>
                <w:color w:val="000000"/>
                <w:kern w:val="2"/>
                <w:szCs w:val="24"/>
                <w:shd w:val="clear" w:color="auto" w:fill="FFFFFF"/>
              </w:rPr>
              <w:t>Netaikoma</w:t>
            </w:r>
          </w:p>
          <w:p w14:paraId="0C0C4ED8" w14:textId="77777777" w:rsidR="00BD5499" w:rsidRDefault="00BD5499" w:rsidP="00BD5499">
            <w:pPr>
              <w:rPr>
                <w:color w:val="000000"/>
                <w:kern w:val="2"/>
                <w:szCs w:val="24"/>
                <w:shd w:val="clear" w:color="auto" w:fill="FFFFFF"/>
              </w:rPr>
            </w:pPr>
          </w:p>
          <w:p w14:paraId="7170065E" w14:textId="6030A4FF" w:rsidR="00BD5499" w:rsidRDefault="00BD5499" w:rsidP="00BD5499">
            <w:pPr>
              <w:rPr>
                <w:color w:val="0070C0"/>
                <w:kern w:val="2"/>
                <w:szCs w:val="24"/>
              </w:rPr>
            </w:pPr>
          </w:p>
        </w:tc>
      </w:tr>
      <w:tr w:rsidR="00BD5499" w14:paraId="0E3437C2" w14:textId="77777777" w:rsidTr="009C1B70">
        <w:trPr>
          <w:trHeight w:val="300"/>
        </w:trPr>
        <w:tc>
          <w:tcPr>
            <w:tcW w:w="10255" w:type="dxa"/>
            <w:gridSpan w:val="4"/>
          </w:tcPr>
          <w:p w14:paraId="3450D3CB" w14:textId="77777777" w:rsidR="00BD5499" w:rsidRDefault="00BD5499" w:rsidP="00BD5499">
            <w:pPr>
              <w:jc w:val="center"/>
              <w:rPr>
                <w:b/>
                <w:kern w:val="2"/>
                <w:szCs w:val="24"/>
              </w:rPr>
            </w:pPr>
            <w:r>
              <w:rPr>
                <w:b/>
                <w:kern w:val="2"/>
                <w:szCs w:val="24"/>
              </w:rPr>
              <w:t xml:space="preserve">14. BENDRŲJŲ SĄLYGŲ PAKEITIMAI IR PAPILDYMAI </w:t>
            </w:r>
          </w:p>
          <w:p w14:paraId="1BD9D104" w14:textId="535A5E28" w:rsidR="00BD5499" w:rsidRDefault="00BD5499" w:rsidP="00BD5499">
            <w:pPr>
              <w:jc w:val="center"/>
              <w:rPr>
                <w:kern w:val="2"/>
                <w:szCs w:val="24"/>
              </w:rPr>
            </w:pPr>
          </w:p>
        </w:tc>
      </w:tr>
      <w:tr w:rsidR="00BD5499" w14:paraId="00CDF661" w14:textId="77777777" w:rsidTr="005A7D6E">
        <w:trPr>
          <w:trHeight w:val="300"/>
        </w:trPr>
        <w:tc>
          <w:tcPr>
            <w:tcW w:w="1975" w:type="dxa"/>
          </w:tcPr>
          <w:p w14:paraId="044BD4E3" w14:textId="77777777" w:rsidR="00BD5499" w:rsidRDefault="00BD5499" w:rsidP="00BD5499">
            <w:pPr>
              <w:rPr>
                <w:b/>
                <w:kern w:val="2"/>
                <w:szCs w:val="24"/>
              </w:rPr>
            </w:pPr>
            <w:r>
              <w:rPr>
                <w:b/>
                <w:kern w:val="2"/>
                <w:szCs w:val="24"/>
              </w:rPr>
              <w:t xml:space="preserve">14.1. </w:t>
            </w:r>
          </w:p>
        </w:tc>
        <w:tc>
          <w:tcPr>
            <w:tcW w:w="8280" w:type="dxa"/>
            <w:gridSpan w:val="3"/>
          </w:tcPr>
          <w:p w14:paraId="048B08E5" w14:textId="77777777" w:rsidR="00BD5499" w:rsidRDefault="00BD5499" w:rsidP="00BD5499">
            <w:pPr>
              <w:jc w:val="both"/>
              <w:rPr>
                <w:kern w:val="2"/>
                <w:szCs w:val="24"/>
              </w:rPr>
            </w:pPr>
            <w:r w:rsidRPr="00657400">
              <w:rPr>
                <w:kern w:val="2"/>
                <w:szCs w:val="24"/>
              </w:rPr>
              <w:t>Šalys susitaria pakeisti nurodyt</w:t>
            </w:r>
            <w:r>
              <w:rPr>
                <w:kern w:val="2"/>
                <w:szCs w:val="24"/>
              </w:rPr>
              <w:t>us</w:t>
            </w:r>
            <w:r w:rsidRPr="00657400">
              <w:rPr>
                <w:kern w:val="2"/>
                <w:szCs w:val="24"/>
              </w:rPr>
              <w:t xml:space="preserve"> Sutarties Bendrųjų sąlygų punkt</w:t>
            </w:r>
            <w:r>
              <w:rPr>
                <w:kern w:val="2"/>
                <w:szCs w:val="24"/>
              </w:rPr>
              <w:t>us</w:t>
            </w:r>
            <w:r w:rsidRPr="00657400">
              <w:rPr>
                <w:kern w:val="2"/>
                <w:szCs w:val="24"/>
              </w:rPr>
              <w:t xml:space="preserve"> ir išdėstyti j</w:t>
            </w:r>
            <w:r>
              <w:rPr>
                <w:kern w:val="2"/>
                <w:szCs w:val="24"/>
              </w:rPr>
              <w:t>uos</w:t>
            </w:r>
            <w:r w:rsidRPr="00657400">
              <w:rPr>
                <w:kern w:val="2"/>
                <w:szCs w:val="24"/>
              </w:rPr>
              <w:t xml:space="preserve"> nauja redakcija:</w:t>
            </w:r>
          </w:p>
          <w:p w14:paraId="64E0EB64" w14:textId="77777777" w:rsidR="00BD5499" w:rsidRDefault="00BD5499" w:rsidP="00BD5499">
            <w:pPr>
              <w:widowControl w:val="0"/>
              <w:pBdr>
                <w:top w:val="nil"/>
                <w:left w:val="nil"/>
                <w:bottom w:val="nil"/>
                <w:right w:val="nil"/>
                <w:between w:val="nil"/>
              </w:pBdr>
              <w:tabs>
                <w:tab w:val="left" w:pos="1134"/>
              </w:tabs>
              <w:jc w:val="both"/>
              <w:rPr>
                <w:rFonts w:eastAsia="Cambria"/>
              </w:rPr>
            </w:pPr>
            <w:r w:rsidRPr="00112177">
              <w:rPr>
                <w:rFonts w:eastAsia="Cambria"/>
                <w:b/>
                <w:bCs/>
                <w:shd w:val="clear" w:color="auto" w:fill="FFFFFF"/>
              </w:rPr>
              <w:t>3.2.11.1.</w:t>
            </w:r>
            <w:r>
              <w:rPr>
                <w:rFonts w:eastAsia="Cambria"/>
                <w:shd w:val="clear" w:color="auto" w:fill="FFFFFF"/>
              </w:rPr>
              <w:t xml:space="preserve"> Tiekėjo iniciatyva dėl objektyvių priežasčių</w:t>
            </w:r>
            <w:r>
              <w:rPr>
                <w:rStyle w:val="Puslapioinaosnuoroda"/>
                <w:rFonts w:eastAsia="Cambria"/>
                <w:shd w:val="clear" w:color="auto" w:fill="FFFFFF"/>
              </w:rPr>
              <w:footnoteReference w:id="15"/>
            </w:r>
            <w:r>
              <w:rPr>
                <w:rFonts w:eastAsia="Cambria"/>
                <w:shd w:val="clear" w:color="auto" w:fill="FFFFFF"/>
              </w:rPr>
              <w:t xml:space="preserve"> (pavyzdžiui, atostogų </w:t>
            </w:r>
            <w:r>
              <w:rPr>
                <w:rFonts w:eastAsia="Cambria"/>
                <w:shd w:val="clear" w:color="auto" w:fill="FFFFFF"/>
              </w:rPr>
              <w:lastRenderedPageBreak/>
              <w:t>(motinystės, tėvystės ir pan.), ligos, nelaimingo atsitikimo atveju, mirties, išvykus į stažuotę, komandiruotę, netekus teisės verstis veikla, atsiradus interesų konfliktui nutrūkus darbo santykiams, pa</w:t>
            </w:r>
            <w:r w:rsidRPr="003D6EC1">
              <w:rPr>
                <w:rFonts w:eastAsia="Cambria"/>
                <w:shd w:val="clear" w:color="auto" w:fill="FFFFFF"/>
              </w:rPr>
              <w:t>sikeitus specialisto darbo pobūdžiui (pvz.: specialistas organizacijoje keičia pareigas ir atsakomybes ir pan. situacijos), specialistas atsisako dirbti konkrečiame projekte / sutarties vykdyme.</w:t>
            </w:r>
            <w:r>
              <w:rPr>
                <w:rFonts w:eastAsia="Cambria"/>
                <w:shd w:val="clear" w:color="auto" w:fill="FFFFFF"/>
              </w:rPr>
              <w:t xml:space="preserve"> ir pan.), pateikus duomenis apie numatomą naujai skirti specialistą bei jo kvalifikaciją ir atitiktį kitiems pirkimo dokumentuose keliamiems reikalavimams patvirtinančius dokumentus;</w:t>
            </w:r>
          </w:p>
          <w:p w14:paraId="23B34FFE" w14:textId="77777777" w:rsidR="00BD5499" w:rsidRPr="00A57ABD" w:rsidRDefault="00BD5499" w:rsidP="00BD5499">
            <w:pPr>
              <w:jc w:val="both"/>
              <w:rPr>
                <w:rFonts w:eastAsia="Cambria"/>
                <w:shd w:val="clear" w:color="auto" w:fill="FFFFFF"/>
                <w:lang w:val="en-US"/>
              </w:rPr>
            </w:pPr>
            <w:r w:rsidRPr="00112177">
              <w:rPr>
                <w:rFonts w:eastAsia="Cambria"/>
                <w:b/>
                <w:bCs/>
                <w:shd w:val="clear" w:color="auto" w:fill="FFFFFF"/>
              </w:rPr>
              <w:t>3.2.11.2.</w:t>
            </w:r>
            <w:r>
              <w:rPr>
                <w:rFonts w:eastAsia="Cambria"/>
                <w:shd w:val="clear" w:color="auto" w:fill="FFFFFF"/>
              </w:rPr>
              <w:t xml:space="preserve"> Pirkėjo iniciatyva, jei Pirkėjas turi pagrįstų įtarimų, kad Tiekėjo Sutarties vykdymui paskirtas specialistas nekompetentingas vykdyti nustatytas pareigas, atsiradus interesų konfliktui.</w:t>
            </w:r>
          </w:p>
          <w:p w14:paraId="71F9375E" w14:textId="18E0D654" w:rsidR="00BD5499" w:rsidRDefault="00BD5499" w:rsidP="00BD5499">
            <w:pPr>
              <w:rPr>
                <w:kern w:val="2"/>
                <w:szCs w:val="24"/>
              </w:rPr>
            </w:pPr>
          </w:p>
        </w:tc>
      </w:tr>
      <w:tr w:rsidR="00BD5499" w14:paraId="2CA3CEA0" w14:textId="77777777" w:rsidTr="005A7D6E">
        <w:trPr>
          <w:trHeight w:val="300"/>
        </w:trPr>
        <w:tc>
          <w:tcPr>
            <w:tcW w:w="1975" w:type="dxa"/>
          </w:tcPr>
          <w:p w14:paraId="7871A9FF" w14:textId="77777777" w:rsidR="00BD5499" w:rsidRDefault="00BD5499" w:rsidP="00BD5499">
            <w:pPr>
              <w:rPr>
                <w:b/>
                <w:kern w:val="2"/>
                <w:szCs w:val="24"/>
              </w:rPr>
            </w:pPr>
            <w:r>
              <w:rPr>
                <w:b/>
                <w:kern w:val="2"/>
                <w:szCs w:val="24"/>
              </w:rPr>
              <w:lastRenderedPageBreak/>
              <w:t>14.2.</w:t>
            </w:r>
          </w:p>
        </w:tc>
        <w:tc>
          <w:tcPr>
            <w:tcW w:w="8280" w:type="dxa"/>
            <w:gridSpan w:val="3"/>
          </w:tcPr>
          <w:p w14:paraId="7AF09427" w14:textId="77777777" w:rsidR="00BD5499" w:rsidRDefault="00BD5499" w:rsidP="00427057">
            <w:pPr>
              <w:jc w:val="both"/>
              <w:rPr>
                <w:kern w:val="2"/>
                <w:szCs w:val="24"/>
              </w:rPr>
            </w:pPr>
            <w:r w:rsidRPr="00657400">
              <w:rPr>
                <w:kern w:val="2"/>
                <w:szCs w:val="24"/>
              </w:rPr>
              <w:t>Šalys susitaria papildyti Sutarties Bendrąsias sąlygas nurodytu punktu, tačiau kitų punktų numeracijos nekeisti:</w:t>
            </w:r>
          </w:p>
          <w:p w14:paraId="27E58ECB" w14:textId="7A709C38" w:rsidR="00BD5499" w:rsidRPr="00F077C3" w:rsidRDefault="00BD5499" w:rsidP="00427057">
            <w:pPr>
              <w:jc w:val="both"/>
              <w:rPr>
                <w:kern w:val="2"/>
                <w:szCs w:val="24"/>
                <w:lang w:val="en-US"/>
              </w:rPr>
            </w:pPr>
            <w:r w:rsidRPr="00112177">
              <w:rPr>
                <w:b/>
                <w:bCs/>
                <w:kern w:val="2"/>
                <w:szCs w:val="24"/>
              </w:rPr>
              <w:t>3.2.15.</w:t>
            </w:r>
            <w:r>
              <w:rPr>
                <w:kern w:val="2"/>
                <w:szCs w:val="24"/>
              </w:rPr>
              <w:t xml:space="preserve"> </w:t>
            </w:r>
            <w:r w:rsidRPr="00112177">
              <w:rPr>
                <w:kern w:val="2"/>
                <w:szCs w:val="24"/>
              </w:rPr>
              <w:t>Jeigu Tiekėjas pageidauja į Sutarties vykdymą įtraukti papildomus atitinkamos rolės specialistus / ekspertus (pvz.: į projektų vadovo rolę įtraukti papildomą projektų vadovą ir pan.), Tiekėjas turi pateikti raštu (el. paštu) prašymą Pirkėjui ir kartu su prašymu pateikti siūlomo papildomo specialisto / eksperto kvalifikaciją (kuri buvo nustatyta Viešojo pirkimo sąlygose) pagrindžiančius dokumentus. Prašymo teikimo aplinkybės / pagrindai: a) Paslaugų kokybės tikslu b) užtikrinti nepertraukiamą paslaugų teikimą, kai atitinkamos rolės specialistas / ekspertas atostogauja ir / ar laikinai nevykdo darbo funkcijų. Užsakovas turi įvertinti pateiktą prašymą, specialisto / eksperto kvalifikaciją bei ar papildomo specialisto įtraukimas nepažeis Viešųjų pirkimų įstatyme nustatytų principų (dėl kokybės vertinimo ir / ar pan. situacijos). Papildomo specialisto / eksperto įtraukimas įforminamas Šalių rašytiniu susitarimu.</w:t>
            </w:r>
          </w:p>
        </w:tc>
      </w:tr>
      <w:tr w:rsidR="00BD5499" w14:paraId="52826352" w14:textId="77777777" w:rsidTr="005A7D6E">
        <w:trPr>
          <w:trHeight w:val="300"/>
        </w:trPr>
        <w:tc>
          <w:tcPr>
            <w:tcW w:w="1975" w:type="dxa"/>
          </w:tcPr>
          <w:p w14:paraId="233A918A" w14:textId="77777777" w:rsidR="00BD5499" w:rsidRDefault="00BD5499" w:rsidP="00BD5499">
            <w:pPr>
              <w:rPr>
                <w:b/>
                <w:kern w:val="2"/>
                <w:szCs w:val="24"/>
              </w:rPr>
            </w:pPr>
            <w:r>
              <w:rPr>
                <w:b/>
                <w:kern w:val="2"/>
                <w:szCs w:val="24"/>
              </w:rPr>
              <w:t>14.3.</w:t>
            </w:r>
          </w:p>
        </w:tc>
        <w:tc>
          <w:tcPr>
            <w:tcW w:w="8280" w:type="dxa"/>
            <w:gridSpan w:val="3"/>
          </w:tcPr>
          <w:p w14:paraId="18EE2491" w14:textId="77777777" w:rsidR="00BD5499" w:rsidRDefault="00BD5499" w:rsidP="00BD5499">
            <w:pPr>
              <w:rPr>
                <w:color w:val="4472C4"/>
                <w:kern w:val="2"/>
                <w:szCs w:val="24"/>
              </w:rPr>
            </w:pPr>
            <w:r>
              <w:rPr>
                <w:color w:val="4472C4"/>
                <w:kern w:val="2"/>
                <w:szCs w:val="24"/>
              </w:rPr>
              <w:t>(pildyti, jei išbraukiamas Sutarties Bendrųjų sąlygų atitinkamas punktas:</w:t>
            </w:r>
          </w:p>
          <w:p w14:paraId="02FD8275" w14:textId="77777777" w:rsidR="00BD5499" w:rsidRDefault="00BD5499" w:rsidP="00BD5499">
            <w:pPr>
              <w:rPr>
                <w:kern w:val="2"/>
                <w:szCs w:val="24"/>
              </w:rPr>
            </w:pPr>
            <w:r>
              <w:rPr>
                <w:kern w:val="2"/>
                <w:szCs w:val="24"/>
              </w:rPr>
              <w:t>Šalys susitaria išbraukti nurodytą Sutarties Bendrųjų sąlygų punktą, tačiau kitų punktų numeracijos nekeisti: _____.</w:t>
            </w:r>
          </w:p>
        </w:tc>
      </w:tr>
      <w:tr w:rsidR="00BD5499" w14:paraId="2EFF1763" w14:textId="77777777" w:rsidTr="005A7D6E">
        <w:trPr>
          <w:trHeight w:val="300"/>
        </w:trPr>
        <w:tc>
          <w:tcPr>
            <w:tcW w:w="1975" w:type="dxa"/>
          </w:tcPr>
          <w:p w14:paraId="6F29300F" w14:textId="77777777" w:rsidR="00BD5499" w:rsidRDefault="00BD5499" w:rsidP="00BD5499">
            <w:pPr>
              <w:rPr>
                <w:b/>
                <w:kern w:val="2"/>
                <w:szCs w:val="24"/>
              </w:rPr>
            </w:pPr>
            <w:r>
              <w:rPr>
                <w:b/>
                <w:kern w:val="2"/>
                <w:szCs w:val="24"/>
              </w:rPr>
              <w:t>14.4.</w:t>
            </w:r>
          </w:p>
        </w:tc>
        <w:tc>
          <w:tcPr>
            <w:tcW w:w="8280" w:type="dxa"/>
            <w:gridSpan w:val="3"/>
          </w:tcPr>
          <w:p w14:paraId="1A25962E" w14:textId="77777777" w:rsidR="00BD5499" w:rsidRDefault="00BD5499" w:rsidP="00BD5499">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BD5499" w14:paraId="48D32DC8" w14:textId="77777777" w:rsidTr="005A7D6E">
        <w:trPr>
          <w:trHeight w:val="300"/>
        </w:trPr>
        <w:tc>
          <w:tcPr>
            <w:tcW w:w="1975" w:type="dxa"/>
          </w:tcPr>
          <w:p w14:paraId="0B30FF0B" w14:textId="77777777" w:rsidR="00BD5499" w:rsidRDefault="00BD5499" w:rsidP="00BD5499">
            <w:pPr>
              <w:rPr>
                <w:b/>
                <w:kern w:val="2"/>
                <w:szCs w:val="24"/>
              </w:rPr>
            </w:pPr>
            <w:r>
              <w:rPr>
                <w:b/>
                <w:kern w:val="2"/>
                <w:szCs w:val="24"/>
              </w:rPr>
              <w:t>14.5.</w:t>
            </w:r>
          </w:p>
        </w:tc>
        <w:tc>
          <w:tcPr>
            <w:tcW w:w="8280" w:type="dxa"/>
            <w:gridSpan w:val="3"/>
          </w:tcPr>
          <w:p w14:paraId="71B506CF" w14:textId="77777777" w:rsidR="00BD5499" w:rsidRDefault="00BD5499" w:rsidP="00BD5499">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BD5499" w14:paraId="7ED2EDF1" w14:textId="77777777" w:rsidTr="009C1B70">
        <w:trPr>
          <w:trHeight w:val="300"/>
        </w:trPr>
        <w:tc>
          <w:tcPr>
            <w:tcW w:w="10255" w:type="dxa"/>
            <w:gridSpan w:val="4"/>
          </w:tcPr>
          <w:p w14:paraId="689031C9" w14:textId="77777777" w:rsidR="00BD5499" w:rsidRDefault="00BD5499" w:rsidP="00BD5499">
            <w:pPr>
              <w:jc w:val="center"/>
              <w:rPr>
                <w:b/>
                <w:kern w:val="2"/>
                <w:szCs w:val="24"/>
              </w:rPr>
            </w:pPr>
            <w:r>
              <w:rPr>
                <w:b/>
                <w:kern w:val="2"/>
                <w:szCs w:val="24"/>
              </w:rPr>
              <w:t>15. SUTARTIES PRIEDAI</w:t>
            </w:r>
          </w:p>
        </w:tc>
      </w:tr>
      <w:tr w:rsidR="00BD5499" w14:paraId="43B17553" w14:textId="77777777" w:rsidTr="005A7D6E">
        <w:trPr>
          <w:trHeight w:val="300"/>
        </w:trPr>
        <w:tc>
          <w:tcPr>
            <w:tcW w:w="1975" w:type="dxa"/>
          </w:tcPr>
          <w:p w14:paraId="7CFF3567" w14:textId="77777777" w:rsidR="00BD5499" w:rsidRDefault="00BD5499" w:rsidP="00BD5499">
            <w:pPr>
              <w:jc w:val="center"/>
              <w:rPr>
                <w:b/>
                <w:kern w:val="2"/>
                <w:szCs w:val="24"/>
              </w:rPr>
            </w:pPr>
            <w:r>
              <w:rPr>
                <w:b/>
                <w:kern w:val="2"/>
                <w:szCs w:val="24"/>
              </w:rPr>
              <w:t>15.1. Priedas Nr. 1</w:t>
            </w:r>
          </w:p>
        </w:tc>
        <w:tc>
          <w:tcPr>
            <w:tcW w:w="8280" w:type="dxa"/>
            <w:gridSpan w:val="3"/>
          </w:tcPr>
          <w:p w14:paraId="65B09E30" w14:textId="7EBEFCAA" w:rsidR="00BD5499" w:rsidRPr="00081835" w:rsidRDefault="00081835" w:rsidP="00BD5499">
            <w:pPr>
              <w:jc w:val="center"/>
              <w:rPr>
                <w:bCs/>
                <w:kern w:val="2"/>
                <w:szCs w:val="24"/>
              </w:rPr>
            </w:pPr>
            <w:r w:rsidRPr="00081835">
              <w:rPr>
                <w:bCs/>
                <w:kern w:val="2"/>
                <w:szCs w:val="24"/>
              </w:rPr>
              <w:t>Techninė specifikacija</w:t>
            </w:r>
          </w:p>
        </w:tc>
      </w:tr>
      <w:tr w:rsidR="00BD5499" w14:paraId="2CC1D4F0" w14:textId="77777777" w:rsidTr="005A7D6E">
        <w:trPr>
          <w:trHeight w:val="300"/>
        </w:trPr>
        <w:tc>
          <w:tcPr>
            <w:tcW w:w="1975" w:type="dxa"/>
          </w:tcPr>
          <w:p w14:paraId="09EEBB7C" w14:textId="77777777" w:rsidR="00BD5499" w:rsidRDefault="00BD5499" w:rsidP="00BD5499">
            <w:pPr>
              <w:jc w:val="center"/>
              <w:rPr>
                <w:b/>
                <w:kern w:val="2"/>
                <w:szCs w:val="24"/>
              </w:rPr>
            </w:pPr>
            <w:r>
              <w:rPr>
                <w:b/>
                <w:kern w:val="2"/>
                <w:szCs w:val="24"/>
              </w:rPr>
              <w:t>15.2. Priedas Nr. 2</w:t>
            </w:r>
          </w:p>
        </w:tc>
        <w:tc>
          <w:tcPr>
            <w:tcW w:w="8280" w:type="dxa"/>
            <w:gridSpan w:val="3"/>
          </w:tcPr>
          <w:p w14:paraId="269B3EB8" w14:textId="5318F013" w:rsidR="00BD5499" w:rsidRPr="00081835" w:rsidRDefault="00081835" w:rsidP="00BD5499">
            <w:pPr>
              <w:jc w:val="center"/>
              <w:rPr>
                <w:bCs/>
                <w:kern w:val="2"/>
                <w:szCs w:val="24"/>
              </w:rPr>
            </w:pPr>
            <w:r w:rsidRPr="00081835">
              <w:rPr>
                <w:bCs/>
                <w:kern w:val="2"/>
                <w:szCs w:val="24"/>
              </w:rPr>
              <w:t>Pasiūlymas</w:t>
            </w:r>
          </w:p>
        </w:tc>
      </w:tr>
      <w:tr w:rsidR="00BD5499" w14:paraId="58745085" w14:textId="77777777" w:rsidTr="005A7D6E">
        <w:trPr>
          <w:trHeight w:val="300"/>
        </w:trPr>
        <w:tc>
          <w:tcPr>
            <w:tcW w:w="1975" w:type="dxa"/>
          </w:tcPr>
          <w:p w14:paraId="2312C897" w14:textId="77777777" w:rsidR="00BD5499" w:rsidRDefault="00BD5499" w:rsidP="00BD5499">
            <w:pPr>
              <w:jc w:val="center"/>
              <w:rPr>
                <w:b/>
                <w:kern w:val="2"/>
                <w:szCs w:val="24"/>
              </w:rPr>
            </w:pPr>
            <w:r>
              <w:rPr>
                <w:b/>
                <w:kern w:val="2"/>
                <w:szCs w:val="24"/>
              </w:rPr>
              <w:t>15.3. Priedas Nr. 3</w:t>
            </w:r>
          </w:p>
        </w:tc>
        <w:tc>
          <w:tcPr>
            <w:tcW w:w="8280" w:type="dxa"/>
            <w:gridSpan w:val="3"/>
          </w:tcPr>
          <w:p w14:paraId="22A614AF" w14:textId="24C20321" w:rsidR="00BD5499" w:rsidRPr="00081835" w:rsidRDefault="00081835" w:rsidP="00BD5499">
            <w:pPr>
              <w:jc w:val="center"/>
              <w:rPr>
                <w:bCs/>
                <w:kern w:val="2"/>
                <w:szCs w:val="24"/>
              </w:rPr>
            </w:pPr>
            <w:r w:rsidRPr="00081835">
              <w:rPr>
                <w:bCs/>
                <w:kern w:val="2"/>
                <w:szCs w:val="24"/>
              </w:rPr>
              <w:t>Pasiūlymo priedas Nr. 1</w:t>
            </w:r>
          </w:p>
        </w:tc>
      </w:tr>
      <w:tr w:rsidR="00BD5499" w14:paraId="49AEEE04" w14:textId="77777777" w:rsidTr="005A7D6E">
        <w:trPr>
          <w:trHeight w:val="300"/>
        </w:trPr>
        <w:tc>
          <w:tcPr>
            <w:tcW w:w="1975" w:type="dxa"/>
          </w:tcPr>
          <w:p w14:paraId="0141DB15" w14:textId="77777777" w:rsidR="00BD5499" w:rsidRDefault="00BD5499" w:rsidP="00BD5499">
            <w:pPr>
              <w:jc w:val="center"/>
              <w:rPr>
                <w:b/>
                <w:kern w:val="2"/>
                <w:szCs w:val="24"/>
              </w:rPr>
            </w:pPr>
            <w:r>
              <w:rPr>
                <w:b/>
                <w:kern w:val="2"/>
                <w:szCs w:val="24"/>
              </w:rPr>
              <w:t>15.4. Priedas Nr. 4</w:t>
            </w:r>
          </w:p>
        </w:tc>
        <w:tc>
          <w:tcPr>
            <w:tcW w:w="8280" w:type="dxa"/>
            <w:gridSpan w:val="3"/>
          </w:tcPr>
          <w:p w14:paraId="567E6329" w14:textId="488EF1A4" w:rsidR="00BD5499" w:rsidRPr="00081835" w:rsidRDefault="00081835" w:rsidP="00BD5499">
            <w:pPr>
              <w:jc w:val="center"/>
              <w:rPr>
                <w:bCs/>
                <w:kern w:val="2"/>
                <w:szCs w:val="24"/>
              </w:rPr>
            </w:pPr>
            <w:r w:rsidRPr="00081835">
              <w:rPr>
                <w:bCs/>
                <w:kern w:val="2"/>
                <w:szCs w:val="24"/>
              </w:rPr>
              <w:t>Pasiūlymo priedas Nr. 2</w:t>
            </w:r>
          </w:p>
        </w:tc>
      </w:tr>
      <w:tr w:rsidR="00BD5499" w14:paraId="64E7ECA8" w14:textId="77777777" w:rsidTr="005A7D6E">
        <w:trPr>
          <w:trHeight w:val="300"/>
        </w:trPr>
        <w:tc>
          <w:tcPr>
            <w:tcW w:w="1975" w:type="dxa"/>
          </w:tcPr>
          <w:p w14:paraId="56EDF7C1" w14:textId="77777777" w:rsidR="00BD5499" w:rsidRDefault="00BD5499" w:rsidP="00BD5499">
            <w:pPr>
              <w:jc w:val="center"/>
              <w:rPr>
                <w:b/>
                <w:kern w:val="2"/>
                <w:szCs w:val="24"/>
              </w:rPr>
            </w:pPr>
            <w:r>
              <w:rPr>
                <w:b/>
                <w:kern w:val="2"/>
                <w:szCs w:val="24"/>
              </w:rPr>
              <w:t>15.5. Priedas Nr. 5</w:t>
            </w:r>
          </w:p>
        </w:tc>
        <w:tc>
          <w:tcPr>
            <w:tcW w:w="8280" w:type="dxa"/>
            <w:gridSpan w:val="3"/>
          </w:tcPr>
          <w:p w14:paraId="02467AF6" w14:textId="77777777" w:rsidR="00BD5499" w:rsidRDefault="00BD5499" w:rsidP="00BD5499">
            <w:pPr>
              <w:jc w:val="center"/>
              <w:rPr>
                <w:b/>
                <w:kern w:val="2"/>
                <w:szCs w:val="24"/>
              </w:rPr>
            </w:pPr>
          </w:p>
        </w:tc>
      </w:tr>
      <w:tr w:rsidR="00BD5499" w14:paraId="278F6726" w14:textId="77777777" w:rsidTr="009C1B70">
        <w:tc>
          <w:tcPr>
            <w:tcW w:w="10255" w:type="dxa"/>
            <w:gridSpan w:val="4"/>
          </w:tcPr>
          <w:p w14:paraId="306ED934" w14:textId="77777777" w:rsidR="00BD5499" w:rsidRDefault="00BD5499" w:rsidP="00BD5499">
            <w:pPr>
              <w:jc w:val="center"/>
              <w:rPr>
                <w:b/>
                <w:kern w:val="2"/>
                <w:szCs w:val="24"/>
              </w:rPr>
            </w:pPr>
            <w:r>
              <w:rPr>
                <w:b/>
                <w:kern w:val="2"/>
                <w:szCs w:val="24"/>
              </w:rPr>
              <w:t>16. ŠALIŲ ATSTOVŲ PARAŠAI</w:t>
            </w:r>
          </w:p>
        </w:tc>
      </w:tr>
      <w:tr w:rsidR="00BD5499" w14:paraId="1A4801F8" w14:textId="77777777" w:rsidTr="009C1B70">
        <w:tc>
          <w:tcPr>
            <w:tcW w:w="4208" w:type="dxa"/>
            <w:gridSpan w:val="3"/>
          </w:tcPr>
          <w:p w14:paraId="4374ECAE" w14:textId="77777777" w:rsidR="00BD5499" w:rsidRDefault="00BD5499" w:rsidP="00BD5499">
            <w:pPr>
              <w:jc w:val="center"/>
              <w:rPr>
                <w:b/>
                <w:kern w:val="2"/>
                <w:szCs w:val="24"/>
              </w:rPr>
            </w:pPr>
            <w:r>
              <w:rPr>
                <w:b/>
                <w:kern w:val="2"/>
                <w:szCs w:val="24"/>
              </w:rPr>
              <w:t>PIRKĖJAS</w:t>
            </w:r>
          </w:p>
        </w:tc>
        <w:tc>
          <w:tcPr>
            <w:tcW w:w="6047" w:type="dxa"/>
          </w:tcPr>
          <w:p w14:paraId="77A89ACF" w14:textId="77777777" w:rsidR="00BD5499" w:rsidRDefault="00BD5499" w:rsidP="00BD5499">
            <w:pPr>
              <w:jc w:val="center"/>
              <w:rPr>
                <w:b/>
                <w:kern w:val="2"/>
                <w:szCs w:val="24"/>
              </w:rPr>
            </w:pPr>
            <w:r>
              <w:rPr>
                <w:b/>
                <w:kern w:val="2"/>
                <w:szCs w:val="24"/>
              </w:rPr>
              <w:t>TIEKĖJAS</w:t>
            </w:r>
          </w:p>
        </w:tc>
      </w:tr>
      <w:tr w:rsidR="00BD5499" w14:paraId="21CAB534" w14:textId="77777777" w:rsidTr="009C1B70">
        <w:tc>
          <w:tcPr>
            <w:tcW w:w="4208" w:type="dxa"/>
            <w:gridSpan w:val="3"/>
          </w:tcPr>
          <w:p w14:paraId="578049DB" w14:textId="77777777" w:rsidR="00BD5499" w:rsidRDefault="00BD5499" w:rsidP="00BD5499">
            <w:pPr>
              <w:jc w:val="center"/>
              <w:rPr>
                <w:color w:val="4472C4"/>
                <w:kern w:val="2"/>
                <w:szCs w:val="24"/>
              </w:rPr>
            </w:pPr>
            <w:r>
              <w:rPr>
                <w:color w:val="4472C4"/>
                <w:kern w:val="2"/>
                <w:szCs w:val="24"/>
              </w:rPr>
              <w:t>(nurodomos atstovo pareigos, vardas, pavardė)</w:t>
            </w:r>
          </w:p>
        </w:tc>
        <w:tc>
          <w:tcPr>
            <w:tcW w:w="6047" w:type="dxa"/>
          </w:tcPr>
          <w:p w14:paraId="6F9E2A53" w14:textId="77777777" w:rsidR="00BD5499" w:rsidRDefault="00BD5499" w:rsidP="00BD5499">
            <w:pPr>
              <w:jc w:val="center"/>
              <w:rPr>
                <w:b/>
                <w:kern w:val="2"/>
                <w:szCs w:val="24"/>
              </w:rPr>
            </w:pPr>
            <w:r>
              <w:rPr>
                <w:color w:val="4472C4"/>
                <w:kern w:val="2"/>
                <w:szCs w:val="24"/>
              </w:rPr>
              <w:t>(nurodomos atstovo pareigos, vardas, pavardė)</w:t>
            </w:r>
          </w:p>
        </w:tc>
      </w:tr>
      <w:tr w:rsidR="00BD5499" w14:paraId="0C834F1B" w14:textId="77777777" w:rsidTr="009C1B70">
        <w:tc>
          <w:tcPr>
            <w:tcW w:w="4208" w:type="dxa"/>
            <w:gridSpan w:val="3"/>
          </w:tcPr>
          <w:p w14:paraId="789659E3" w14:textId="77777777" w:rsidR="00BD5499" w:rsidRDefault="00BD5499" w:rsidP="00BD5499">
            <w:pPr>
              <w:jc w:val="center"/>
              <w:rPr>
                <w:b/>
                <w:color w:val="4472C4"/>
                <w:kern w:val="2"/>
                <w:szCs w:val="24"/>
              </w:rPr>
            </w:pPr>
          </w:p>
          <w:p w14:paraId="3B035D0A" w14:textId="77777777" w:rsidR="00BD5499" w:rsidRDefault="00BD5499" w:rsidP="00BD5499">
            <w:pPr>
              <w:jc w:val="center"/>
              <w:rPr>
                <w:b/>
                <w:color w:val="4472C4"/>
                <w:kern w:val="2"/>
                <w:szCs w:val="24"/>
              </w:rPr>
            </w:pPr>
            <w:r>
              <w:rPr>
                <w:b/>
                <w:color w:val="4472C4"/>
                <w:kern w:val="2"/>
                <w:szCs w:val="24"/>
              </w:rPr>
              <w:t>(parašas)</w:t>
            </w:r>
          </w:p>
          <w:p w14:paraId="0B1520FA" w14:textId="77777777" w:rsidR="00BD5499" w:rsidRDefault="00BD5499" w:rsidP="00BD5499">
            <w:pPr>
              <w:jc w:val="center"/>
              <w:rPr>
                <w:b/>
                <w:color w:val="4472C4"/>
                <w:kern w:val="2"/>
                <w:szCs w:val="24"/>
              </w:rPr>
            </w:pPr>
          </w:p>
          <w:p w14:paraId="449ED037" w14:textId="77777777" w:rsidR="00BD5499" w:rsidRDefault="00BD5499" w:rsidP="00BD5499">
            <w:pPr>
              <w:jc w:val="center"/>
              <w:rPr>
                <w:b/>
                <w:color w:val="4472C4"/>
                <w:kern w:val="2"/>
                <w:szCs w:val="24"/>
              </w:rPr>
            </w:pPr>
          </w:p>
        </w:tc>
        <w:tc>
          <w:tcPr>
            <w:tcW w:w="6047" w:type="dxa"/>
          </w:tcPr>
          <w:p w14:paraId="1BA6AD11" w14:textId="77777777" w:rsidR="00BD5499" w:rsidRDefault="00BD5499" w:rsidP="00BD5499">
            <w:pPr>
              <w:jc w:val="center"/>
              <w:rPr>
                <w:b/>
                <w:color w:val="4472C4"/>
                <w:kern w:val="2"/>
                <w:szCs w:val="24"/>
              </w:rPr>
            </w:pPr>
          </w:p>
          <w:p w14:paraId="644A2BE8" w14:textId="77777777" w:rsidR="00BD5499" w:rsidRDefault="00BD5499" w:rsidP="00BD5499">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122CD" w14:textId="77777777" w:rsidR="00AD2D68" w:rsidRDefault="00AD2D68">
      <w:pPr>
        <w:rPr>
          <w:sz w:val="20"/>
        </w:rPr>
      </w:pPr>
      <w:r>
        <w:rPr>
          <w:sz w:val="20"/>
        </w:rPr>
        <w:separator/>
      </w:r>
    </w:p>
  </w:endnote>
  <w:endnote w:type="continuationSeparator" w:id="0">
    <w:p w14:paraId="3B2A9F6D" w14:textId="77777777" w:rsidR="00AD2D68" w:rsidRDefault="00AD2D68">
      <w:pPr>
        <w:rPr>
          <w:sz w:val="20"/>
        </w:rPr>
      </w:pPr>
      <w:r>
        <w:rPr>
          <w:sz w:val="20"/>
        </w:rPr>
        <w:continuationSeparator/>
      </w:r>
    </w:p>
  </w:endnote>
  <w:endnote w:type="continuationNotice" w:id="1">
    <w:p w14:paraId="578E38B8" w14:textId="77777777" w:rsidR="00AD2D68" w:rsidRDefault="00AD2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AEE61" w14:textId="77777777" w:rsidR="00AD2D68" w:rsidRDefault="00AD2D68">
      <w:pPr>
        <w:rPr>
          <w:sz w:val="20"/>
        </w:rPr>
      </w:pPr>
      <w:r>
        <w:rPr>
          <w:sz w:val="20"/>
        </w:rPr>
        <w:separator/>
      </w:r>
    </w:p>
  </w:footnote>
  <w:footnote w:type="continuationSeparator" w:id="0">
    <w:p w14:paraId="436B7C71" w14:textId="77777777" w:rsidR="00AD2D68" w:rsidRDefault="00AD2D68">
      <w:pPr>
        <w:rPr>
          <w:sz w:val="20"/>
        </w:rPr>
      </w:pPr>
      <w:r>
        <w:rPr>
          <w:sz w:val="20"/>
        </w:rPr>
        <w:continuationSeparator/>
      </w:r>
    </w:p>
  </w:footnote>
  <w:footnote w:type="continuationNotice" w:id="1">
    <w:p w14:paraId="2CC995B6" w14:textId="77777777" w:rsidR="00AD2D68" w:rsidRDefault="00AD2D68"/>
  </w:footnote>
  <w:footnote w:id="2">
    <w:p w14:paraId="7658F2AC" w14:textId="77777777" w:rsidR="00BE36F6" w:rsidRPr="00A474D3" w:rsidRDefault="00BE36F6" w:rsidP="00BE36F6">
      <w:pPr>
        <w:pStyle w:val="Puslapioinaostekstas"/>
        <w:jc w:val="both"/>
      </w:pPr>
      <w:r w:rsidRPr="00A474D3">
        <w:rPr>
          <w:rStyle w:val="Puslapioinaosnuoroda"/>
        </w:rPr>
        <w:footnoteRef/>
      </w:r>
      <w:r w:rsidRPr="00A474D3">
        <w:t xml:space="preserve"> </w:t>
      </w:r>
      <w:r w:rsidRPr="00A474D3">
        <w:rPr>
          <w:color w:val="000000"/>
        </w:rPr>
        <w:t>Pirkimo vykdytojas pirkimo dokumentuose ir sutartyje gali numatyti, kad, esant poreikiui, gali įsigyti prekių ir (ar) paslaugų sąraše nenurodytų, tačiau su pirkimo objektu susijusių prekių ir (ar) paslaugų (</w:t>
      </w:r>
      <w:r w:rsidRPr="00A474D3">
        <w:rPr>
          <w:i/>
          <w:iCs/>
          <w:color w:val="000000"/>
        </w:rPr>
        <w:t>pavyzdžiui, pašto, kurjerių, telefoninio ryšio paslaugos į nenumatytas sutartyje šalis</w:t>
      </w:r>
      <w:r w:rsidRPr="00A474D3">
        <w:rPr>
          <w:color w:val="000000"/>
        </w:rPr>
        <w:t>) neviršijant 10 procentų pradinės sutarties vertės. Tiek pirkimo dokumentuose, tiek sutartyje turi būti nurodyta, kad už prekių ir (ar) paslaugų sąraše nenurodytas, tačiau su pirkimo objektu susijusias prekes ir (ar) paslaugas bus apmokėta ne didesnėmis nei užsakymo dieną Vykdytojo  prekybos vietoje, kataloge ar interneto svetainėje nurodytomis galiojančiomis šių prekių ir (ar) paslaugų kainomis arba, jei tokios kainos neskelbiamos, Vykdytojo  pasiūlytomis, konkurencingomis ir rinką atitinkančiomis kainomis.</w:t>
      </w:r>
    </w:p>
  </w:footnote>
  <w:footnote w:id="3">
    <w:p w14:paraId="15394386" w14:textId="77777777" w:rsidR="001440FF" w:rsidRPr="00DD3583" w:rsidRDefault="001440FF" w:rsidP="00052CBF">
      <w:pPr>
        <w:pStyle w:val="Puslapioinaostekstas"/>
        <w:jc w:val="both"/>
      </w:pPr>
      <w:r>
        <w:rPr>
          <w:rStyle w:val="Puslapioinaosnuoroda"/>
        </w:rPr>
        <w:footnoteRef/>
      </w:r>
      <w:r>
        <w:t xml:space="preserve"> </w:t>
      </w:r>
      <w:r w:rsidRPr="00C016C9">
        <w:rPr>
          <w:bCs/>
        </w:rPr>
        <w:t xml:space="preserve">Nurodyti preliminarūs </w:t>
      </w:r>
      <w:r w:rsidRPr="00C016C9">
        <w:rPr>
          <w:b/>
          <w:bCs/>
        </w:rPr>
        <w:t>paslaugų kiekiai</w:t>
      </w:r>
      <w:r w:rsidRPr="00C016C9">
        <w:rPr>
          <w:bCs/>
        </w:rPr>
        <w:t>. Perkančioji organizacija neįsipareigoja įsigyti nurodytų kiekių. Paslaugos bus užsakomos pagal Perkančiosios organizacijos poreikį.</w:t>
      </w:r>
    </w:p>
  </w:footnote>
  <w:footnote w:id="4">
    <w:p w14:paraId="0A4D49E1" w14:textId="77777777" w:rsidR="009A08F9" w:rsidRPr="00F5620B" w:rsidRDefault="009A08F9" w:rsidP="005053EA">
      <w:pPr>
        <w:pStyle w:val="Puslapioinaostekstas"/>
        <w:jc w:val="both"/>
      </w:pPr>
      <w:r w:rsidRPr="00C016C9">
        <w:rPr>
          <w:rStyle w:val="Puslapioinaosnuoroda"/>
          <w:rFonts w:eastAsia="SimSun"/>
        </w:rPr>
        <w:footnoteRef/>
      </w:r>
      <w:r w:rsidRPr="00C016C9">
        <w:t xml:space="preserve"> </w:t>
      </w:r>
      <w:r w:rsidRPr="00C016C9">
        <w:rPr>
          <w:bCs/>
        </w:rPr>
        <w:t xml:space="preserve">Nurodyti preliminarūs </w:t>
      </w:r>
      <w:r w:rsidRPr="00C016C9">
        <w:rPr>
          <w:b/>
          <w:bCs/>
        </w:rPr>
        <w:t>paslaugų kiekiai</w:t>
      </w:r>
      <w:r w:rsidRPr="00C016C9">
        <w:rPr>
          <w:bCs/>
        </w:rPr>
        <w:t>. Perkančioji organizacija neįsipareigoja įsigyti nurodytų kiekių. Paslaugos bus užsakomos pagal Perkančiosios organizacijos p</w:t>
      </w:r>
      <w:bookmarkStart w:id="0" w:name="_Hlk130481894"/>
      <w:bookmarkStart w:id="1" w:name="_Hlk130481895"/>
      <w:r w:rsidRPr="00C016C9">
        <w:rPr>
          <w:bCs/>
        </w:rPr>
        <w:t>oreikį.</w:t>
      </w:r>
      <w:bookmarkEnd w:id="0"/>
      <w:bookmarkEnd w:id="1"/>
    </w:p>
  </w:footnote>
  <w:footnote w:id="5">
    <w:p w14:paraId="4555D3EF" w14:textId="1BAE6CDA" w:rsidR="007C3B7B" w:rsidRPr="007C3B7B" w:rsidRDefault="007C3B7B" w:rsidP="00AF0B6E">
      <w:pPr>
        <w:pStyle w:val="Puslapioinaostekstas"/>
        <w:jc w:val="both"/>
      </w:pPr>
      <w:r>
        <w:rPr>
          <w:rStyle w:val="Puslapioinaosnuoroda"/>
        </w:rPr>
        <w:footnoteRef/>
      </w:r>
      <w:r>
        <w:t xml:space="preserve"> </w:t>
      </w:r>
      <w:r w:rsidRPr="007C3B7B">
        <w:rPr>
          <w:szCs w:val="24"/>
        </w:rPr>
        <w:t>Galimybė skambinti trečioms šalims trumpaisiais numeriais (pvz. pagalba, taksi, bankams).</w:t>
      </w:r>
    </w:p>
  </w:footnote>
  <w:footnote w:id="6">
    <w:p w14:paraId="2064CD5C" w14:textId="0A7CD230" w:rsidR="007C3B7B" w:rsidRPr="007C3B7B" w:rsidRDefault="007C3B7B" w:rsidP="00AF0B6E">
      <w:pPr>
        <w:pStyle w:val="Puslapioinaostekstas"/>
        <w:jc w:val="both"/>
        <w:rPr>
          <w:lang w:val="en-US"/>
        </w:rPr>
      </w:pPr>
      <w:r w:rsidRPr="007C3B7B">
        <w:rPr>
          <w:rStyle w:val="Puslapioinaosnuoroda"/>
        </w:rPr>
        <w:footnoteRef/>
      </w:r>
      <w:r w:rsidRPr="007C3B7B">
        <w:t xml:space="preserve"> </w:t>
      </w:r>
      <w:r w:rsidRPr="007C3B7B">
        <w:rPr>
          <w:szCs w:val="24"/>
        </w:rPr>
        <w:t>Galimybė sumokėti SMS žinute ar kitu būdu (naudojant judriojo ryšio paslaugas) už automobilio stovėjimą</w:t>
      </w:r>
      <w:r>
        <w:rPr>
          <w:szCs w:val="24"/>
        </w:rPr>
        <w:t>.</w:t>
      </w:r>
    </w:p>
  </w:footnote>
  <w:footnote w:id="7">
    <w:p w14:paraId="215B6035" w14:textId="2A7548CB" w:rsidR="002C645E" w:rsidRPr="00AF0B6E" w:rsidRDefault="002C645E" w:rsidP="00AF0B6E">
      <w:pPr>
        <w:pStyle w:val="Puslapioinaostekstas"/>
        <w:jc w:val="both"/>
        <w:rPr>
          <w:lang w:val="en-US"/>
        </w:rPr>
      </w:pPr>
      <w:r>
        <w:rPr>
          <w:rStyle w:val="Puslapioinaosnuoroda"/>
        </w:rPr>
        <w:footnoteRef/>
      </w:r>
      <w:r>
        <w:t xml:space="preserve"> </w:t>
      </w:r>
      <w:r w:rsidRPr="00AF0B6E">
        <w:rPr>
          <w:szCs w:val="24"/>
        </w:rPr>
        <w:t xml:space="preserve">Duomenų perdavimas </w:t>
      </w:r>
      <w:r w:rsidRPr="00AF0B6E">
        <w:rPr>
          <w:b/>
          <w:bCs/>
          <w:szCs w:val="24"/>
        </w:rPr>
        <w:t>ne ES valstybėse</w:t>
      </w:r>
      <w:r w:rsidRPr="00AF0B6E">
        <w:rPr>
          <w:szCs w:val="24"/>
        </w:rPr>
        <w:t xml:space="preserve"> ir ne Europos ekonominės erdvės valstybėse paslaugos (internetas telefone)</w:t>
      </w:r>
      <w:r w:rsidR="00AF0B6E">
        <w:rPr>
          <w:szCs w:val="24"/>
        </w:rPr>
        <w:t>.</w:t>
      </w:r>
    </w:p>
  </w:footnote>
  <w:footnote w:id="8">
    <w:p w14:paraId="3E246531" w14:textId="625C219B" w:rsidR="00BE1518" w:rsidRPr="00BE1518" w:rsidRDefault="00BE1518" w:rsidP="00AF0B6E">
      <w:pPr>
        <w:pStyle w:val="Puslapioinaostekstas"/>
        <w:jc w:val="both"/>
        <w:rPr>
          <w:lang w:val="en-US"/>
        </w:rPr>
      </w:pPr>
      <w:r w:rsidRPr="00AF0B6E">
        <w:rPr>
          <w:rStyle w:val="Puslapioinaosnuoroda"/>
        </w:rPr>
        <w:footnoteRef/>
      </w:r>
      <w:r w:rsidRPr="00AF0B6E">
        <w:t xml:space="preserve"> </w:t>
      </w:r>
      <w:r w:rsidRPr="00AF0B6E">
        <w:rPr>
          <w:szCs w:val="24"/>
        </w:rPr>
        <w:t>Kitos susijusios paslaugos, kurios yra susijusios su judriojo ryšio paslaugomis ir (ar) būtinos tinkamam Paslaugų suteikimui</w:t>
      </w:r>
      <w:r>
        <w:rPr>
          <w:color w:val="EE0000"/>
          <w:szCs w:val="24"/>
        </w:rPr>
        <w:t>.</w:t>
      </w:r>
    </w:p>
  </w:footnote>
  <w:footnote w:id="9">
    <w:p w14:paraId="50E455B0" w14:textId="77777777" w:rsidR="002A7A20" w:rsidRPr="00F5620B" w:rsidRDefault="002A7A20" w:rsidP="004B11C7">
      <w:pPr>
        <w:pStyle w:val="Puslapioinaostekstas"/>
        <w:jc w:val="both"/>
      </w:pPr>
      <w:r w:rsidRPr="00C016C9">
        <w:rPr>
          <w:rStyle w:val="Puslapioinaosnuoroda"/>
          <w:rFonts w:eastAsia="SimSun"/>
        </w:rPr>
        <w:footnoteRef/>
      </w:r>
      <w:r w:rsidRPr="00C016C9">
        <w:t xml:space="preserve"> </w:t>
      </w:r>
      <w:r w:rsidRPr="00C016C9">
        <w:rPr>
          <w:bCs/>
        </w:rPr>
        <w:t xml:space="preserve">Nurodyti preliminarūs </w:t>
      </w:r>
      <w:r w:rsidRPr="00C016C9">
        <w:rPr>
          <w:b/>
          <w:bCs/>
        </w:rPr>
        <w:t>paslaugų kiekiai</w:t>
      </w:r>
      <w:r w:rsidRPr="00C016C9">
        <w:rPr>
          <w:bCs/>
        </w:rPr>
        <w:t>. Perkančioji organizacija neįsipareigoja įsigyti nurodytų kiekių. Paslaugos bus užsakomos pagal Perkančiosios organizacijos poreikį.</w:t>
      </w:r>
    </w:p>
  </w:footnote>
  <w:footnote w:id="10">
    <w:p w14:paraId="7FE4B035" w14:textId="77777777" w:rsidR="002A7A20" w:rsidRPr="00F5620B" w:rsidRDefault="002A7A20" w:rsidP="00D2243D">
      <w:pPr>
        <w:pStyle w:val="Puslapioinaostekstas"/>
        <w:jc w:val="both"/>
      </w:pPr>
      <w:r w:rsidRPr="00C016C9">
        <w:rPr>
          <w:rStyle w:val="Puslapioinaosnuoroda"/>
          <w:rFonts w:eastAsia="SimSun"/>
        </w:rPr>
        <w:footnoteRef/>
      </w:r>
      <w:r w:rsidRPr="00C016C9">
        <w:t xml:space="preserve"> </w:t>
      </w:r>
      <w:r w:rsidRPr="00C016C9">
        <w:rPr>
          <w:bCs/>
        </w:rPr>
        <w:t>Perkančioji organizacija neįsipareigoja įsigyti nurodytų kiekių. Paslaugos bus užsakomos pagal Perkančiosios organizacijos poreikį.</w:t>
      </w:r>
    </w:p>
  </w:footnote>
  <w:footnote w:id="11">
    <w:p w14:paraId="33F23697" w14:textId="43AA033C" w:rsidR="00F936E5" w:rsidRPr="00F936E5" w:rsidRDefault="00F936E5" w:rsidP="00100DAD">
      <w:pPr>
        <w:pStyle w:val="Puslapioinaostekstas"/>
        <w:jc w:val="both"/>
      </w:pPr>
      <w:r>
        <w:rPr>
          <w:rStyle w:val="Puslapioinaosnuoroda"/>
        </w:rPr>
        <w:footnoteRef/>
      </w:r>
      <w:r>
        <w:t xml:space="preserve"> </w:t>
      </w:r>
      <w:proofErr w:type="spellStart"/>
      <w:r>
        <w:rPr>
          <w:lang w:eastAsia="ar-SA"/>
        </w:rPr>
        <w:t>Pi</w:t>
      </w:r>
      <w:r w:rsidRPr="00F936E5">
        <w:rPr>
          <w:lang w:eastAsia="ar-SA"/>
        </w:rPr>
        <w:t>irmo</w:t>
      </w:r>
      <w:proofErr w:type="spellEnd"/>
      <w:r w:rsidRPr="00F936E5">
        <w:rPr>
          <w:lang w:eastAsia="ar-SA"/>
        </w:rPr>
        <w:t xml:space="preserve"> lygio </w:t>
      </w:r>
      <w:r>
        <w:rPr>
          <w:lang w:eastAsia="ar-SA"/>
        </w:rPr>
        <w:t>k</w:t>
      </w:r>
      <w:r w:rsidRPr="00F936E5">
        <w:rPr>
          <w:lang w:eastAsia="ar-SA"/>
        </w:rPr>
        <w:t>onsultantų skaičius Paslaugų teikimo metu gali kisti, tačiau bendras pirmo lygio ir antro lygio konsultantų skaičius negali viršyti 60 konsultantų</w:t>
      </w:r>
      <w:r w:rsidR="00100DAD">
        <w:rPr>
          <w:lang w:eastAsia="ar-SA"/>
        </w:rPr>
        <w:t xml:space="preserve"> skaičiaus</w:t>
      </w:r>
      <w:r w:rsidRPr="00F936E5">
        <w:rPr>
          <w:lang w:eastAsia="ar-SA"/>
        </w:rPr>
        <w:t xml:space="preserve"> Sutarties galiojimo laikotarpiu (pvz.: sutarties įsigaliojimo metu būtų užsakoma 20 pirmo lygio konsultantų ir 40 antro lygio konsultantų, sutarties vykdymo eigoje skaičius būtų </w:t>
      </w:r>
      <w:proofErr w:type="spellStart"/>
      <w:r w:rsidRPr="00F936E5">
        <w:rPr>
          <w:lang w:eastAsia="ar-SA"/>
        </w:rPr>
        <w:t>koreaguojamas</w:t>
      </w:r>
      <w:proofErr w:type="spellEnd"/>
      <w:r w:rsidRPr="00F936E5">
        <w:rPr>
          <w:lang w:eastAsia="ar-SA"/>
        </w:rPr>
        <w:t xml:space="preserve"> į pvz. 50 pirmo lygio konsultantų ir 10 antro lygio konsultantų).</w:t>
      </w:r>
    </w:p>
  </w:footnote>
  <w:footnote w:id="12">
    <w:p w14:paraId="64DDB835" w14:textId="30CE25B0" w:rsidR="00F936E5" w:rsidRPr="00F936E5" w:rsidRDefault="00F936E5" w:rsidP="00100DAD">
      <w:pPr>
        <w:pStyle w:val="Puslapioinaostekstas"/>
        <w:jc w:val="both"/>
      </w:pPr>
      <w:r>
        <w:rPr>
          <w:rStyle w:val="Puslapioinaosnuoroda"/>
        </w:rPr>
        <w:footnoteRef/>
      </w:r>
      <w:r w:rsidRPr="00F936E5">
        <w:t xml:space="preserve"> </w:t>
      </w:r>
      <w:r w:rsidRPr="00F936E5">
        <w:rPr>
          <w:lang w:eastAsia="ar-SA"/>
        </w:rPr>
        <w:t>Antro lygio konsultantų skaičius Paslaugų teikimo metu gali kisti, tačiau bendras pirmo lygio ir antro lygio konsultantų skaičius negali viršyti 60 konsultantų</w:t>
      </w:r>
      <w:r w:rsidR="00100DAD">
        <w:rPr>
          <w:lang w:eastAsia="ar-SA"/>
        </w:rPr>
        <w:t xml:space="preserve"> skaičiaus</w:t>
      </w:r>
      <w:r w:rsidRPr="00F936E5">
        <w:rPr>
          <w:lang w:eastAsia="ar-SA"/>
        </w:rPr>
        <w:t xml:space="preserve"> Sutarties galiojimo laikotarpiu (pvz.: sutarties įsigaliojimo metu būtų užsakoma 20 pirmo lygio konsultantų ir 40 antro lygio konsultantų, sutarties vykdymo eigoje skaičius būtų </w:t>
      </w:r>
      <w:proofErr w:type="spellStart"/>
      <w:r w:rsidRPr="00F936E5">
        <w:rPr>
          <w:lang w:eastAsia="ar-SA"/>
        </w:rPr>
        <w:t>koreaguojamas</w:t>
      </w:r>
      <w:proofErr w:type="spellEnd"/>
      <w:r w:rsidRPr="00F936E5">
        <w:rPr>
          <w:lang w:eastAsia="ar-SA"/>
        </w:rPr>
        <w:t xml:space="preserve"> į pvz. 50 pirmo lygio konsultantų ir 10 antro lygio konsultantų).</w:t>
      </w:r>
    </w:p>
  </w:footnote>
  <w:footnote w:id="13">
    <w:p w14:paraId="349929D2" w14:textId="77777777" w:rsidR="00675CFC" w:rsidRPr="00F5620B" w:rsidRDefault="00675CFC" w:rsidP="00852F35">
      <w:pPr>
        <w:pStyle w:val="Puslapioinaostekstas"/>
        <w:jc w:val="both"/>
      </w:pPr>
      <w:r w:rsidRPr="00C016C9">
        <w:rPr>
          <w:rStyle w:val="Puslapioinaosnuoroda"/>
          <w:rFonts w:eastAsia="SimSun"/>
        </w:rPr>
        <w:footnoteRef/>
      </w:r>
      <w:r w:rsidRPr="00C016C9">
        <w:t xml:space="preserve"> </w:t>
      </w:r>
      <w:r w:rsidRPr="00C016C9">
        <w:rPr>
          <w:bCs/>
        </w:rPr>
        <w:t xml:space="preserve">Nurodyti preliminarūs </w:t>
      </w:r>
      <w:r w:rsidRPr="00C016C9">
        <w:rPr>
          <w:b/>
          <w:bCs/>
        </w:rPr>
        <w:t>paslaugų kiekiai</w:t>
      </w:r>
      <w:r w:rsidRPr="00C016C9">
        <w:rPr>
          <w:bCs/>
        </w:rPr>
        <w:t>. Perkančioji organizacija neįsipareigoja įsigyti nurodytų kiekių. Paslaugos bus užsakomos pagal Perkančiosios organizacijos poreikį.</w:t>
      </w:r>
    </w:p>
  </w:footnote>
  <w:footnote w:id="14">
    <w:p w14:paraId="54A0F5C8" w14:textId="77777777" w:rsidR="00674DD8" w:rsidRPr="00F5620B" w:rsidRDefault="00674DD8" w:rsidP="00FF55FE">
      <w:pPr>
        <w:pStyle w:val="Puslapioinaostekstas"/>
        <w:jc w:val="both"/>
      </w:pPr>
      <w:r w:rsidRPr="00C016C9">
        <w:rPr>
          <w:rStyle w:val="Puslapioinaosnuoroda"/>
          <w:rFonts w:eastAsia="SimSun"/>
        </w:rPr>
        <w:footnoteRef/>
      </w:r>
      <w:r w:rsidRPr="00C016C9">
        <w:t xml:space="preserve"> </w:t>
      </w:r>
      <w:r w:rsidRPr="00C016C9">
        <w:rPr>
          <w:bCs/>
        </w:rPr>
        <w:t xml:space="preserve">Nurodyti preliminarūs </w:t>
      </w:r>
      <w:r w:rsidRPr="00C016C9">
        <w:rPr>
          <w:b/>
          <w:bCs/>
        </w:rPr>
        <w:t>paslaugų kiekiai</w:t>
      </w:r>
      <w:r w:rsidRPr="00C016C9">
        <w:rPr>
          <w:bCs/>
        </w:rPr>
        <w:t>. Perkančioji organizacija neįsipareigoja įsigyti nurodytų kiekių. Paslaugos bus užsakomos pagal Perkančiosios organizacijos poreikį.</w:t>
      </w:r>
    </w:p>
  </w:footnote>
  <w:footnote w:id="15">
    <w:p w14:paraId="311095FF" w14:textId="77777777" w:rsidR="00BD5499" w:rsidRDefault="00BD5499" w:rsidP="00112177">
      <w:pPr>
        <w:pStyle w:val="Puslapioinaostekstas"/>
        <w:jc w:val="both"/>
      </w:pPr>
      <w:r>
        <w:rPr>
          <w:rStyle w:val="Puslapioinaosnuoroda"/>
        </w:rPr>
        <w:footnoteRef/>
      </w:r>
      <w:r>
        <w:t xml:space="preserve"> </w:t>
      </w:r>
      <w:r>
        <w:t>T</w:t>
      </w:r>
      <w:r w:rsidRPr="00813C98">
        <w:t>iekėjas jeigu specialistai tenkina jiems keliamus reikalavimus gali būti keičiami rolėse</w:t>
      </w:r>
      <w:r>
        <w:t xml:space="preserv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Pr="00BE36F6" w:rsidRDefault="000B0897">
    <w:pPr>
      <w:tabs>
        <w:tab w:val="center" w:pos="4680"/>
        <w:tab w:val="right" w:pos="9360"/>
      </w:tabs>
      <w:jc w:val="center"/>
      <w:rPr>
        <w:rFonts w:eastAsia="Arial"/>
        <w:sz w:val="18"/>
        <w:szCs w:val="18"/>
      </w:rPr>
    </w:pPr>
    <w:r w:rsidRPr="00BE36F6">
      <w:rPr>
        <w:rFonts w:eastAsia="Arial"/>
        <w:sz w:val="18"/>
        <w:szCs w:val="18"/>
      </w:rPr>
      <w:fldChar w:fldCharType="begin"/>
    </w:r>
    <w:r w:rsidRPr="00BE36F6">
      <w:rPr>
        <w:rFonts w:eastAsia="Arial"/>
        <w:sz w:val="18"/>
        <w:szCs w:val="18"/>
      </w:rPr>
      <w:instrText>PAGE   \* MERGEFORMAT</w:instrText>
    </w:r>
    <w:r w:rsidRPr="00BE36F6">
      <w:rPr>
        <w:rFonts w:eastAsia="Arial"/>
        <w:sz w:val="18"/>
        <w:szCs w:val="18"/>
      </w:rPr>
      <w:fldChar w:fldCharType="separate"/>
    </w:r>
    <w:r w:rsidR="009728BC" w:rsidRPr="00BE36F6">
      <w:rPr>
        <w:rFonts w:eastAsia="Arial"/>
        <w:noProof/>
        <w:sz w:val="18"/>
        <w:szCs w:val="18"/>
      </w:rPr>
      <w:t>28</w:t>
    </w:r>
    <w:r w:rsidRPr="00BE36F6">
      <w:rPr>
        <w:rFonts w:eastAsia="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F44"/>
    <w:multiLevelType w:val="hybridMultilevel"/>
    <w:tmpl w:val="CF3E2D48"/>
    <w:lvl w:ilvl="0" w:tplc="B336BF5C">
      <w:start w:val="1"/>
      <w:numFmt w:val="lowerLetter"/>
      <w:lvlText w:val="%1)"/>
      <w:lvlJc w:val="left"/>
      <w:pPr>
        <w:ind w:left="1211" w:hanging="360"/>
      </w:pPr>
      <w:rPr>
        <w:rFonts w:hint="default"/>
        <w:b w:val="0"/>
        <w:bCs w:val="0"/>
        <w:i w:val="0"/>
        <w:i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F951CF"/>
    <w:multiLevelType w:val="hybridMultilevel"/>
    <w:tmpl w:val="F4FE457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ADA0B83"/>
    <w:multiLevelType w:val="multilevel"/>
    <w:tmpl w:val="A74ECAB8"/>
    <w:lvl w:ilvl="0">
      <w:start w:val="4"/>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3E4A6C"/>
    <w:multiLevelType w:val="multilevel"/>
    <w:tmpl w:val="8F0667C8"/>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07408A"/>
    <w:multiLevelType w:val="hybridMultilevel"/>
    <w:tmpl w:val="021A0A16"/>
    <w:lvl w:ilvl="0" w:tplc="06543066">
      <w:start w:val="8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9D4D3F"/>
    <w:multiLevelType w:val="multilevel"/>
    <w:tmpl w:val="50FC3582"/>
    <w:lvl w:ilvl="0">
      <w:start w:val="3"/>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2EA05942"/>
    <w:multiLevelType w:val="hybridMultilevel"/>
    <w:tmpl w:val="C05E9228"/>
    <w:lvl w:ilvl="0" w:tplc="E3C475A6">
      <w:start w:val="1"/>
      <w:numFmt w:val="low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3401579C"/>
    <w:multiLevelType w:val="hybridMultilevel"/>
    <w:tmpl w:val="6D4C85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A0722A"/>
    <w:multiLevelType w:val="hybridMultilevel"/>
    <w:tmpl w:val="88465D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8450D2E"/>
    <w:multiLevelType w:val="multilevel"/>
    <w:tmpl w:val="9D541FEA"/>
    <w:lvl w:ilvl="0">
      <w:start w:val="5"/>
      <w:numFmt w:val="decimal"/>
      <w:lvlText w:val="%1."/>
      <w:lvlJc w:val="left"/>
      <w:pPr>
        <w:ind w:left="540" w:hanging="540"/>
      </w:pPr>
      <w:rPr>
        <w:rFonts w:hint="default"/>
        <w:color w:val="auto"/>
      </w:rPr>
    </w:lvl>
    <w:lvl w:ilvl="1">
      <w:start w:val="5"/>
      <w:numFmt w:val="decimal"/>
      <w:lvlText w:val="%1.%2."/>
      <w:lvlJc w:val="left"/>
      <w:pPr>
        <w:ind w:left="540" w:hanging="540"/>
      </w:pPr>
      <w:rPr>
        <w:rFonts w:hint="default"/>
        <w:color w:val="auto"/>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5FF929C6"/>
    <w:multiLevelType w:val="hybridMultilevel"/>
    <w:tmpl w:val="6D4C85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CF45C7"/>
    <w:multiLevelType w:val="multilevel"/>
    <w:tmpl w:val="337218F4"/>
    <w:lvl w:ilvl="0">
      <w:start w:val="4"/>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7516641">
    <w:abstractNumId w:val="8"/>
  </w:num>
  <w:num w:numId="2" w16cid:durableId="865799096">
    <w:abstractNumId w:val="10"/>
  </w:num>
  <w:num w:numId="3" w16cid:durableId="312835724">
    <w:abstractNumId w:val="1"/>
  </w:num>
  <w:num w:numId="4" w16cid:durableId="973870478">
    <w:abstractNumId w:val="7"/>
  </w:num>
  <w:num w:numId="5" w16cid:durableId="1361391124">
    <w:abstractNumId w:val="4"/>
  </w:num>
  <w:num w:numId="6" w16cid:durableId="1490319381">
    <w:abstractNumId w:val="2"/>
  </w:num>
  <w:num w:numId="7" w16cid:durableId="538393432">
    <w:abstractNumId w:val="6"/>
  </w:num>
  <w:num w:numId="8" w16cid:durableId="686106023">
    <w:abstractNumId w:val="0"/>
  </w:num>
  <w:num w:numId="9" w16cid:durableId="1342396621">
    <w:abstractNumId w:val="9"/>
  </w:num>
  <w:num w:numId="10" w16cid:durableId="1971667544">
    <w:abstractNumId w:val="3"/>
  </w:num>
  <w:num w:numId="11" w16cid:durableId="362678748">
    <w:abstractNumId w:val="5"/>
  </w:num>
  <w:num w:numId="12" w16cid:durableId="15632544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8FD"/>
    <w:rsid w:val="00027B83"/>
    <w:rsid w:val="000319C4"/>
    <w:rsid w:val="00040845"/>
    <w:rsid w:val="000439AA"/>
    <w:rsid w:val="0005334F"/>
    <w:rsid w:val="00060B84"/>
    <w:rsid w:val="00071EB7"/>
    <w:rsid w:val="00081835"/>
    <w:rsid w:val="000A4B6E"/>
    <w:rsid w:val="000B0897"/>
    <w:rsid w:val="000C24D1"/>
    <w:rsid w:val="00100DAD"/>
    <w:rsid w:val="00104987"/>
    <w:rsid w:val="00105619"/>
    <w:rsid w:val="001157D0"/>
    <w:rsid w:val="00132E9A"/>
    <w:rsid w:val="001440FF"/>
    <w:rsid w:val="00166993"/>
    <w:rsid w:val="00184E0B"/>
    <w:rsid w:val="00190098"/>
    <w:rsid w:val="001954E4"/>
    <w:rsid w:val="001A6D76"/>
    <w:rsid w:val="001A7F8D"/>
    <w:rsid w:val="001B4641"/>
    <w:rsid w:val="001D291C"/>
    <w:rsid w:val="001E596A"/>
    <w:rsid w:val="002010A5"/>
    <w:rsid w:val="00207A09"/>
    <w:rsid w:val="00215940"/>
    <w:rsid w:val="00216314"/>
    <w:rsid w:val="00280D59"/>
    <w:rsid w:val="002A7A20"/>
    <w:rsid w:val="002B1201"/>
    <w:rsid w:val="002B378F"/>
    <w:rsid w:val="002B45B2"/>
    <w:rsid w:val="002C645E"/>
    <w:rsid w:val="002E302D"/>
    <w:rsid w:val="002F2552"/>
    <w:rsid w:val="002F3E4E"/>
    <w:rsid w:val="00310889"/>
    <w:rsid w:val="00310F3C"/>
    <w:rsid w:val="00335DB9"/>
    <w:rsid w:val="00355CF6"/>
    <w:rsid w:val="00384E4B"/>
    <w:rsid w:val="00393A16"/>
    <w:rsid w:val="003A1239"/>
    <w:rsid w:val="003A7F79"/>
    <w:rsid w:val="003F6DAE"/>
    <w:rsid w:val="003F73B7"/>
    <w:rsid w:val="00402199"/>
    <w:rsid w:val="00425E82"/>
    <w:rsid w:val="00427057"/>
    <w:rsid w:val="00476B7B"/>
    <w:rsid w:val="0049584F"/>
    <w:rsid w:val="004B252E"/>
    <w:rsid w:val="004D361D"/>
    <w:rsid w:val="004F3C9F"/>
    <w:rsid w:val="00501F63"/>
    <w:rsid w:val="005213C6"/>
    <w:rsid w:val="00527F15"/>
    <w:rsid w:val="00545279"/>
    <w:rsid w:val="00555B85"/>
    <w:rsid w:val="0059560A"/>
    <w:rsid w:val="005A3C20"/>
    <w:rsid w:val="005A7D6E"/>
    <w:rsid w:val="005E328C"/>
    <w:rsid w:val="00674DD8"/>
    <w:rsid w:val="00675CFC"/>
    <w:rsid w:val="006A0D32"/>
    <w:rsid w:val="006C79AA"/>
    <w:rsid w:val="006F0803"/>
    <w:rsid w:val="006F5143"/>
    <w:rsid w:val="0072042D"/>
    <w:rsid w:val="00730037"/>
    <w:rsid w:val="00745D97"/>
    <w:rsid w:val="00746157"/>
    <w:rsid w:val="007621BC"/>
    <w:rsid w:val="007A75C6"/>
    <w:rsid w:val="007B6BF0"/>
    <w:rsid w:val="007C18FF"/>
    <w:rsid w:val="007C3B7B"/>
    <w:rsid w:val="007E026D"/>
    <w:rsid w:val="00823304"/>
    <w:rsid w:val="0083118A"/>
    <w:rsid w:val="008428D9"/>
    <w:rsid w:val="008446AC"/>
    <w:rsid w:val="0086018B"/>
    <w:rsid w:val="00863E27"/>
    <w:rsid w:val="0087534A"/>
    <w:rsid w:val="008956B7"/>
    <w:rsid w:val="0089796F"/>
    <w:rsid w:val="008A01B7"/>
    <w:rsid w:val="008E0543"/>
    <w:rsid w:val="008E7094"/>
    <w:rsid w:val="008E7C05"/>
    <w:rsid w:val="008F69F1"/>
    <w:rsid w:val="00951D02"/>
    <w:rsid w:val="00955C2E"/>
    <w:rsid w:val="009728BC"/>
    <w:rsid w:val="00973ECF"/>
    <w:rsid w:val="00995A40"/>
    <w:rsid w:val="00995C7B"/>
    <w:rsid w:val="009A08F9"/>
    <w:rsid w:val="009C1548"/>
    <w:rsid w:val="009C1B70"/>
    <w:rsid w:val="009C5A99"/>
    <w:rsid w:val="009D73BD"/>
    <w:rsid w:val="009E460C"/>
    <w:rsid w:val="009F14A4"/>
    <w:rsid w:val="00A11AF0"/>
    <w:rsid w:val="00A30549"/>
    <w:rsid w:val="00A5148A"/>
    <w:rsid w:val="00A569F0"/>
    <w:rsid w:val="00A916EA"/>
    <w:rsid w:val="00A96A9A"/>
    <w:rsid w:val="00AA654C"/>
    <w:rsid w:val="00AC137D"/>
    <w:rsid w:val="00AD2D68"/>
    <w:rsid w:val="00AF0B6E"/>
    <w:rsid w:val="00B111CD"/>
    <w:rsid w:val="00B3134F"/>
    <w:rsid w:val="00B36563"/>
    <w:rsid w:val="00B46F6F"/>
    <w:rsid w:val="00B50AD2"/>
    <w:rsid w:val="00B52F63"/>
    <w:rsid w:val="00B5544B"/>
    <w:rsid w:val="00B719CB"/>
    <w:rsid w:val="00B9163E"/>
    <w:rsid w:val="00BA3CBA"/>
    <w:rsid w:val="00BC6209"/>
    <w:rsid w:val="00BD5499"/>
    <w:rsid w:val="00BE1518"/>
    <w:rsid w:val="00BE36F6"/>
    <w:rsid w:val="00BF0B31"/>
    <w:rsid w:val="00C369FE"/>
    <w:rsid w:val="00C74FA2"/>
    <w:rsid w:val="00CB368A"/>
    <w:rsid w:val="00D236F3"/>
    <w:rsid w:val="00D3533F"/>
    <w:rsid w:val="00D4743C"/>
    <w:rsid w:val="00D80BB8"/>
    <w:rsid w:val="00DA4E0C"/>
    <w:rsid w:val="00DB65C4"/>
    <w:rsid w:val="00DC742A"/>
    <w:rsid w:val="00DD309B"/>
    <w:rsid w:val="00DE55E9"/>
    <w:rsid w:val="00E73FC6"/>
    <w:rsid w:val="00E87CCB"/>
    <w:rsid w:val="00F07554"/>
    <w:rsid w:val="00F077C3"/>
    <w:rsid w:val="00F22958"/>
    <w:rsid w:val="00F409B2"/>
    <w:rsid w:val="00F502B3"/>
    <w:rsid w:val="00F60BD9"/>
    <w:rsid w:val="00F8622D"/>
    <w:rsid w:val="00F936E5"/>
    <w:rsid w:val="00FD6CC8"/>
    <w:rsid w:val="00FD7C9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B0BF430-1B6F-4497-8763-A6CCFD25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Lentele,punktai"/>
    <w:basedOn w:val="prastasis"/>
    <w:link w:val="SraopastraipaDiagrama"/>
    <w:uiPriority w:val="34"/>
    <w:qFormat/>
    <w:rsid w:val="00AA654C"/>
    <w:pPr>
      <w:ind w:left="720"/>
      <w:contextualSpacing/>
    </w:pPr>
  </w:style>
  <w:style w:type="paragraph" w:styleId="Komentarotekstas">
    <w:name w:val="annotation text"/>
    <w:basedOn w:val="prastasis"/>
    <w:link w:val="KomentarotekstasDiagrama"/>
    <w:uiPriority w:val="99"/>
    <w:unhideWhenUsed/>
    <w:rsid w:val="00AA654C"/>
    <w:pPr>
      <w:spacing w:after="160"/>
    </w:pPr>
    <w:rPr>
      <w:rFonts w:asciiTheme="minorHAnsi" w:eastAsia="SimSun" w:hAnsiTheme="minorHAnsi" w:cstheme="minorBidi"/>
      <w:sz w:val="20"/>
    </w:rPr>
  </w:style>
  <w:style w:type="character" w:customStyle="1" w:styleId="KomentarotekstasDiagrama">
    <w:name w:val="Komentaro tekstas Diagrama"/>
    <w:basedOn w:val="Numatytasispastraiposriftas"/>
    <w:link w:val="Komentarotekstas"/>
    <w:uiPriority w:val="99"/>
    <w:rsid w:val="00AA654C"/>
    <w:rPr>
      <w:rFonts w:asciiTheme="minorHAnsi" w:eastAsia="SimSun" w:hAnsiTheme="minorHAnsi" w:cstheme="minorBidi"/>
      <w:sz w:val="20"/>
    </w:rPr>
  </w:style>
  <w:style w:type="character" w:customStyle="1" w:styleId="cf01">
    <w:name w:val="cf01"/>
    <w:basedOn w:val="Numatytasispastraiposriftas"/>
    <w:rsid w:val="004F3C9F"/>
    <w:rPr>
      <w:rFonts w:ascii="Segoe UI" w:hAnsi="Segoe UI" w:cs="Segoe UI" w:hint="default"/>
      <w:sz w:val="18"/>
      <w:szCs w:val="18"/>
    </w:rPr>
  </w:style>
  <w:style w:type="paragraph" w:customStyle="1" w:styleId="pf0">
    <w:name w:val="pf0"/>
    <w:basedOn w:val="prastasis"/>
    <w:rsid w:val="00BD5499"/>
    <w:pPr>
      <w:spacing w:before="100" w:beforeAutospacing="1" w:after="100" w:afterAutospacing="1"/>
    </w:pPr>
    <w:rPr>
      <w:szCs w:val="24"/>
      <w:lang w:eastAsia="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BD5499"/>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BD5499"/>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BD5499"/>
    <w:rPr>
      <w:vertAlign w:val="superscript"/>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555B85"/>
  </w:style>
  <w:style w:type="character" w:styleId="Komentaronuoroda">
    <w:name w:val="annotation reference"/>
    <w:basedOn w:val="Numatytasispastraiposriftas"/>
    <w:semiHidden/>
    <w:unhideWhenUsed/>
    <w:rsid w:val="00995C7B"/>
    <w:rPr>
      <w:sz w:val="16"/>
      <w:szCs w:val="16"/>
    </w:rPr>
  </w:style>
  <w:style w:type="paragraph" w:styleId="Komentarotema">
    <w:name w:val="annotation subject"/>
    <w:basedOn w:val="Komentarotekstas"/>
    <w:next w:val="Komentarotekstas"/>
    <w:link w:val="KomentarotemaDiagrama"/>
    <w:semiHidden/>
    <w:unhideWhenUsed/>
    <w:rsid w:val="00995C7B"/>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semiHidden/>
    <w:rsid w:val="00995C7B"/>
    <w:rPr>
      <w:rFonts w:asciiTheme="minorHAnsi" w:eastAsia="SimSun" w:hAnsiTheme="minorHAnsi" w:cstheme="minorBidi"/>
      <w:b/>
      <w:bCs/>
      <w:sz w:val="20"/>
    </w:rPr>
  </w:style>
  <w:style w:type="table" w:styleId="Lentelstinklelis">
    <w:name w:val="Table Grid"/>
    <w:basedOn w:val="prastojilentel"/>
    <w:uiPriority w:val="59"/>
    <w:rsid w:val="00995A40"/>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19</Pages>
  <Words>26236</Words>
  <Characters>14956</Characters>
  <Application>Microsoft Office Word</Application>
  <DocSecurity>0</DocSecurity>
  <Lines>124</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Jolanta Pavlovskienė</cp:lastModifiedBy>
  <cp:revision>6</cp:revision>
  <dcterms:created xsi:type="dcterms:W3CDTF">2025-09-26T10:12:00Z</dcterms:created>
  <dcterms:modified xsi:type="dcterms:W3CDTF">2025-09-29T06:25:00Z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