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Pr="000D05F6" w:rsidRDefault="00F113D0" w:rsidP="00311E1C">
      <w:pPr>
        <w:pStyle w:val="NoSpacing"/>
        <w:jc w:val="both"/>
        <w:rPr>
          <w:rFonts w:ascii="Arial" w:hAnsi="Arial" w:cs="Arial"/>
        </w:rPr>
      </w:pPr>
    </w:p>
    <w:p w14:paraId="2A85B1B1" w14:textId="77777777" w:rsidR="00311E1C" w:rsidRPr="000D05F6" w:rsidRDefault="00311E1C" w:rsidP="00311E1C">
      <w:pPr>
        <w:pStyle w:val="NoSpacing"/>
        <w:jc w:val="both"/>
        <w:rPr>
          <w:rFonts w:ascii="Arial" w:hAnsi="Arial" w:cs="Arial"/>
        </w:rPr>
      </w:pPr>
    </w:p>
    <w:p w14:paraId="71E6E20E" w14:textId="77777777" w:rsidR="00311E1C" w:rsidRPr="000D05F6" w:rsidRDefault="00311E1C" w:rsidP="00311E1C">
      <w:pPr>
        <w:pStyle w:val="NoSpacing"/>
        <w:jc w:val="both"/>
        <w:rPr>
          <w:rFonts w:ascii="Arial" w:hAnsi="Arial" w:cs="Arial"/>
        </w:rPr>
      </w:pPr>
    </w:p>
    <w:p w14:paraId="7DC51A6C" w14:textId="45A35372" w:rsidR="00163795" w:rsidRPr="000D05F6" w:rsidRDefault="004C1979" w:rsidP="00BC7AA3">
      <w:pPr>
        <w:jc w:val="right"/>
        <w:rPr>
          <w:rFonts w:ascii="Arial" w:hAnsi="Arial" w:cs="Arial"/>
          <w:sz w:val="22"/>
          <w:szCs w:val="22"/>
          <w:lang w:val="lt-LT"/>
        </w:rPr>
      </w:pPr>
      <w:r w:rsidRPr="000D05F6">
        <w:rPr>
          <w:rFonts w:ascii="Arial" w:hAnsi="Arial" w:cs="Arial"/>
          <w:b/>
          <w:bCs/>
          <w:sz w:val="22"/>
          <w:szCs w:val="22"/>
          <w:lang w:val="lt-LT"/>
        </w:rPr>
        <w:t>202</w:t>
      </w:r>
      <w:r w:rsidR="00FB018D" w:rsidRPr="000D05F6">
        <w:rPr>
          <w:rFonts w:ascii="Arial" w:hAnsi="Arial" w:cs="Arial"/>
          <w:b/>
          <w:bCs/>
          <w:sz w:val="22"/>
          <w:szCs w:val="22"/>
          <w:lang w:val="lt-LT"/>
        </w:rPr>
        <w:t>5</w:t>
      </w:r>
      <w:r w:rsidRPr="000D05F6">
        <w:rPr>
          <w:rFonts w:ascii="Arial" w:hAnsi="Arial" w:cs="Arial"/>
          <w:b/>
          <w:bCs/>
          <w:sz w:val="22"/>
          <w:szCs w:val="22"/>
          <w:lang w:val="lt-LT"/>
        </w:rPr>
        <w:t>-</w:t>
      </w:r>
      <w:r w:rsidR="00BC7AA3" w:rsidRPr="000D05F6">
        <w:rPr>
          <w:rFonts w:ascii="Arial" w:hAnsi="Arial" w:cs="Arial"/>
          <w:b/>
          <w:bCs/>
          <w:sz w:val="22"/>
          <w:szCs w:val="22"/>
          <w:lang w:val="lt-LT"/>
        </w:rPr>
        <w:t>09-</w:t>
      </w:r>
      <w:r w:rsidR="00D616BF">
        <w:rPr>
          <w:rFonts w:ascii="Arial" w:hAnsi="Arial" w:cs="Arial"/>
          <w:b/>
          <w:bCs/>
          <w:sz w:val="22"/>
          <w:szCs w:val="22"/>
          <w:lang w:val="lt-LT"/>
        </w:rPr>
        <w:t>29</w:t>
      </w:r>
    </w:p>
    <w:p w14:paraId="03C57EF6" w14:textId="77777777" w:rsidR="00163795" w:rsidRPr="000D05F6" w:rsidRDefault="00163795" w:rsidP="00163795">
      <w:pPr>
        <w:rPr>
          <w:rFonts w:ascii="Arial" w:hAnsi="Arial" w:cs="Arial"/>
          <w:sz w:val="22"/>
          <w:szCs w:val="22"/>
          <w:lang w:val="lt-LT"/>
        </w:rPr>
      </w:pPr>
    </w:p>
    <w:p w14:paraId="10BCE261" w14:textId="77777777" w:rsidR="00163795" w:rsidRPr="000D05F6" w:rsidRDefault="00163795" w:rsidP="00163795">
      <w:pPr>
        <w:rPr>
          <w:rFonts w:ascii="Arial" w:hAnsi="Arial" w:cs="Arial"/>
          <w:b/>
          <w:bCs/>
          <w:sz w:val="22"/>
          <w:szCs w:val="22"/>
          <w:lang w:val="lt-LT"/>
        </w:rPr>
      </w:pPr>
    </w:p>
    <w:p w14:paraId="42A37426" w14:textId="55F2691E" w:rsidR="004C1979" w:rsidRPr="000D05F6" w:rsidRDefault="004C1979" w:rsidP="004C1979">
      <w:pPr>
        <w:rPr>
          <w:rFonts w:ascii="Arial" w:hAnsi="Arial" w:cs="Arial"/>
          <w:b/>
          <w:bCs/>
          <w:sz w:val="22"/>
          <w:szCs w:val="22"/>
          <w:lang w:val="lt-LT"/>
        </w:rPr>
      </w:pPr>
      <w:r w:rsidRPr="000D05F6">
        <w:rPr>
          <w:rFonts w:ascii="Arial" w:hAnsi="Arial" w:cs="Arial"/>
          <w:b/>
          <w:bCs/>
          <w:sz w:val="22"/>
          <w:szCs w:val="22"/>
          <w:lang w:val="lt-LT"/>
        </w:rPr>
        <w:t>DĖL PIRKIMO DOKUMENTŲ PAAIŠKINIMO / PATIKSLINIMO Nr.</w:t>
      </w:r>
      <w:r w:rsidR="00BC7AA3" w:rsidRPr="000D05F6">
        <w:rPr>
          <w:rFonts w:ascii="Arial" w:hAnsi="Arial" w:cs="Arial"/>
          <w:b/>
          <w:bCs/>
          <w:sz w:val="22"/>
          <w:szCs w:val="22"/>
          <w:lang w:val="lt-LT"/>
        </w:rPr>
        <w:t>1</w:t>
      </w:r>
    </w:p>
    <w:p w14:paraId="1AB90FC5" w14:textId="77777777" w:rsidR="00163795" w:rsidRPr="000D05F6" w:rsidRDefault="00163795" w:rsidP="00163795">
      <w:pPr>
        <w:rPr>
          <w:rFonts w:ascii="Arial" w:hAnsi="Arial" w:cs="Arial"/>
          <w:sz w:val="22"/>
          <w:szCs w:val="22"/>
          <w:lang w:val="lt-LT"/>
        </w:rPr>
      </w:pPr>
    </w:p>
    <w:p w14:paraId="489EA8E5" w14:textId="78DF2E7C" w:rsidR="00163795" w:rsidRPr="000D05F6" w:rsidRDefault="00163795" w:rsidP="00E8158A">
      <w:pPr>
        <w:pStyle w:val="BodyText"/>
        <w:ind w:firstLine="360"/>
        <w:jc w:val="both"/>
        <w:rPr>
          <w:rFonts w:ascii="Arial" w:hAnsi="Arial" w:cs="Arial"/>
          <w:sz w:val="22"/>
          <w:szCs w:val="22"/>
        </w:rPr>
      </w:pPr>
      <w:r w:rsidRPr="000D05F6">
        <w:rPr>
          <w:rFonts w:ascii="Arial" w:hAnsi="Arial" w:cs="Arial"/>
          <w:bCs/>
          <w:sz w:val="22"/>
          <w:szCs w:val="22"/>
        </w:rPr>
        <w:t xml:space="preserve">Akcinė bendrovė </w:t>
      </w:r>
      <w:r w:rsidR="00C1542C" w:rsidRPr="000D05F6">
        <w:rPr>
          <w:rFonts w:ascii="Arial" w:hAnsi="Arial" w:cs="Arial"/>
          <w:bCs/>
          <w:sz w:val="22"/>
          <w:szCs w:val="22"/>
        </w:rPr>
        <w:t>„</w:t>
      </w:r>
      <w:r w:rsidR="009633D2" w:rsidRPr="000D05F6">
        <w:rPr>
          <w:rFonts w:ascii="Arial" w:hAnsi="Arial" w:cs="Arial"/>
          <w:bCs/>
          <w:sz w:val="22"/>
          <w:szCs w:val="22"/>
        </w:rPr>
        <w:t>Via Lietuva</w:t>
      </w:r>
      <w:r w:rsidR="00C1542C" w:rsidRPr="000D05F6">
        <w:rPr>
          <w:rFonts w:ascii="Arial" w:hAnsi="Arial" w:cs="Arial"/>
          <w:bCs/>
          <w:sz w:val="22"/>
          <w:szCs w:val="22"/>
        </w:rPr>
        <w:t>“</w:t>
      </w:r>
      <w:r w:rsidRPr="000D05F6">
        <w:rPr>
          <w:rFonts w:ascii="Arial" w:hAnsi="Arial" w:cs="Arial"/>
          <w:bCs/>
          <w:sz w:val="22"/>
          <w:szCs w:val="22"/>
        </w:rPr>
        <w:t xml:space="preserve"> </w:t>
      </w:r>
      <w:r w:rsidR="00410FE7" w:rsidRPr="000D05F6">
        <w:rPr>
          <w:rFonts w:ascii="Arial" w:hAnsi="Arial" w:cs="Arial"/>
          <w:bCs/>
          <w:sz w:val="22"/>
          <w:szCs w:val="22"/>
        </w:rPr>
        <w:t xml:space="preserve">(toliau – Perkančioji organizacija) </w:t>
      </w:r>
      <w:r w:rsidRPr="000D05F6">
        <w:rPr>
          <w:rFonts w:ascii="Arial" w:hAnsi="Arial" w:cs="Arial"/>
          <w:bCs/>
          <w:sz w:val="22"/>
          <w:szCs w:val="22"/>
        </w:rPr>
        <w:t>gavo suinteresuot</w:t>
      </w:r>
      <w:r w:rsidR="00C1542C" w:rsidRPr="000D05F6">
        <w:rPr>
          <w:rFonts w:ascii="Arial" w:hAnsi="Arial" w:cs="Arial"/>
          <w:bCs/>
          <w:sz w:val="22"/>
          <w:szCs w:val="22"/>
        </w:rPr>
        <w:t>o</w:t>
      </w:r>
      <w:r w:rsidRPr="000D05F6">
        <w:rPr>
          <w:rFonts w:ascii="Arial" w:hAnsi="Arial" w:cs="Arial"/>
          <w:bCs/>
          <w:sz w:val="22"/>
          <w:szCs w:val="22"/>
        </w:rPr>
        <w:t xml:space="preserve"> tiekėj</w:t>
      </w:r>
      <w:r w:rsidR="009633D2" w:rsidRPr="000D05F6">
        <w:rPr>
          <w:rFonts w:ascii="Arial" w:hAnsi="Arial" w:cs="Arial"/>
          <w:bCs/>
          <w:sz w:val="22"/>
          <w:szCs w:val="22"/>
        </w:rPr>
        <w:t>o</w:t>
      </w:r>
      <w:r w:rsidRPr="000D05F6">
        <w:rPr>
          <w:rFonts w:ascii="Arial" w:hAnsi="Arial" w:cs="Arial"/>
          <w:bCs/>
          <w:sz w:val="22"/>
          <w:szCs w:val="22"/>
        </w:rPr>
        <w:t xml:space="preserve"> klausim</w:t>
      </w:r>
      <w:r w:rsidR="009633D2" w:rsidRPr="000D05F6">
        <w:rPr>
          <w:rFonts w:ascii="Arial" w:hAnsi="Arial" w:cs="Arial"/>
          <w:bCs/>
          <w:sz w:val="22"/>
          <w:szCs w:val="22"/>
        </w:rPr>
        <w:t>ą</w:t>
      </w:r>
      <w:r w:rsidRPr="000D05F6">
        <w:rPr>
          <w:rFonts w:ascii="Arial" w:hAnsi="Arial" w:cs="Arial"/>
          <w:bCs/>
          <w:sz w:val="22"/>
          <w:szCs w:val="22"/>
        </w:rPr>
        <w:t xml:space="preserve"> dėl </w:t>
      </w:r>
      <w:r w:rsidR="00DD76A6" w:rsidRPr="000D05F6">
        <w:rPr>
          <w:rFonts w:ascii="Arial" w:hAnsi="Arial" w:cs="Arial"/>
          <w:bCs/>
          <w:sz w:val="22"/>
          <w:szCs w:val="22"/>
        </w:rPr>
        <w:t>vykdomo pirkimo</w:t>
      </w:r>
      <w:r w:rsidRPr="000D05F6">
        <w:rPr>
          <w:rFonts w:ascii="Arial" w:hAnsi="Arial" w:cs="Arial"/>
          <w:b/>
          <w:sz w:val="22"/>
          <w:szCs w:val="22"/>
        </w:rPr>
        <w:t xml:space="preserve"> </w:t>
      </w:r>
      <w:r w:rsidR="007B6CE1" w:rsidRPr="000D05F6">
        <w:rPr>
          <w:rFonts w:ascii="Arial" w:hAnsi="Arial" w:cs="Arial"/>
          <w:b/>
          <w:bCs/>
          <w:sz w:val="22"/>
          <w:szCs w:val="22"/>
        </w:rPr>
        <w:t>Valstybinės reikšmės krašto kelio Nr. 102 Vilnius–Švenčionys–Zarasai ruožo nuo 46,235 iki 47,854 km rekonstravimas, sutvarkant pėsčiųjų ir dviračių takus </w:t>
      </w:r>
      <w:r w:rsidR="00804C67" w:rsidRPr="000D05F6">
        <w:rPr>
          <w:rFonts w:ascii="Arial" w:hAnsi="Arial" w:cs="Arial"/>
          <w:b/>
          <w:bCs/>
          <w:sz w:val="22"/>
          <w:szCs w:val="22"/>
        </w:rPr>
        <w:t xml:space="preserve"> </w:t>
      </w:r>
      <w:r w:rsidRPr="000D05F6">
        <w:rPr>
          <w:rFonts w:ascii="Arial" w:hAnsi="Arial" w:cs="Arial"/>
          <w:sz w:val="22"/>
          <w:szCs w:val="22"/>
        </w:rPr>
        <w:t xml:space="preserve">(CVP IS </w:t>
      </w:r>
      <w:r w:rsidR="00A72F0E" w:rsidRPr="000D05F6">
        <w:rPr>
          <w:rFonts w:ascii="Arial" w:hAnsi="Arial" w:cs="Arial"/>
          <w:sz w:val="22"/>
          <w:szCs w:val="22"/>
        </w:rPr>
        <w:t>ID</w:t>
      </w:r>
      <w:r w:rsidRPr="000D05F6">
        <w:rPr>
          <w:rFonts w:ascii="Arial" w:hAnsi="Arial" w:cs="Arial"/>
          <w:sz w:val="22"/>
          <w:szCs w:val="22"/>
        </w:rPr>
        <w:t xml:space="preserve"> </w:t>
      </w:r>
      <w:r w:rsidR="007B6CE1" w:rsidRPr="000D05F6">
        <w:rPr>
          <w:rFonts w:ascii="Arial" w:hAnsi="Arial" w:cs="Arial"/>
          <w:sz w:val="22"/>
          <w:szCs w:val="22"/>
        </w:rPr>
        <w:t>4243990</w:t>
      </w:r>
      <w:r w:rsidR="00A3601F" w:rsidRPr="000D05F6">
        <w:rPr>
          <w:rFonts w:ascii="Arial" w:hAnsi="Arial" w:cs="Arial"/>
          <w:bCs/>
          <w:sz w:val="22"/>
          <w:szCs w:val="22"/>
        </w:rPr>
        <w:t>),</w:t>
      </w:r>
      <w:r w:rsidRPr="000D05F6">
        <w:rPr>
          <w:rFonts w:ascii="Arial" w:hAnsi="Arial" w:cs="Arial"/>
          <w:bCs/>
          <w:sz w:val="22"/>
          <w:szCs w:val="22"/>
        </w:rPr>
        <w:t xml:space="preserve"> </w:t>
      </w:r>
      <w:r w:rsidR="00A3601F" w:rsidRPr="000D05F6">
        <w:rPr>
          <w:rFonts w:ascii="Arial" w:hAnsi="Arial" w:cs="Arial"/>
          <w:bCs/>
          <w:sz w:val="22"/>
          <w:szCs w:val="22"/>
        </w:rPr>
        <w:t>(</w:t>
      </w:r>
      <w:r w:rsidRPr="000D05F6">
        <w:rPr>
          <w:rFonts w:ascii="Arial" w:hAnsi="Arial" w:cs="Arial"/>
          <w:bCs/>
          <w:sz w:val="22"/>
          <w:szCs w:val="22"/>
        </w:rPr>
        <w:t>toliau</w:t>
      </w:r>
      <w:r w:rsidRPr="000D05F6">
        <w:rPr>
          <w:rFonts w:ascii="Arial" w:hAnsi="Arial" w:cs="Arial"/>
          <w:sz w:val="22"/>
          <w:szCs w:val="22"/>
        </w:rPr>
        <w:t xml:space="preserve"> – </w:t>
      </w:r>
      <w:r w:rsidRPr="000D05F6">
        <w:rPr>
          <w:rFonts w:ascii="Arial" w:hAnsi="Arial" w:cs="Arial"/>
          <w:b/>
          <w:bCs/>
          <w:sz w:val="22"/>
          <w:szCs w:val="22"/>
        </w:rPr>
        <w:t>pirkimas</w:t>
      </w:r>
      <w:r w:rsidRPr="000D05F6">
        <w:rPr>
          <w:rFonts w:ascii="Arial" w:hAnsi="Arial" w:cs="Arial"/>
          <w:sz w:val="22"/>
          <w:szCs w:val="22"/>
        </w:rPr>
        <w:t xml:space="preserve">), atliekamo </w:t>
      </w:r>
      <w:r w:rsidR="00E127CD" w:rsidRPr="000D05F6">
        <w:rPr>
          <w:rFonts w:ascii="Arial" w:hAnsi="Arial" w:cs="Arial"/>
          <w:sz w:val="22"/>
          <w:szCs w:val="22"/>
        </w:rPr>
        <w:t>tarptautinio</w:t>
      </w:r>
      <w:r w:rsidR="00C145F5" w:rsidRPr="000D05F6">
        <w:rPr>
          <w:rFonts w:ascii="Arial" w:hAnsi="Arial" w:cs="Arial"/>
          <w:sz w:val="22"/>
          <w:szCs w:val="22"/>
        </w:rPr>
        <w:t xml:space="preserve"> </w:t>
      </w:r>
      <w:r w:rsidRPr="000D05F6">
        <w:rPr>
          <w:rFonts w:ascii="Arial" w:hAnsi="Arial" w:cs="Arial"/>
          <w:sz w:val="22"/>
          <w:szCs w:val="22"/>
        </w:rPr>
        <w:t>atviro konkurso būdu.</w:t>
      </w:r>
    </w:p>
    <w:p w14:paraId="09C2391A" w14:textId="23EBF086" w:rsidR="00163795" w:rsidRPr="000D05F6" w:rsidRDefault="00312795" w:rsidP="005C7790">
      <w:pPr>
        <w:ind w:firstLine="360"/>
        <w:jc w:val="both"/>
        <w:rPr>
          <w:rFonts w:ascii="Arial" w:hAnsi="Arial" w:cs="Arial"/>
          <w:sz w:val="22"/>
          <w:szCs w:val="22"/>
          <w:lang w:val="lt-LT"/>
        </w:rPr>
      </w:pPr>
      <w:r w:rsidRPr="000D05F6">
        <w:rPr>
          <w:rFonts w:ascii="Arial" w:hAnsi="Arial" w:cs="Arial"/>
          <w:sz w:val="22"/>
          <w:szCs w:val="22"/>
          <w:lang w:val="lt-LT"/>
        </w:rPr>
        <w:t>Perkančioji organizacija</w:t>
      </w:r>
      <w:r w:rsidR="00163795" w:rsidRPr="000D05F6">
        <w:rPr>
          <w:rFonts w:ascii="Arial" w:hAnsi="Arial" w:cs="Arial"/>
          <w:sz w:val="22"/>
          <w:szCs w:val="22"/>
          <w:lang w:val="lt-LT"/>
        </w:rPr>
        <w:t xml:space="preserve"> teikia suinteresuot</w:t>
      </w:r>
      <w:r w:rsidR="0095272C" w:rsidRPr="000D05F6">
        <w:rPr>
          <w:rFonts w:ascii="Arial" w:hAnsi="Arial" w:cs="Arial"/>
          <w:sz w:val="22"/>
          <w:szCs w:val="22"/>
          <w:lang w:val="lt-LT"/>
        </w:rPr>
        <w:t>o</w:t>
      </w:r>
      <w:r w:rsidR="00163795" w:rsidRPr="000D05F6">
        <w:rPr>
          <w:rFonts w:ascii="Arial" w:hAnsi="Arial" w:cs="Arial"/>
          <w:sz w:val="22"/>
          <w:szCs w:val="22"/>
          <w:lang w:val="lt-LT"/>
        </w:rPr>
        <w:t xml:space="preserve"> tiekėj</w:t>
      </w:r>
      <w:r w:rsidR="0095272C" w:rsidRPr="000D05F6">
        <w:rPr>
          <w:rFonts w:ascii="Arial" w:hAnsi="Arial" w:cs="Arial"/>
          <w:sz w:val="22"/>
          <w:szCs w:val="22"/>
          <w:lang w:val="lt-LT"/>
        </w:rPr>
        <w:t>o</w:t>
      </w:r>
      <w:r w:rsidR="00163795" w:rsidRPr="000D05F6">
        <w:rPr>
          <w:rFonts w:ascii="Arial" w:hAnsi="Arial" w:cs="Arial"/>
          <w:sz w:val="22"/>
          <w:szCs w:val="22"/>
          <w:lang w:val="lt-LT"/>
        </w:rPr>
        <w:t xml:space="preserve"> klausim</w:t>
      </w:r>
      <w:r w:rsidR="0095272C" w:rsidRPr="000D05F6">
        <w:rPr>
          <w:rFonts w:ascii="Arial" w:hAnsi="Arial" w:cs="Arial"/>
          <w:sz w:val="22"/>
          <w:szCs w:val="22"/>
          <w:lang w:val="lt-LT"/>
        </w:rPr>
        <w:t>ą</w:t>
      </w:r>
      <w:r w:rsidR="00163795" w:rsidRPr="000D05F6">
        <w:rPr>
          <w:rFonts w:ascii="Arial" w:hAnsi="Arial" w:cs="Arial"/>
          <w:sz w:val="22"/>
          <w:szCs w:val="22"/>
          <w:lang w:val="lt-LT"/>
        </w:rPr>
        <w:t xml:space="preserve"> ir atsakym</w:t>
      </w:r>
      <w:r w:rsidR="0095272C" w:rsidRPr="000D05F6">
        <w:rPr>
          <w:rFonts w:ascii="Arial" w:hAnsi="Arial" w:cs="Arial"/>
          <w:sz w:val="22"/>
          <w:szCs w:val="22"/>
          <w:lang w:val="lt-LT"/>
        </w:rPr>
        <w:t>ą</w:t>
      </w:r>
      <w:r w:rsidR="00163795" w:rsidRPr="000D05F6">
        <w:rPr>
          <w:rFonts w:ascii="Arial" w:hAnsi="Arial" w:cs="Arial"/>
          <w:sz w:val="22"/>
          <w:szCs w:val="22"/>
          <w:lang w:val="lt-LT"/>
        </w:rPr>
        <w:t xml:space="preserve"> į j</w:t>
      </w:r>
      <w:r w:rsidR="0095272C" w:rsidRPr="000D05F6">
        <w:rPr>
          <w:rFonts w:ascii="Arial" w:hAnsi="Arial" w:cs="Arial"/>
          <w:sz w:val="22"/>
          <w:szCs w:val="22"/>
          <w:lang w:val="lt-LT"/>
        </w:rPr>
        <w:t>į</w:t>
      </w:r>
      <w:r w:rsidR="00163795" w:rsidRPr="000D05F6">
        <w:rPr>
          <w:rFonts w:ascii="Arial" w:hAnsi="Arial" w:cs="Arial"/>
          <w:sz w:val="22"/>
          <w:szCs w:val="22"/>
          <w:lang w:val="lt-LT"/>
        </w:rPr>
        <w:t>*:</w:t>
      </w:r>
    </w:p>
    <w:tbl>
      <w:tblPr>
        <w:tblStyle w:val="TableGrid"/>
        <w:tblW w:w="0" w:type="auto"/>
        <w:tblLayout w:type="fixed"/>
        <w:tblLook w:val="04A0" w:firstRow="1" w:lastRow="0" w:firstColumn="1" w:lastColumn="0" w:noHBand="0" w:noVBand="1"/>
      </w:tblPr>
      <w:tblGrid>
        <w:gridCol w:w="547"/>
        <w:gridCol w:w="4693"/>
        <w:gridCol w:w="4388"/>
      </w:tblGrid>
      <w:tr w:rsidR="00163795" w:rsidRPr="000D05F6" w14:paraId="785214EE" w14:textId="77777777" w:rsidTr="00B37745">
        <w:tc>
          <w:tcPr>
            <w:tcW w:w="547" w:type="dxa"/>
          </w:tcPr>
          <w:p w14:paraId="7B156119" w14:textId="77777777" w:rsidR="00163795" w:rsidRPr="000D05F6" w:rsidRDefault="00163795" w:rsidP="006817EA">
            <w:pPr>
              <w:jc w:val="center"/>
              <w:rPr>
                <w:rFonts w:ascii="Arial" w:hAnsi="Arial" w:cs="Arial"/>
                <w:sz w:val="22"/>
                <w:szCs w:val="22"/>
                <w:lang w:val="lt-LT"/>
              </w:rPr>
            </w:pPr>
            <w:r w:rsidRPr="000D05F6">
              <w:rPr>
                <w:rFonts w:ascii="Arial" w:hAnsi="Arial" w:cs="Arial"/>
                <w:b/>
                <w:bCs/>
                <w:sz w:val="22"/>
                <w:szCs w:val="22"/>
                <w:lang w:val="lt-LT"/>
              </w:rPr>
              <w:t>Eil. Nr.</w:t>
            </w:r>
          </w:p>
        </w:tc>
        <w:tc>
          <w:tcPr>
            <w:tcW w:w="4693" w:type="dxa"/>
          </w:tcPr>
          <w:p w14:paraId="7E3B074C" w14:textId="77777777" w:rsidR="00163795" w:rsidRPr="000D05F6" w:rsidRDefault="00163795" w:rsidP="006817EA">
            <w:pPr>
              <w:jc w:val="center"/>
              <w:rPr>
                <w:rFonts w:ascii="Arial" w:hAnsi="Arial" w:cs="Arial"/>
                <w:sz w:val="22"/>
                <w:szCs w:val="22"/>
                <w:lang w:val="lt-LT"/>
              </w:rPr>
            </w:pPr>
            <w:r w:rsidRPr="000D05F6">
              <w:rPr>
                <w:rFonts w:ascii="Arial" w:hAnsi="Arial" w:cs="Arial"/>
                <w:b/>
                <w:bCs/>
                <w:sz w:val="22"/>
                <w:szCs w:val="22"/>
                <w:lang w:val="lt-LT"/>
              </w:rPr>
              <w:t>Klausimas</w:t>
            </w:r>
            <w:r w:rsidRPr="000D05F6">
              <w:rPr>
                <w:rFonts w:ascii="Arial" w:hAnsi="Arial" w:cs="Arial"/>
                <w:b/>
                <w:bCs/>
                <w:i/>
                <w:iCs/>
                <w:sz w:val="22"/>
                <w:szCs w:val="22"/>
                <w:lang w:val="lt-LT"/>
              </w:rPr>
              <w:t>**</w:t>
            </w:r>
          </w:p>
        </w:tc>
        <w:tc>
          <w:tcPr>
            <w:tcW w:w="4388" w:type="dxa"/>
          </w:tcPr>
          <w:p w14:paraId="3993DB55" w14:textId="77777777" w:rsidR="00163795" w:rsidRPr="000D05F6" w:rsidRDefault="00163795" w:rsidP="006817EA">
            <w:pPr>
              <w:jc w:val="center"/>
              <w:rPr>
                <w:rFonts w:ascii="Arial" w:hAnsi="Arial" w:cs="Arial"/>
                <w:sz w:val="22"/>
                <w:szCs w:val="22"/>
                <w:lang w:val="lt-LT"/>
              </w:rPr>
            </w:pPr>
            <w:r w:rsidRPr="000D05F6">
              <w:rPr>
                <w:rFonts w:ascii="Arial" w:hAnsi="Arial" w:cs="Arial"/>
                <w:b/>
                <w:bCs/>
                <w:sz w:val="22"/>
                <w:szCs w:val="22"/>
                <w:lang w:val="lt-LT"/>
              </w:rPr>
              <w:t>Atsakymas</w:t>
            </w:r>
          </w:p>
        </w:tc>
      </w:tr>
      <w:tr w:rsidR="000653A1" w:rsidRPr="000D05F6" w14:paraId="6CF8DE0F" w14:textId="77777777" w:rsidTr="00B37745">
        <w:tc>
          <w:tcPr>
            <w:tcW w:w="547" w:type="dxa"/>
          </w:tcPr>
          <w:p w14:paraId="7EAA53ED" w14:textId="0917905F" w:rsidR="000653A1" w:rsidRPr="000D05F6" w:rsidRDefault="000653A1" w:rsidP="006817EA">
            <w:pPr>
              <w:jc w:val="center"/>
              <w:rPr>
                <w:rFonts w:ascii="Arial" w:hAnsi="Arial" w:cs="Arial"/>
                <w:sz w:val="22"/>
                <w:szCs w:val="22"/>
                <w:lang w:val="lt-LT"/>
              </w:rPr>
            </w:pPr>
            <w:r w:rsidRPr="000D05F6">
              <w:rPr>
                <w:rFonts w:ascii="Arial" w:hAnsi="Arial" w:cs="Arial"/>
                <w:sz w:val="22"/>
                <w:szCs w:val="22"/>
                <w:lang w:val="lt-LT"/>
              </w:rPr>
              <w:t>1.</w:t>
            </w:r>
          </w:p>
        </w:tc>
        <w:tc>
          <w:tcPr>
            <w:tcW w:w="4693" w:type="dxa"/>
          </w:tcPr>
          <w:p w14:paraId="5A47D6C2" w14:textId="77777777" w:rsidR="005B5111" w:rsidRPr="000D05F6" w:rsidRDefault="005B5111" w:rsidP="005B5111">
            <w:pPr>
              <w:pStyle w:val="ListParagraph"/>
              <w:numPr>
                <w:ilvl w:val="0"/>
                <w:numId w:val="15"/>
              </w:numPr>
              <w:jc w:val="both"/>
              <w:rPr>
                <w:rFonts w:ascii="Arial" w:hAnsi="Arial" w:cs="Arial"/>
                <w:sz w:val="22"/>
                <w:szCs w:val="22"/>
              </w:rPr>
            </w:pPr>
            <w:r w:rsidRPr="000D05F6">
              <w:rPr>
                <w:rFonts w:ascii="Arial" w:hAnsi="Arial" w:cs="Arial"/>
                <w:sz w:val="22"/>
                <w:szCs w:val="22"/>
              </w:rPr>
              <w:t>Dėl kainos perskaičiavimo</w:t>
            </w:r>
          </w:p>
          <w:p w14:paraId="1106BBA1" w14:textId="77777777" w:rsidR="005B5111" w:rsidRPr="000D05F6" w:rsidRDefault="005B5111" w:rsidP="005B5111">
            <w:pPr>
              <w:jc w:val="both"/>
              <w:rPr>
                <w:rFonts w:ascii="Arial" w:hAnsi="Arial" w:cs="Arial"/>
                <w:sz w:val="22"/>
                <w:szCs w:val="22"/>
                <w:lang w:val="lt-LT"/>
              </w:rPr>
            </w:pPr>
          </w:p>
          <w:p w14:paraId="4A58B939" w14:textId="77777777" w:rsidR="005B5111" w:rsidRPr="000D05F6" w:rsidRDefault="005B5111" w:rsidP="005B5111">
            <w:pPr>
              <w:pStyle w:val="ListParagraph"/>
              <w:spacing w:after="160" w:line="278" w:lineRule="auto"/>
              <w:ind w:left="0" w:firstLine="720"/>
              <w:jc w:val="both"/>
              <w:rPr>
                <w:rFonts w:ascii="Arial" w:hAnsi="Arial" w:cs="Arial"/>
                <w:sz w:val="22"/>
                <w:szCs w:val="22"/>
              </w:rPr>
            </w:pPr>
            <w:r w:rsidRPr="000D05F6">
              <w:rPr>
                <w:rFonts w:ascii="Arial" w:hAnsi="Arial" w:cs="Arial"/>
                <w:sz w:val="22"/>
                <w:szCs w:val="22"/>
                <w:bdr w:val="none" w:sz="0" w:space="0" w:color="auto" w:frame="1"/>
              </w:rPr>
              <w:t>Sutarties projekto 16.1.1 p. numatyta: „</w:t>
            </w:r>
            <w:r w:rsidRPr="000D05F6">
              <w:rPr>
                <w:rFonts w:ascii="Arial" w:hAnsi="Arial" w:cs="Arial"/>
                <w:i/>
                <w:iCs/>
                <w:sz w:val="22"/>
                <w:szCs w:val="22"/>
                <w:bdr w:val="none" w:sz="0" w:space="0" w:color="auto" w:frame="1"/>
              </w:rPr>
              <w:t>16.1.1.</w:t>
            </w:r>
            <w:r w:rsidRPr="000D05F6">
              <w:rPr>
                <w:rFonts w:ascii="Arial" w:hAnsi="Arial" w:cs="Arial"/>
                <w:i/>
                <w:iCs/>
                <w:sz w:val="22"/>
                <w:szCs w:val="22"/>
                <w:bdr w:val="none" w:sz="0" w:space="0" w:color="auto" w:frame="1"/>
              </w:rPr>
              <w:tab/>
              <w:t xml:space="preserve">Sutarties vykdymo laikotarpiu statybos darbų įkainiai pagal statybos sąnaudų elementų kainų pokytį (statinių tipas – Inžineriniai statiniai → Keliai ir gatvės) perskaičiuojami (didinami arba mažinami) ne dažniau kaip kas 6 (šešis) mėnesius, pirmąjį perskaičiavimą atliekant ne anksčiau kaip po 6 (šešių) mėnesių nuo Sutarties įsigaliojimo dienos </w:t>
            </w:r>
            <w:r w:rsidRPr="000D05F6">
              <w:rPr>
                <w:rFonts w:ascii="Arial" w:hAnsi="Arial" w:cs="Arial"/>
                <w:sz w:val="22"/>
                <w:szCs w:val="22"/>
                <w:bdr w:val="none" w:sz="0" w:space="0" w:color="auto" w:frame="1"/>
              </w:rPr>
              <w:t xml:space="preserve">&lt;...&gt;“, </w:t>
            </w:r>
            <w:r w:rsidRPr="000D05F6">
              <w:rPr>
                <w:rFonts w:ascii="Arial" w:hAnsi="Arial" w:cs="Arial"/>
                <w:b/>
                <w:bCs/>
                <w:sz w:val="22"/>
                <w:szCs w:val="22"/>
              </w:rPr>
              <w:t>prašome šį punktą patikslinti</w:t>
            </w:r>
            <w:r w:rsidRPr="000D05F6">
              <w:rPr>
                <w:rFonts w:ascii="Arial" w:hAnsi="Arial" w:cs="Arial"/>
                <w:sz w:val="22"/>
                <w:szCs w:val="22"/>
              </w:rPr>
              <w:t xml:space="preserve"> nurodant, kad: “</w:t>
            </w:r>
            <w:r w:rsidRPr="000D05F6">
              <w:rPr>
                <w:rFonts w:ascii="Arial" w:hAnsi="Arial" w:cs="Arial"/>
                <w:i/>
                <w:iCs/>
                <w:sz w:val="22"/>
                <w:szCs w:val="22"/>
              </w:rPr>
              <w:t>pirmąjį perskaičiavimą atliekant ne anksčiau kaip po 6 (šešių) mėnesių nuo pasiūlymų pateikimo termino pabaigos</w:t>
            </w:r>
            <w:r w:rsidRPr="000D05F6">
              <w:rPr>
                <w:rFonts w:ascii="Arial" w:hAnsi="Arial" w:cs="Arial"/>
                <w:sz w:val="22"/>
                <w:szCs w:val="22"/>
              </w:rPr>
              <w:t>”. Tai lemiančios priežastys ilgai pasiūlymų vertinimo, Sutarties pasirašymo, įsigaliojimo procedūros.</w:t>
            </w:r>
          </w:p>
          <w:p w14:paraId="48C6A037" w14:textId="77777777" w:rsidR="005B5111" w:rsidRPr="000D05F6" w:rsidRDefault="005B5111" w:rsidP="005B5111">
            <w:pPr>
              <w:pStyle w:val="ListParagraph"/>
              <w:spacing w:after="160" w:line="278" w:lineRule="auto"/>
              <w:ind w:left="0"/>
              <w:jc w:val="both"/>
              <w:rPr>
                <w:rFonts w:ascii="Arial" w:hAnsi="Arial" w:cs="Arial"/>
                <w:sz w:val="22"/>
                <w:szCs w:val="22"/>
              </w:rPr>
            </w:pPr>
          </w:p>
          <w:p w14:paraId="2DBC8E97"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4617873D"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5757C5DC"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235222F6"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182A43D8"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57C9BA68"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53148F7A"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31F6EB99"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54F5FA5D"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45CD33BE" w14:textId="77777777" w:rsidR="000D05F6" w:rsidRPr="000D05F6" w:rsidRDefault="000D05F6" w:rsidP="005B5111">
            <w:pPr>
              <w:pStyle w:val="ListParagraph"/>
              <w:spacing w:after="160" w:line="278" w:lineRule="auto"/>
              <w:ind w:left="0"/>
              <w:jc w:val="both"/>
              <w:rPr>
                <w:rFonts w:ascii="Arial" w:hAnsi="Arial" w:cs="Arial"/>
                <w:sz w:val="22"/>
                <w:szCs w:val="22"/>
              </w:rPr>
            </w:pPr>
          </w:p>
          <w:p w14:paraId="06FD3606" w14:textId="77777777" w:rsidR="005B5111" w:rsidRPr="000D05F6" w:rsidRDefault="005B5111" w:rsidP="005B5111">
            <w:pPr>
              <w:pStyle w:val="ListParagraph"/>
              <w:numPr>
                <w:ilvl w:val="0"/>
                <w:numId w:val="15"/>
              </w:numPr>
              <w:rPr>
                <w:rFonts w:ascii="Arial" w:hAnsi="Arial" w:cs="Arial"/>
                <w:sz w:val="22"/>
                <w:szCs w:val="22"/>
              </w:rPr>
            </w:pPr>
            <w:r w:rsidRPr="000D05F6">
              <w:rPr>
                <w:rFonts w:ascii="Arial" w:hAnsi="Arial" w:cs="Arial"/>
                <w:sz w:val="22"/>
                <w:szCs w:val="22"/>
              </w:rPr>
              <w:t>Dėl avanso užtikrinimo</w:t>
            </w:r>
          </w:p>
          <w:p w14:paraId="3B0E4811" w14:textId="77777777" w:rsidR="005B5111" w:rsidRPr="000D05F6" w:rsidRDefault="005B5111" w:rsidP="005B5111">
            <w:pPr>
              <w:pStyle w:val="ListParagraph"/>
              <w:rPr>
                <w:rFonts w:ascii="Arial" w:hAnsi="Arial" w:cs="Arial"/>
                <w:sz w:val="22"/>
                <w:szCs w:val="22"/>
              </w:rPr>
            </w:pPr>
          </w:p>
          <w:p w14:paraId="2DEF7D62"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Sutarties projekto  131 punkte yra nustatyta, kad „</w:t>
            </w:r>
            <w:r w:rsidRPr="000D05F6">
              <w:rPr>
                <w:rFonts w:ascii="Arial" w:hAnsi="Arial" w:cs="Arial"/>
                <w:i/>
                <w:iCs/>
                <w:sz w:val="22"/>
                <w:szCs w:val="22"/>
                <w:lang w:val="lt-LT"/>
              </w:rPr>
              <w:t xml:space="preserve">Rangovas kartu su avansinio mokėjimo sąskaita Užsakovui savo sąskaita turi pateikti su Užsakovu raštu suderintą banko ar kitos kredito įstaigos arba draudimo bendrovės išduotą avanso grąžinimo </w:t>
            </w:r>
            <w:r w:rsidRPr="000D05F6">
              <w:rPr>
                <w:rFonts w:ascii="Arial" w:hAnsi="Arial" w:cs="Arial"/>
                <w:i/>
                <w:iCs/>
                <w:sz w:val="22"/>
                <w:szCs w:val="22"/>
                <w:lang w:val="lt-LT"/>
              </w:rPr>
              <w:lastRenderedPageBreak/>
              <w:t>užtikrinimo banko garantiją arba laidavimo draudimo raštą pagal Užsakovo konkurso sąlygų 24 priede pateiktą formą. Nurodytos banko garantijos ar laidavimo draudimo rašto suma turi būti ne mažesnė nei Rangovo prašyme sumokėti avansą nurodyto dydžio avanso suma</w:t>
            </w:r>
            <w:r w:rsidRPr="000D05F6">
              <w:rPr>
                <w:rFonts w:ascii="Arial" w:hAnsi="Arial" w:cs="Arial"/>
                <w:sz w:val="22"/>
                <w:szCs w:val="22"/>
                <w:lang w:val="lt-LT"/>
              </w:rPr>
              <w:t xml:space="preserve">. &lt;...&gt;“. </w:t>
            </w:r>
          </w:p>
          <w:p w14:paraId="57A9DDD6" w14:textId="77777777" w:rsidR="005B5111" w:rsidRPr="000D05F6" w:rsidRDefault="005B5111" w:rsidP="005B5111">
            <w:pPr>
              <w:jc w:val="both"/>
              <w:rPr>
                <w:rFonts w:ascii="Arial" w:hAnsi="Arial" w:cs="Arial"/>
                <w:sz w:val="22"/>
                <w:szCs w:val="22"/>
                <w:lang w:val="lt-LT"/>
              </w:rPr>
            </w:pPr>
          </w:p>
          <w:p w14:paraId="2AB02E4A"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Ši sąlyga reiškia, kad garantijos ar laidavimo draudimo rašto suma visą sutarties galiojimo laikotarpį privalo būti tokio pat dydžio kaip nurodyta pirminiame Rangovo prašyme.</w:t>
            </w:r>
          </w:p>
          <w:p w14:paraId="43EC94AA" w14:textId="77777777" w:rsidR="005B5111" w:rsidRPr="000D05F6" w:rsidRDefault="005B5111" w:rsidP="005B5111">
            <w:pPr>
              <w:jc w:val="both"/>
              <w:rPr>
                <w:rFonts w:ascii="Arial" w:hAnsi="Arial" w:cs="Arial"/>
                <w:sz w:val="22"/>
                <w:szCs w:val="22"/>
                <w:lang w:val="lt-LT"/>
              </w:rPr>
            </w:pPr>
          </w:p>
          <w:p w14:paraId="6610180B"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Pažymime, kad Sutarties projekto 131 punkte nustatyta pareiga Rangovui išlaikyti garantijos ar laidavimo draudimo rašto sumą iki pat  visiško avanso grąžinimo faktiškai sudaro neproporcingą finansinę naštą Rangovui, nes Sutarties vykdymo metu sumokėto avanso suma yra įskaitoma ir tampa ženkliai mažesnė.  Rangovui net sugražinus didžiąją dalį avanso, Rangovas vis tiek turi toki pačio dydžio ir nepagrįstai didelę finansinę naštą.</w:t>
            </w:r>
          </w:p>
          <w:p w14:paraId="1277597B" w14:textId="77777777" w:rsidR="005B5111" w:rsidRPr="000D05F6" w:rsidRDefault="005B5111" w:rsidP="005B5111">
            <w:pPr>
              <w:jc w:val="both"/>
              <w:rPr>
                <w:rFonts w:ascii="Arial" w:hAnsi="Arial" w:cs="Arial"/>
                <w:sz w:val="22"/>
                <w:szCs w:val="22"/>
                <w:lang w:val="lt-LT"/>
              </w:rPr>
            </w:pPr>
          </w:p>
          <w:p w14:paraId="07B0845A"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Taigi, Perkančiosios organizacijos reikalavimas, kad avanso užtikrinimas visą Sutarties galiojimo laikotarpį būtų tokio dydžio kaip Sutarties vykdymo pradžioje yra nesąžiningas. Pažymime, kad susidariusi situacija lemia perteklines Rangovo išlaidas, brangina ir didina projektų kainą, kadangi tokios garantijos laikymas kainuoja rangovams daug brangiau, bei brangina kitas garantijas kituose projektuose. Be to, išlaikant nepagrįstai dideles garantijų sumas, Rangovas riboja savo galimybes dalyvauti kituose pirkimuose, nes didelės garantijų sumos apriboja kitų projektų finansines galimybes.</w:t>
            </w:r>
          </w:p>
          <w:p w14:paraId="19D21ACF" w14:textId="77777777" w:rsidR="005B5111" w:rsidRPr="000D05F6" w:rsidRDefault="005B5111" w:rsidP="005B5111">
            <w:pPr>
              <w:jc w:val="both"/>
              <w:rPr>
                <w:rFonts w:ascii="Arial" w:hAnsi="Arial" w:cs="Arial"/>
                <w:sz w:val="22"/>
                <w:szCs w:val="22"/>
                <w:lang w:val="lt-LT"/>
              </w:rPr>
            </w:pPr>
          </w:p>
          <w:p w14:paraId="2C5B2DD3"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Atkreiptinas dėmesys, kad pagal LR viešųjų pirkimų įstatyme įtvirtintus principus, perkančioji organizacija turi užtikrinti ne tik tiekėjo pareigų vykdymo kontrolę, bet ir laikytis proporcingumo bei lygiateisiškumo principų.</w:t>
            </w:r>
          </w:p>
          <w:p w14:paraId="40F9BB17" w14:textId="77777777" w:rsidR="005B5111" w:rsidRPr="000D05F6" w:rsidRDefault="005B5111" w:rsidP="005B5111">
            <w:pPr>
              <w:jc w:val="both"/>
              <w:rPr>
                <w:rFonts w:ascii="Arial" w:hAnsi="Arial" w:cs="Arial"/>
                <w:sz w:val="22"/>
                <w:szCs w:val="22"/>
                <w:lang w:val="lt-LT"/>
              </w:rPr>
            </w:pPr>
          </w:p>
          <w:p w14:paraId="478B271D" w14:textId="77777777" w:rsidR="005B5111" w:rsidRPr="000D05F6" w:rsidRDefault="005B5111" w:rsidP="005B5111">
            <w:pPr>
              <w:ind w:firstLine="360"/>
              <w:jc w:val="both"/>
              <w:rPr>
                <w:rFonts w:ascii="Arial" w:hAnsi="Arial" w:cs="Arial"/>
                <w:sz w:val="22"/>
                <w:szCs w:val="22"/>
                <w:lang w:val="lt-LT"/>
              </w:rPr>
            </w:pPr>
            <w:r w:rsidRPr="000D05F6">
              <w:rPr>
                <w:rFonts w:ascii="Arial" w:hAnsi="Arial" w:cs="Arial"/>
                <w:sz w:val="22"/>
                <w:szCs w:val="22"/>
                <w:lang w:val="lt-LT"/>
              </w:rPr>
              <w:t xml:space="preserve">Atsižvelgiant į tai,  siūlome Sutarties projekto 131 p. formuluoti taip: </w:t>
            </w:r>
          </w:p>
          <w:p w14:paraId="4068617F" w14:textId="77777777" w:rsidR="005B5111" w:rsidRPr="000D05F6" w:rsidRDefault="005B5111" w:rsidP="005B5111">
            <w:pPr>
              <w:jc w:val="both"/>
              <w:rPr>
                <w:rFonts w:ascii="Arial" w:hAnsi="Arial" w:cs="Arial"/>
                <w:sz w:val="22"/>
                <w:szCs w:val="22"/>
                <w:lang w:val="lt-LT"/>
              </w:rPr>
            </w:pPr>
          </w:p>
          <w:p w14:paraId="7F71166E" w14:textId="77777777" w:rsidR="005B5111" w:rsidRPr="000D05F6" w:rsidRDefault="005B5111" w:rsidP="005B5111">
            <w:pPr>
              <w:jc w:val="both"/>
              <w:rPr>
                <w:rFonts w:ascii="Arial" w:hAnsi="Arial" w:cs="Arial"/>
                <w:sz w:val="22"/>
                <w:szCs w:val="22"/>
                <w:lang w:val="lt-LT"/>
              </w:rPr>
            </w:pPr>
            <w:r w:rsidRPr="000D05F6">
              <w:rPr>
                <w:rFonts w:ascii="Arial" w:hAnsi="Arial" w:cs="Arial"/>
                <w:sz w:val="22"/>
                <w:szCs w:val="22"/>
                <w:lang w:val="lt-LT"/>
              </w:rPr>
              <w:t xml:space="preserve">„131.    </w:t>
            </w:r>
            <w:r w:rsidRPr="000D05F6">
              <w:rPr>
                <w:rFonts w:ascii="Arial" w:hAnsi="Arial" w:cs="Arial"/>
                <w:i/>
                <w:iCs/>
                <w:sz w:val="22"/>
                <w:szCs w:val="22"/>
                <w:lang w:val="lt-LT"/>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24 priede pateiktą </w:t>
            </w:r>
            <w:r w:rsidRPr="000D05F6">
              <w:rPr>
                <w:rFonts w:ascii="Arial" w:hAnsi="Arial" w:cs="Arial"/>
                <w:i/>
                <w:iCs/>
                <w:sz w:val="22"/>
                <w:szCs w:val="22"/>
                <w:lang w:val="lt-LT"/>
              </w:rPr>
              <w:lastRenderedPageBreak/>
              <w:t>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Planuojamų išlaidų, reikalingų vykdyti atsiskaitymams su Rangovu pagal Sutartį, grafike planuojamo avanso panaudojimo mėnesio. 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Avanso grąžinimo užtikrinimo suma Sutarties vykdymo metu proporcingai mažinama Užsakovo įskaitytomis avanso sumomis. Rangovas taip pat turi teisę išmokėtą avansą ar likusią jo dalį gražinti bet kuriuo Sutarties vykdymo metu.  Užsakovui įskaičius ar Rangovui grąžinus dalį avanso sumos, Rangovas turi teisę kreiptis į Užsakovą dėl atitinkamo avanso grąžinimo užtikrinimo sumos sumažinimo, o Užsakovas negali tokiam sumažinimui prieštarauti.“</w:t>
            </w:r>
          </w:p>
          <w:p w14:paraId="30767D3D" w14:textId="77777777" w:rsidR="005B5111" w:rsidRPr="000D05F6" w:rsidRDefault="005B5111" w:rsidP="005B5111">
            <w:pPr>
              <w:jc w:val="both"/>
              <w:rPr>
                <w:rFonts w:ascii="Arial" w:hAnsi="Arial" w:cs="Arial"/>
                <w:sz w:val="22"/>
                <w:szCs w:val="22"/>
                <w:lang w:val="lt-LT"/>
              </w:rPr>
            </w:pPr>
          </w:p>
          <w:p w14:paraId="4CAF49A0" w14:textId="77777777" w:rsidR="005B5111" w:rsidRPr="000D05F6" w:rsidRDefault="005B5111" w:rsidP="005B5111">
            <w:pPr>
              <w:ind w:firstLine="720"/>
              <w:jc w:val="both"/>
              <w:rPr>
                <w:rFonts w:ascii="Arial" w:hAnsi="Arial" w:cs="Arial"/>
                <w:sz w:val="22"/>
                <w:szCs w:val="22"/>
                <w:lang w:val="lt-LT"/>
              </w:rPr>
            </w:pPr>
            <w:r w:rsidRPr="000D05F6">
              <w:rPr>
                <w:rFonts w:ascii="Arial" w:hAnsi="Arial" w:cs="Arial"/>
                <w:sz w:val="22"/>
                <w:szCs w:val="22"/>
                <w:lang w:val="lt-LT"/>
              </w:rPr>
              <w:t>Nesutinkant atlikti minėtų korekcijų prašome Perkančiosios organizacijos pagrįsti tokius sprendimus, nurodant motyvuotas atsisakymo priežastis.</w:t>
            </w:r>
          </w:p>
          <w:p w14:paraId="6762B437" w14:textId="7E7FF49B" w:rsidR="00494A23" w:rsidRPr="000D05F6" w:rsidRDefault="00494A23" w:rsidP="00B33CA1">
            <w:pPr>
              <w:jc w:val="both"/>
              <w:rPr>
                <w:rFonts w:ascii="Arial" w:hAnsi="Arial" w:cs="Arial"/>
                <w:sz w:val="22"/>
                <w:szCs w:val="22"/>
                <w:lang w:val="lt-LT"/>
              </w:rPr>
            </w:pPr>
          </w:p>
        </w:tc>
        <w:tc>
          <w:tcPr>
            <w:tcW w:w="4388" w:type="dxa"/>
          </w:tcPr>
          <w:p w14:paraId="65DD2ABC" w14:textId="77777777" w:rsidR="000653A1" w:rsidRPr="000D05F6" w:rsidRDefault="000D05F6" w:rsidP="000D05F6">
            <w:pPr>
              <w:pStyle w:val="ListParagraph"/>
              <w:numPr>
                <w:ilvl w:val="0"/>
                <w:numId w:val="16"/>
              </w:numPr>
              <w:tabs>
                <w:tab w:val="left" w:pos="184"/>
              </w:tabs>
              <w:ind w:left="0" w:firstLine="360"/>
              <w:jc w:val="both"/>
              <w:rPr>
                <w:rFonts w:ascii="Arial" w:eastAsiaTheme="minorHAnsi" w:hAnsi="Arial" w:cs="Arial"/>
                <w:sz w:val="22"/>
                <w:szCs w:val="22"/>
              </w:rPr>
            </w:pPr>
            <w:r w:rsidRPr="000D05F6">
              <w:rPr>
                <w:rFonts w:ascii="Arial" w:eastAsiaTheme="minorHAnsi" w:hAnsi="Arial" w:cs="Arial"/>
                <w:sz w:val="22"/>
                <w:szCs w:val="22"/>
              </w:rPr>
              <w:lastRenderedPageBreak/>
              <w:t>Sutarties punktas keičiamas nebus. Perkančioji organizacija pasirinko galimybę atlikti statybos darbų įkainių perskaičiavimą po šešių mėnesių, skaičiuojant būtent nuo Sutarties įsigaliojimo dienos, remdamasi LR Viešųjų pirkimų įstatymo 87 str. 2 dalies 7 punktu, Kainodaros taisyklių nustatymo metodikos, patvirtintos Viešųjų pirkimų tarnybos</w:t>
            </w:r>
            <w:r w:rsidRPr="000D05F6">
              <w:rPr>
                <w:rFonts w:ascii="Arial" w:eastAsiaTheme="minorHAnsi" w:hAnsi="Arial" w:cs="Arial"/>
                <w:bCs/>
                <w:sz w:val="22"/>
                <w:szCs w:val="22"/>
              </w:rPr>
              <w:t xml:space="preserve"> prie Lietuvos Respublikos Vyriausybės</w:t>
            </w:r>
            <w:r w:rsidRPr="000D05F6">
              <w:rPr>
                <w:rFonts w:ascii="Arial" w:eastAsiaTheme="minorHAnsi" w:hAnsi="Arial" w:cs="Arial"/>
                <w:sz w:val="22"/>
                <w:szCs w:val="22"/>
              </w:rPr>
              <w:t xml:space="preserve"> direktoriaus 2017 m. birželio 28 d. įsakymu Nr. 1S-95 „Dėl Kainodaros taisyklių nustatymo metodikos patvirtinimo“ (toliau – Metodika), 54 puntu, taip pat Metodikoje pateiktais Sutarties kainos peržiūros sąlygų pavyzdžiais, kur perkančiajai organizacijai nėra nustatyta prievolė, o priešingai – suteikta teisė pasirinkti, nuo kurio įvykio bus skaičiuojamas 6 (šešių) mėnesių terminas, kuriam suėjus (esant kitoms sąlygoms) gali būti atliktas Sutarties statybos darbų įkainių perskaičiavimas. Perkančioji organizacija peržiūros sąlygas sieja </w:t>
            </w:r>
            <w:r w:rsidRPr="000D05F6">
              <w:rPr>
                <w:rFonts w:ascii="Arial" w:eastAsiaTheme="minorHAnsi" w:hAnsi="Arial" w:cs="Arial"/>
                <w:b/>
                <w:bCs/>
                <w:sz w:val="22"/>
                <w:szCs w:val="22"/>
              </w:rPr>
              <w:t>būtent su Sutartyje numatyta darbų atlikimo trukme</w:t>
            </w:r>
            <w:r w:rsidRPr="000D05F6">
              <w:rPr>
                <w:rFonts w:ascii="Arial" w:eastAsiaTheme="minorHAnsi" w:hAnsi="Arial" w:cs="Arial"/>
                <w:sz w:val="22"/>
                <w:szCs w:val="22"/>
              </w:rPr>
              <w:t>, o ne su pirkimo procedūrų trukme. Todėl laikotarpis, kuriam suėjus Sutarties kaina gali būti peržiūrėta, skaičiuojamas nuo Sutarties įsigaliojimo pradžios, bet ne pirkimo procedūrų pradžios.</w:t>
            </w:r>
          </w:p>
          <w:p w14:paraId="40B960E8" w14:textId="77777777" w:rsidR="000D05F6" w:rsidRPr="000D05F6" w:rsidRDefault="000D05F6" w:rsidP="000D05F6">
            <w:pPr>
              <w:tabs>
                <w:tab w:val="left" w:pos="184"/>
              </w:tabs>
              <w:ind w:firstLine="360"/>
              <w:jc w:val="both"/>
              <w:rPr>
                <w:rFonts w:ascii="Arial" w:hAnsi="Arial" w:cs="Arial"/>
                <w:sz w:val="22"/>
                <w:szCs w:val="22"/>
                <w:lang w:val="lt-LT"/>
              </w:rPr>
            </w:pPr>
          </w:p>
          <w:p w14:paraId="5C66241A" w14:textId="77777777" w:rsidR="000D05F6" w:rsidRPr="000D05F6" w:rsidRDefault="000D05F6" w:rsidP="000D05F6">
            <w:pPr>
              <w:tabs>
                <w:tab w:val="left" w:pos="184"/>
              </w:tabs>
              <w:ind w:firstLine="360"/>
              <w:jc w:val="both"/>
              <w:rPr>
                <w:rFonts w:ascii="Arial" w:hAnsi="Arial" w:cs="Arial"/>
                <w:sz w:val="22"/>
                <w:szCs w:val="22"/>
                <w:lang w:val="lt-LT"/>
              </w:rPr>
            </w:pPr>
          </w:p>
          <w:p w14:paraId="3F641123" w14:textId="77777777" w:rsidR="000D05F6" w:rsidRPr="000D05F6" w:rsidRDefault="000D05F6" w:rsidP="000D05F6">
            <w:pPr>
              <w:tabs>
                <w:tab w:val="left" w:pos="184"/>
              </w:tabs>
              <w:ind w:firstLine="360"/>
              <w:jc w:val="both"/>
              <w:rPr>
                <w:rFonts w:ascii="Arial" w:hAnsi="Arial" w:cs="Arial"/>
                <w:sz w:val="22"/>
                <w:szCs w:val="22"/>
                <w:lang w:val="lt-LT"/>
              </w:rPr>
            </w:pPr>
          </w:p>
          <w:p w14:paraId="756EA9BD" w14:textId="77777777" w:rsidR="000D05F6" w:rsidRPr="000D05F6" w:rsidRDefault="000D05F6" w:rsidP="000D05F6">
            <w:pPr>
              <w:tabs>
                <w:tab w:val="left" w:pos="184"/>
              </w:tabs>
              <w:ind w:firstLine="360"/>
              <w:jc w:val="both"/>
              <w:rPr>
                <w:rFonts w:ascii="Arial" w:hAnsi="Arial" w:cs="Arial"/>
                <w:sz w:val="22"/>
                <w:szCs w:val="22"/>
                <w:lang w:val="lt-LT"/>
              </w:rPr>
            </w:pPr>
          </w:p>
          <w:p w14:paraId="50A88B67" w14:textId="6593A8D8" w:rsidR="000D05F6" w:rsidRPr="000D05F6" w:rsidRDefault="000D05F6" w:rsidP="000D05F6">
            <w:pPr>
              <w:pStyle w:val="ListParagraph"/>
              <w:numPr>
                <w:ilvl w:val="0"/>
                <w:numId w:val="16"/>
              </w:numPr>
              <w:tabs>
                <w:tab w:val="left" w:pos="184"/>
              </w:tabs>
              <w:ind w:left="0" w:firstLine="360"/>
              <w:jc w:val="both"/>
              <w:rPr>
                <w:rFonts w:ascii="Arial" w:eastAsiaTheme="minorHAnsi" w:hAnsi="Arial" w:cs="Arial"/>
                <w:sz w:val="22"/>
                <w:szCs w:val="22"/>
              </w:rPr>
            </w:pPr>
            <w:r w:rsidRPr="000D05F6">
              <w:rPr>
                <w:rFonts w:ascii="Arial" w:eastAsiaTheme="minorHAnsi" w:hAnsi="Arial" w:cs="Arial"/>
                <w:sz w:val="22"/>
                <w:szCs w:val="22"/>
              </w:rPr>
              <w:t xml:space="preserve">Sutarties projekto 131 punktas keičiamas nebus. Perkančioji organizacija atkreipia dėmesį, kad, pagal Sutarties 131 p., Rangovo pateikta avanso grąžinimo užtikrinimo banko garantija arba draudimo bendrovės išduotas avanso grąžinimo užtikrinimo laidavimo draudimo raštas (toliau kartu – </w:t>
            </w:r>
            <w:r w:rsidRPr="000D05F6">
              <w:rPr>
                <w:rFonts w:ascii="Arial" w:eastAsiaTheme="minorHAnsi" w:hAnsi="Arial" w:cs="Arial"/>
                <w:b/>
                <w:bCs/>
                <w:sz w:val="22"/>
                <w:szCs w:val="22"/>
              </w:rPr>
              <w:t>Užtikrinimas</w:t>
            </w:r>
            <w:r w:rsidRPr="000D05F6">
              <w:rPr>
                <w:rFonts w:ascii="Arial" w:eastAsiaTheme="minorHAnsi" w:hAnsi="Arial" w:cs="Arial"/>
                <w:sz w:val="22"/>
                <w:szCs w:val="22"/>
              </w:rPr>
              <w:t xml:space="preserve">) </w:t>
            </w:r>
            <w:r w:rsidRPr="000D05F6">
              <w:rPr>
                <w:rFonts w:ascii="Arial" w:eastAsiaTheme="minorHAnsi" w:hAnsi="Arial" w:cs="Arial"/>
                <w:sz w:val="22"/>
                <w:szCs w:val="22"/>
                <w:u w:val="single"/>
              </w:rPr>
              <w:t xml:space="preserve">turi galioti ne </w:t>
            </w:r>
            <w:r w:rsidRPr="000D05F6">
              <w:rPr>
                <w:rFonts w:ascii="Arial" w:eastAsiaTheme="minorHAnsi" w:hAnsi="Arial" w:cs="Arial"/>
                <w:sz w:val="22"/>
                <w:szCs w:val="22"/>
                <w:u w:val="single"/>
              </w:rPr>
              <w:lastRenderedPageBreak/>
              <w:t>visą Sutarties galiojimo laikotarpį</w:t>
            </w:r>
            <w:r w:rsidRPr="000D05F6">
              <w:rPr>
                <w:rFonts w:ascii="Arial" w:eastAsiaTheme="minorHAnsi" w:hAnsi="Arial" w:cs="Arial"/>
                <w:sz w:val="22"/>
                <w:szCs w:val="22"/>
              </w:rPr>
              <w:t xml:space="preserve">, o ne trumpiau kaip 1 (vieną) mėnesį po Planuojamų išlaidų, reikalingų vykdyti atsiskaitymams su Rangovu pagal Sutartį, grafike planuojamo avanso panaudojimo mėnesio. Taigi, Užtikrinimas turi galioti tol, kol Rangovas grąžins visą avanso sumą. Perkančioji organizacija visais atvejais iš garanto davėjo negali reikalauti išmokėti didesnę sumą, nei neįskaityta ir Rangovo negrąžinta avanso suma. Ši sąlyga įrašyta pačiame Užtikrinime. Jeigu Sutartyje būtų įrašyta Tiekėjo nurodoma 131 punkto redakcija, kuomet ne tik galima išmokėti Užtikrinimo suma mažėja proporcingai grąžinto avanso sumai, bet ir apskritai, Užtikrinimo suma mažėtų kaskart Rangovui grąžinus dalį gauto avanso, tai sąlygotų aplinkybę, jog Rangovas po kiekvieno atsiskaitymo (faktiškai kas mėnesį), turėtų atnaujinti pateiktą Užtikrinimą, </w:t>
            </w:r>
            <w:proofErr w:type="spellStart"/>
            <w:r w:rsidRPr="000D05F6">
              <w:rPr>
                <w:rFonts w:ascii="Arial" w:eastAsiaTheme="minorHAnsi" w:hAnsi="Arial" w:cs="Arial"/>
                <w:sz w:val="22"/>
                <w:szCs w:val="22"/>
              </w:rPr>
              <w:t>t.y</w:t>
            </w:r>
            <w:proofErr w:type="spellEnd"/>
            <w:r w:rsidRPr="000D05F6">
              <w:rPr>
                <w:rFonts w:ascii="Arial" w:eastAsiaTheme="minorHAnsi" w:hAnsi="Arial" w:cs="Arial"/>
                <w:sz w:val="22"/>
                <w:szCs w:val="22"/>
              </w:rPr>
              <w:t>. Rangovas kas mėnesį turėtų teikti kitą (naują) Užtikrinimą su kita suma, nauja galiojimo data, o Užsakovas (perkančioji organizacija) turėtų atsisakinėti seno (prieš tai išduoto) Užtikrinimo. Abejotina, kad toks kasmėnesinis Užtikrinimo atnaujinimas sumažintų Rangovo išlaidas Užtikrinimui, bet jis tikrai sąlygotų administracinių kaštų padidėjimą abiem Sutarties Šalims. Ši aplinkybė pasireikštų tuo, kad Rangovui reikėtų kas mėnesį kreiptis į garanto davėją ir gauti Užtikrinimą su atnaujintais bei teisingais sumos ir galiojimo datos duomenimis. Garanto davėjas turėtų tikrinti, ar nepasikeitė Rangovo finansinė padėtis, ar Užtikrinimo išdavimas yra galimas, dėl ko gali būti daugiau atvejų, kuomet bus atsisakoma Rangovui išduoti Užtikrinimą, kas padidina riziką, kad atnaujintas Užtikrinimas apskritai nebus tinkamai ir laiku gautas. Taip pat Užsakovas (perkančioji organizacija) turės pareigą kas mėnesį tikrinti, ar Užtikrinimas pateiktas laiku, tinkamai ir atitinka pirkimo sąlygas, tuomet turės atsisakyti prieš tai gauto Užtikrinimo. Dėl nurodomų priežasčių, labiau tikėtina, jog, esant tokiai Sutarties 131 punkto redakcijai, kurią pateikia Tiekėjas, Užtikrinimo pateikimo išlaidos ne tik nesumažės, bet gali dar labiau padidėti ir Tiekėjui, ir Perkančiajai organizacijai, kas prieštarautų ne tik LR Viešųjų pirkimų įstatyme įtvirtintiems principams, racionaliam lėšų panaudojimui, bet ir bendriems LR CK įtvirtintiems protingumo ir ekonomiškumo principams.</w:t>
            </w:r>
          </w:p>
        </w:tc>
      </w:tr>
    </w:tbl>
    <w:p w14:paraId="710F930C" w14:textId="77777777" w:rsidR="00163795" w:rsidRPr="000D05F6" w:rsidRDefault="00163795" w:rsidP="00163795">
      <w:pPr>
        <w:pStyle w:val="NoSpacing"/>
        <w:jc w:val="both"/>
        <w:rPr>
          <w:rFonts w:ascii="Arial" w:hAnsi="Arial" w:cs="Arial"/>
        </w:rPr>
      </w:pPr>
      <w:r w:rsidRPr="000D05F6">
        <w:rPr>
          <w:rFonts w:ascii="Arial" w:hAnsi="Arial" w:cs="Arial"/>
        </w:rPr>
        <w:lastRenderedPageBreak/>
        <w:t>* 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Default="00163795" w:rsidP="00163795">
      <w:pPr>
        <w:pStyle w:val="NoSpacing"/>
        <w:jc w:val="both"/>
        <w:rPr>
          <w:rFonts w:ascii="Arial" w:hAnsi="Arial" w:cs="Arial"/>
        </w:rPr>
      </w:pPr>
      <w:r w:rsidRPr="000D05F6">
        <w:rPr>
          <w:rFonts w:ascii="Arial" w:hAnsi="Arial" w:cs="Arial"/>
        </w:rPr>
        <w:t>**Čia ir kitur tiekėjo (-ų) prašymo (-ų) paaiškinti / patikslinti pirkimo dokumentus tekstas neredaguotas.</w:t>
      </w:r>
    </w:p>
    <w:p w14:paraId="5B5758B1" w14:textId="77777777" w:rsidR="00E37F63" w:rsidRDefault="00E37F63" w:rsidP="00163795">
      <w:pPr>
        <w:pStyle w:val="NoSpacing"/>
        <w:jc w:val="both"/>
        <w:rPr>
          <w:rFonts w:ascii="Arial" w:hAnsi="Arial" w:cs="Arial"/>
        </w:rPr>
      </w:pPr>
    </w:p>
    <w:p w14:paraId="2BF88815" w14:textId="19333FF4" w:rsidR="00E37F63" w:rsidRPr="00370FFE" w:rsidRDefault="00E37F63" w:rsidP="00163795">
      <w:pPr>
        <w:pStyle w:val="NoSpacing"/>
        <w:jc w:val="both"/>
        <w:rPr>
          <w:rFonts w:ascii="Arial" w:hAnsi="Arial" w:cs="Arial"/>
          <w:b/>
          <w:bCs/>
        </w:rPr>
      </w:pPr>
      <w:r w:rsidRPr="00370FFE">
        <w:rPr>
          <w:rFonts w:ascii="Arial" w:hAnsi="Arial" w:cs="Arial"/>
          <w:b/>
          <w:bCs/>
        </w:rPr>
        <w:t>Perkan</w:t>
      </w:r>
      <w:r w:rsidR="00370FFE" w:rsidRPr="00370FFE">
        <w:rPr>
          <w:rFonts w:ascii="Arial" w:hAnsi="Arial" w:cs="Arial"/>
          <w:b/>
          <w:bCs/>
        </w:rPr>
        <w:t>č</w:t>
      </w:r>
      <w:r w:rsidRPr="00370FFE">
        <w:rPr>
          <w:rFonts w:ascii="Arial" w:hAnsi="Arial" w:cs="Arial"/>
          <w:b/>
          <w:bCs/>
        </w:rPr>
        <w:t xml:space="preserve">ioji organizacija atideda pasiūlymų pateikimo terminą iki pirkimo skelbime nurodyto termino. </w:t>
      </w:r>
    </w:p>
    <w:sectPr w:rsidR="00E37F63" w:rsidRPr="00370FFE"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9EC1" w14:textId="77777777" w:rsidR="005B63DC" w:rsidRDefault="005B63DC">
      <w:r>
        <w:separator/>
      </w:r>
    </w:p>
  </w:endnote>
  <w:endnote w:type="continuationSeparator" w:id="0">
    <w:p w14:paraId="2BA2B267" w14:textId="77777777" w:rsidR="005B63DC" w:rsidRDefault="005B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E397" w14:textId="77777777" w:rsidR="005B63DC" w:rsidRDefault="005B63DC">
      <w:r>
        <w:separator/>
      </w:r>
    </w:p>
  </w:footnote>
  <w:footnote w:type="continuationSeparator" w:id="0">
    <w:p w14:paraId="6A5C0D59" w14:textId="77777777" w:rsidR="005B63DC" w:rsidRDefault="005B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C58B4"/>
    <w:multiLevelType w:val="hybridMultilevel"/>
    <w:tmpl w:val="03C62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A319C"/>
    <w:multiLevelType w:val="hybridMultilevel"/>
    <w:tmpl w:val="8250A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1540DA"/>
    <w:multiLevelType w:val="hybridMultilevel"/>
    <w:tmpl w:val="9FC6DB44"/>
    <w:lvl w:ilvl="0" w:tplc="653624D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5D10BB"/>
    <w:multiLevelType w:val="hybridMultilevel"/>
    <w:tmpl w:val="157816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6"/>
  </w:num>
  <w:num w:numId="2" w16cid:durableId="1416242371">
    <w:abstractNumId w:val="15"/>
  </w:num>
  <w:num w:numId="3" w16cid:durableId="2060394811">
    <w:abstractNumId w:val="4"/>
  </w:num>
  <w:num w:numId="4" w16cid:durableId="268586295">
    <w:abstractNumId w:val="0"/>
  </w:num>
  <w:num w:numId="5" w16cid:durableId="49039935">
    <w:abstractNumId w:val="11"/>
  </w:num>
  <w:num w:numId="6" w16cid:durableId="546793027">
    <w:abstractNumId w:val="12"/>
  </w:num>
  <w:num w:numId="7" w16cid:durableId="158235238">
    <w:abstractNumId w:val="10"/>
  </w:num>
  <w:num w:numId="8" w16cid:durableId="607348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4"/>
  </w:num>
  <w:num w:numId="11" w16cid:durableId="963853461">
    <w:abstractNumId w:val="13"/>
  </w:num>
  <w:num w:numId="12" w16cid:durableId="959339825">
    <w:abstractNumId w:val="5"/>
  </w:num>
  <w:num w:numId="13" w16cid:durableId="1081876057">
    <w:abstractNumId w:val="2"/>
  </w:num>
  <w:num w:numId="14" w16cid:durableId="1153061593">
    <w:abstractNumId w:val="7"/>
  </w:num>
  <w:num w:numId="15" w16cid:durableId="2103447848">
    <w:abstractNumId w:val="9"/>
  </w:num>
  <w:num w:numId="16" w16cid:durableId="29630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488F"/>
    <w:rsid w:val="00031539"/>
    <w:rsid w:val="000653A1"/>
    <w:rsid w:val="00085360"/>
    <w:rsid w:val="000D05F6"/>
    <w:rsid w:val="000E4580"/>
    <w:rsid w:val="000F69DD"/>
    <w:rsid w:val="00100585"/>
    <w:rsid w:val="001125EB"/>
    <w:rsid w:val="001278D2"/>
    <w:rsid w:val="0015372F"/>
    <w:rsid w:val="00154988"/>
    <w:rsid w:val="00162BB4"/>
    <w:rsid w:val="00163795"/>
    <w:rsid w:val="001709C5"/>
    <w:rsid w:val="00175DD4"/>
    <w:rsid w:val="00176052"/>
    <w:rsid w:val="00182A2E"/>
    <w:rsid w:val="001C2A18"/>
    <w:rsid w:val="001C2BDB"/>
    <w:rsid w:val="001E259F"/>
    <w:rsid w:val="00215CD1"/>
    <w:rsid w:val="00216EB3"/>
    <w:rsid w:val="00227E62"/>
    <w:rsid w:val="0023360C"/>
    <w:rsid w:val="00251BA0"/>
    <w:rsid w:val="0029178F"/>
    <w:rsid w:val="00297970"/>
    <w:rsid w:val="002A10A1"/>
    <w:rsid w:val="002A585A"/>
    <w:rsid w:val="002D4D9E"/>
    <w:rsid w:val="002D6BA2"/>
    <w:rsid w:val="002F39A2"/>
    <w:rsid w:val="00311E1C"/>
    <w:rsid w:val="00312795"/>
    <w:rsid w:val="00341189"/>
    <w:rsid w:val="003452BB"/>
    <w:rsid w:val="00366CD8"/>
    <w:rsid w:val="00370FFE"/>
    <w:rsid w:val="00380118"/>
    <w:rsid w:val="003878F0"/>
    <w:rsid w:val="003A210F"/>
    <w:rsid w:val="003F31D4"/>
    <w:rsid w:val="004043D7"/>
    <w:rsid w:val="00405616"/>
    <w:rsid w:val="00410FE7"/>
    <w:rsid w:val="00412094"/>
    <w:rsid w:val="0041688E"/>
    <w:rsid w:val="00434FB7"/>
    <w:rsid w:val="0045595E"/>
    <w:rsid w:val="00463671"/>
    <w:rsid w:val="00466E79"/>
    <w:rsid w:val="00475E0E"/>
    <w:rsid w:val="00494A23"/>
    <w:rsid w:val="004A3692"/>
    <w:rsid w:val="004C16FF"/>
    <w:rsid w:val="004C1979"/>
    <w:rsid w:val="004D58B0"/>
    <w:rsid w:val="004F1377"/>
    <w:rsid w:val="004F7217"/>
    <w:rsid w:val="005016F3"/>
    <w:rsid w:val="00563389"/>
    <w:rsid w:val="00564D3A"/>
    <w:rsid w:val="005B5111"/>
    <w:rsid w:val="005B63DC"/>
    <w:rsid w:val="005C7790"/>
    <w:rsid w:val="005E1A99"/>
    <w:rsid w:val="006758A8"/>
    <w:rsid w:val="006955DE"/>
    <w:rsid w:val="00721C14"/>
    <w:rsid w:val="007A4843"/>
    <w:rsid w:val="007B1F29"/>
    <w:rsid w:val="007B5D5D"/>
    <w:rsid w:val="007B6CE1"/>
    <w:rsid w:val="007D48CF"/>
    <w:rsid w:val="00804C67"/>
    <w:rsid w:val="00823F38"/>
    <w:rsid w:val="00861F97"/>
    <w:rsid w:val="00872359"/>
    <w:rsid w:val="008A3419"/>
    <w:rsid w:val="008E286F"/>
    <w:rsid w:val="00903A25"/>
    <w:rsid w:val="00914E10"/>
    <w:rsid w:val="00947A30"/>
    <w:rsid w:val="0095272C"/>
    <w:rsid w:val="009633D2"/>
    <w:rsid w:val="00964140"/>
    <w:rsid w:val="00976B7E"/>
    <w:rsid w:val="00980312"/>
    <w:rsid w:val="009C5B07"/>
    <w:rsid w:val="009C76A1"/>
    <w:rsid w:val="009E74A3"/>
    <w:rsid w:val="009F1EAD"/>
    <w:rsid w:val="00A3601F"/>
    <w:rsid w:val="00A63A6B"/>
    <w:rsid w:val="00A72F0E"/>
    <w:rsid w:val="00AA179A"/>
    <w:rsid w:val="00AE3464"/>
    <w:rsid w:val="00AF1859"/>
    <w:rsid w:val="00AF270B"/>
    <w:rsid w:val="00AF6790"/>
    <w:rsid w:val="00B32E94"/>
    <w:rsid w:val="00B33CA1"/>
    <w:rsid w:val="00B37745"/>
    <w:rsid w:val="00BB2F7B"/>
    <w:rsid w:val="00BC7AA3"/>
    <w:rsid w:val="00C145F5"/>
    <w:rsid w:val="00C1542C"/>
    <w:rsid w:val="00C421B5"/>
    <w:rsid w:val="00C80376"/>
    <w:rsid w:val="00CB5C65"/>
    <w:rsid w:val="00CB7B20"/>
    <w:rsid w:val="00CC78A1"/>
    <w:rsid w:val="00CD5887"/>
    <w:rsid w:val="00CE5747"/>
    <w:rsid w:val="00D24298"/>
    <w:rsid w:val="00D33240"/>
    <w:rsid w:val="00D34C69"/>
    <w:rsid w:val="00D616BF"/>
    <w:rsid w:val="00D65344"/>
    <w:rsid w:val="00D83DC6"/>
    <w:rsid w:val="00D941D0"/>
    <w:rsid w:val="00DA0971"/>
    <w:rsid w:val="00DA7104"/>
    <w:rsid w:val="00DD76A6"/>
    <w:rsid w:val="00E05270"/>
    <w:rsid w:val="00E119AF"/>
    <w:rsid w:val="00E127CD"/>
    <w:rsid w:val="00E22122"/>
    <w:rsid w:val="00E32114"/>
    <w:rsid w:val="00E37F63"/>
    <w:rsid w:val="00E546B3"/>
    <w:rsid w:val="00E56E8C"/>
    <w:rsid w:val="00E812EE"/>
    <w:rsid w:val="00E8158A"/>
    <w:rsid w:val="00E90D74"/>
    <w:rsid w:val="00EA3B3C"/>
    <w:rsid w:val="00EC4006"/>
    <w:rsid w:val="00ED1D88"/>
    <w:rsid w:val="00EF4FB5"/>
    <w:rsid w:val="00EF64F3"/>
    <w:rsid w:val="00F113D0"/>
    <w:rsid w:val="00F339A7"/>
    <w:rsid w:val="00F43A5D"/>
    <w:rsid w:val="00F44F27"/>
    <w:rsid w:val="00FB0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B5111"/>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5921</Words>
  <Characters>3375</Characters>
  <Application>Microsoft Office Word</Application>
  <DocSecurity>0</DocSecurity>
  <Lines>28</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5</cp:revision>
  <dcterms:created xsi:type="dcterms:W3CDTF">2025-09-26T12:43:00Z</dcterms:created>
  <dcterms:modified xsi:type="dcterms:W3CDTF">2025-09-29T10:44:00Z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