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1739" w14:textId="46729760" w:rsidR="003838F7" w:rsidRPr="003838F7" w:rsidRDefault="00120B3A" w:rsidP="003838F7">
      <w:pPr>
        <w:spacing w:after="0" w:line="240" w:lineRule="auto"/>
        <w:ind w:left="1418"/>
        <w:rPr>
          <w:rFonts w:ascii="Times New Roman" w:hAnsi="Times New Roman" w:cs="Times New Roman"/>
          <w:sz w:val="20"/>
          <w:szCs w:val="24"/>
        </w:rPr>
      </w:pPr>
      <w:r w:rsidRPr="003838F7">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37D4281" wp14:editId="107D61CC">
            <wp:simplePos x="0" y="0"/>
            <wp:positionH relativeFrom="page">
              <wp:posOffset>635</wp:posOffset>
            </wp:positionH>
            <wp:positionV relativeFrom="page">
              <wp:posOffset>190500</wp:posOffset>
            </wp:positionV>
            <wp:extent cx="7560000" cy="2340000"/>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7">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page">
              <wp14:pctWidth>0</wp14:pctWidth>
            </wp14:sizeRelH>
            <wp14:sizeRelV relativeFrom="page">
              <wp14:pctHeight>0</wp14:pctHeight>
            </wp14:sizeRelV>
          </wp:anchor>
        </w:drawing>
      </w:r>
    </w:p>
    <w:p w14:paraId="43EDCA30" w14:textId="31B16E6C" w:rsidR="003838F7" w:rsidRPr="003838F7" w:rsidRDefault="003838F7" w:rsidP="003838F7">
      <w:pPr>
        <w:spacing w:after="0" w:line="240" w:lineRule="auto"/>
        <w:ind w:left="1418"/>
        <w:rPr>
          <w:rFonts w:ascii="Times New Roman" w:hAnsi="Times New Roman" w:cs="Times New Roman"/>
          <w:sz w:val="20"/>
          <w:szCs w:val="24"/>
        </w:rPr>
      </w:pPr>
    </w:p>
    <w:p w14:paraId="147268A2" w14:textId="6FB6C5FC" w:rsidR="003838F7" w:rsidRPr="003838F7" w:rsidRDefault="003838F7" w:rsidP="003838F7">
      <w:pPr>
        <w:spacing w:after="0" w:line="240" w:lineRule="auto"/>
        <w:ind w:left="1418"/>
        <w:rPr>
          <w:rFonts w:ascii="Times New Roman" w:hAnsi="Times New Roman" w:cs="Times New Roman"/>
          <w:sz w:val="20"/>
          <w:szCs w:val="24"/>
        </w:rPr>
      </w:pPr>
    </w:p>
    <w:p w14:paraId="0424D67D" w14:textId="77777777" w:rsidR="003838F7" w:rsidRPr="003838F7" w:rsidRDefault="003838F7" w:rsidP="003838F7">
      <w:pPr>
        <w:spacing w:after="0" w:line="240" w:lineRule="auto"/>
        <w:ind w:left="1418"/>
        <w:rPr>
          <w:rFonts w:ascii="Times New Roman" w:hAnsi="Times New Roman" w:cs="Times New Roman"/>
          <w:sz w:val="20"/>
          <w:szCs w:val="24"/>
        </w:rPr>
      </w:pPr>
    </w:p>
    <w:p w14:paraId="14451F67" w14:textId="7556779F" w:rsidR="003838F7" w:rsidRPr="003838F7" w:rsidRDefault="003838F7" w:rsidP="003838F7">
      <w:pPr>
        <w:spacing w:after="0" w:line="240" w:lineRule="auto"/>
        <w:ind w:left="1418"/>
        <w:rPr>
          <w:rFonts w:ascii="Times New Roman" w:hAnsi="Times New Roman" w:cs="Times New Roman"/>
          <w:sz w:val="20"/>
          <w:szCs w:val="24"/>
        </w:rPr>
      </w:pPr>
    </w:p>
    <w:p w14:paraId="3AD2696A" w14:textId="77777777" w:rsidR="003838F7" w:rsidRPr="003838F7" w:rsidRDefault="003838F7" w:rsidP="003838F7">
      <w:pPr>
        <w:spacing w:after="0" w:line="240" w:lineRule="auto"/>
        <w:ind w:left="1418"/>
        <w:rPr>
          <w:rFonts w:ascii="Times New Roman" w:hAnsi="Times New Roman" w:cs="Times New Roman"/>
          <w:sz w:val="20"/>
          <w:szCs w:val="24"/>
        </w:rPr>
      </w:pPr>
    </w:p>
    <w:p w14:paraId="3522EDC9" w14:textId="728DD6B3" w:rsidR="003838F7" w:rsidRPr="003838F7" w:rsidRDefault="003838F7" w:rsidP="003838F7">
      <w:pPr>
        <w:spacing w:after="0" w:line="240" w:lineRule="auto"/>
        <w:ind w:left="1418"/>
        <w:rPr>
          <w:rFonts w:ascii="Times New Roman" w:hAnsi="Times New Roman" w:cs="Times New Roman"/>
          <w:sz w:val="24"/>
          <w:szCs w:val="24"/>
        </w:rPr>
      </w:pPr>
      <w:r w:rsidRPr="003838F7">
        <w:rPr>
          <w:rFonts w:ascii="Times New Roman" w:hAnsi="Times New Roman" w:cs="Times New Roman"/>
          <w:sz w:val="20"/>
          <w:szCs w:val="24"/>
        </w:rPr>
        <w:t>Lietuvos Respublikos krašto apsaugos ministerija</w:t>
      </w:r>
      <w:r w:rsidRPr="003838F7">
        <w:rPr>
          <w:rFonts w:ascii="Times New Roman" w:hAnsi="Times New Roman" w:cs="Times New Roman"/>
          <w:sz w:val="20"/>
          <w:szCs w:val="24"/>
        </w:rPr>
        <w:br/>
      </w:r>
      <w:r w:rsidRPr="003838F7">
        <w:rPr>
          <w:rFonts w:ascii="Times New Roman" w:hAnsi="Times New Roman" w:cs="Times New Roman"/>
          <w:b/>
          <w:sz w:val="20"/>
          <w:szCs w:val="24"/>
        </w:rPr>
        <w:t>KERTINIS VALSTYBĖS TELEKOMUNIKACIJŲ CENTRAS</w:t>
      </w:r>
    </w:p>
    <w:p w14:paraId="18090F8A" w14:textId="77777777" w:rsidR="003838F7" w:rsidRPr="003838F7" w:rsidRDefault="003838F7" w:rsidP="003838F7">
      <w:pPr>
        <w:pStyle w:val="Header"/>
        <w:spacing w:before="100"/>
        <w:ind w:left="1418"/>
        <w:rPr>
          <w:rFonts w:ascii="Times New Roman" w:hAnsi="Times New Roman" w:cs="Times New Roman"/>
          <w:sz w:val="20"/>
          <w:szCs w:val="24"/>
        </w:rPr>
      </w:pPr>
      <w:r w:rsidRPr="003838F7">
        <w:rPr>
          <w:rFonts w:ascii="Times New Roman" w:hAnsi="Times New Roman" w:cs="Times New Roman"/>
          <w:sz w:val="20"/>
          <w:szCs w:val="24"/>
        </w:rPr>
        <w:t>Biudžetinė įstaiga. Gedimino pr. 40, LT-01110 Vilnius</w:t>
      </w:r>
      <w:r w:rsidRPr="003838F7">
        <w:rPr>
          <w:rFonts w:ascii="Times New Roman" w:hAnsi="Times New Roman" w:cs="Times New Roman"/>
          <w:sz w:val="20"/>
          <w:szCs w:val="24"/>
        </w:rPr>
        <w:br/>
        <w:t>Tel. +370 239 17 08, el. p.: info@kvtc.gov.lt.</w:t>
      </w:r>
      <w:r w:rsidRPr="003838F7">
        <w:rPr>
          <w:rFonts w:ascii="Times New Roman" w:hAnsi="Times New Roman" w:cs="Times New Roman"/>
          <w:sz w:val="20"/>
          <w:szCs w:val="24"/>
        </w:rPr>
        <w:br/>
        <w:t>Duomenys kaupiami ir saugomi Juridinių asmenų registre, kodas 121738687</w:t>
      </w:r>
    </w:p>
    <w:p w14:paraId="2EA5DA9B" w14:textId="77777777" w:rsidR="003838F7" w:rsidRPr="003838F7" w:rsidRDefault="003838F7" w:rsidP="003838F7">
      <w:pPr>
        <w:spacing w:after="0" w:line="240" w:lineRule="auto"/>
        <w:rPr>
          <w:rFonts w:ascii="Times New Roman" w:hAnsi="Times New Roman" w:cs="Times New Roman"/>
          <w:sz w:val="20"/>
          <w:szCs w:val="24"/>
        </w:rPr>
      </w:pPr>
    </w:p>
    <w:p w14:paraId="2BC02C00" w14:textId="5B4837AB" w:rsidR="003838F7" w:rsidRPr="003838F7" w:rsidRDefault="003838F7" w:rsidP="003838F7">
      <w:pPr>
        <w:spacing w:after="0" w:line="240" w:lineRule="auto"/>
        <w:rPr>
          <w:rFonts w:ascii="Times New Roman" w:hAnsi="Times New Roman" w:cs="Times New Roman"/>
          <w:sz w:val="24"/>
          <w:szCs w:val="24"/>
        </w:rPr>
      </w:pPr>
    </w:p>
    <w:p w14:paraId="130141F2" w14:textId="77777777" w:rsidR="003838F7" w:rsidRPr="003838F7" w:rsidRDefault="003838F7" w:rsidP="003838F7">
      <w:pPr>
        <w:spacing w:after="0" w:line="240" w:lineRule="auto"/>
        <w:rPr>
          <w:rFonts w:ascii="Times New Roman" w:hAnsi="Times New Roman" w:cs="Times New Roman"/>
          <w:sz w:val="24"/>
          <w:szCs w:val="24"/>
        </w:rPr>
      </w:pPr>
      <w:r w:rsidRPr="003838F7">
        <w:rPr>
          <w:rFonts w:ascii="Times New Roman" w:hAnsi="Times New Roman" w:cs="Times New Roman"/>
          <w:sz w:val="24"/>
          <w:szCs w:val="24"/>
        </w:rPr>
        <w:tab/>
      </w:r>
      <w:r w:rsidRPr="003838F7">
        <w:rPr>
          <w:rFonts w:ascii="Times New Roman" w:hAnsi="Times New Roman" w:cs="Times New Roman"/>
          <w:sz w:val="24"/>
          <w:szCs w:val="24"/>
        </w:rPr>
        <w:tab/>
      </w:r>
      <w:r w:rsidRPr="003838F7">
        <w:rPr>
          <w:rFonts w:ascii="Times New Roman" w:hAnsi="Times New Roman" w:cs="Times New Roman"/>
          <w:sz w:val="24"/>
          <w:szCs w:val="24"/>
        </w:rPr>
        <w:tab/>
      </w:r>
      <w:r w:rsidRPr="003838F7">
        <w:rPr>
          <w:rFonts w:ascii="Times New Roman" w:hAnsi="Times New Roman" w:cs="Times New Roman"/>
          <w:sz w:val="24"/>
          <w:szCs w:val="24"/>
        </w:rPr>
        <w:tab/>
      </w:r>
      <w:r w:rsidRPr="003838F7">
        <w:rPr>
          <w:rFonts w:ascii="Times New Roman" w:hAnsi="Times New Roman" w:cs="Times New Roman"/>
          <w:sz w:val="24"/>
          <w:szCs w:val="24"/>
        </w:rPr>
        <w:tab/>
      </w:r>
      <w:r w:rsidRPr="003838F7">
        <w:rPr>
          <w:rFonts w:ascii="Times New Roman" w:hAnsi="Times New Roman" w:cs="Times New Roman"/>
          <w:sz w:val="24"/>
          <w:szCs w:val="24"/>
        </w:rPr>
        <w:tab/>
      </w:r>
      <w:r w:rsidRPr="003838F7">
        <w:rPr>
          <w:rFonts w:ascii="Times New Roman" w:hAnsi="Times New Roman" w:cs="Times New Roman"/>
          <w:sz w:val="24"/>
          <w:szCs w:val="24"/>
        </w:rPr>
        <w:tab/>
      </w:r>
      <w:r w:rsidRPr="003838F7">
        <w:rPr>
          <w:rFonts w:ascii="Times New Roman" w:hAnsi="Times New Roman" w:cs="Times New Roman"/>
          <w:sz w:val="24"/>
          <w:szCs w:val="24"/>
        </w:rPr>
        <w:tab/>
      </w:r>
    </w:p>
    <w:p w14:paraId="324B97D7" w14:textId="71498263" w:rsidR="003838F7" w:rsidRPr="003838F7" w:rsidRDefault="003838F7" w:rsidP="003838F7">
      <w:pPr>
        <w:spacing w:after="0" w:line="240" w:lineRule="auto"/>
        <w:jc w:val="center"/>
        <w:rPr>
          <w:rFonts w:ascii="Times New Roman" w:hAnsi="Times New Roman" w:cs="Times New Roman"/>
          <w:b/>
          <w:sz w:val="24"/>
          <w:szCs w:val="24"/>
        </w:rPr>
      </w:pPr>
      <w:r w:rsidRPr="003838F7">
        <w:rPr>
          <w:rFonts w:ascii="Times New Roman" w:hAnsi="Times New Roman" w:cs="Times New Roman"/>
          <w:b/>
          <w:sz w:val="24"/>
          <w:szCs w:val="24"/>
        </w:rPr>
        <w:t xml:space="preserve">SAUGIOJO TINKLO PAPILDOMŲ ELEKTRONINIŲ RYŠIŲ PASLAUGŲ ATLYGINIMO DYDŽIŲ AUDITO PASLAUGŲ PIRKIMO TECHNINĖ SPECIFIKACIJA </w:t>
      </w:r>
    </w:p>
    <w:p w14:paraId="190CE30F" w14:textId="77777777" w:rsidR="003838F7" w:rsidRPr="003838F7" w:rsidRDefault="003838F7" w:rsidP="003838F7">
      <w:pPr>
        <w:spacing w:after="0" w:line="240" w:lineRule="auto"/>
        <w:jc w:val="center"/>
        <w:rPr>
          <w:rFonts w:ascii="Times New Roman" w:hAnsi="Times New Roman" w:cs="Times New Roman"/>
          <w:b/>
          <w:sz w:val="24"/>
          <w:szCs w:val="24"/>
        </w:rPr>
      </w:pPr>
    </w:p>
    <w:p w14:paraId="1E6F62A9" w14:textId="77777777" w:rsidR="003838F7" w:rsidRPr="003838F7" w:rsidRDefault="003838F7" w:rsidP="003838F7">
      <w:pPr>
        <w:spacing w:after="0" w:line="240" w:lineRule="auto"/>
        <w:jc w:val="center"/>
        <w:rPr>
          <w:rFonts w:ascii="Times New Roman" w:hAnsi="Times New Roman" w:cs="Times New Roman"/>
          <w:b/>
          <w:sz w:val="24"/>
          <w:szCs w:val="24"/>
        </w:rPr>
      </w:pPr>
      <w:r w:rsidRPr="003838F7">
        <w:rPr>
          <w:rFonts w:ascii="Times New Roman" w:hAnsi="Times New Roman" w:cs="Times New Roman"/>
          <w:b/>
          <w:sz w:val="24"/>
          <w:szCs w:val="24"/>
        </w:rPr>
        <w:t xml:space="preserve">2025 m. </w:t>
      </w:r>
    </w:p>
    <w:p w14:paraId="3228A751" w14:textId="77777777" w:rsidR="003838F7" w:rsidRPr="003838F7" w:rsidRDefault="003838F7" w:rsidP="003838F7">
      <w:pPr>
        <w:spacing w:after="0" w:line="276" w:lineRule="auto"/>
        <w:jc w:val="both"/>
        <w:rPr>
          <w:rFonts w:ascii="Times New Roman" w:hAnsi="Times New Roman" w:cs="Times New Roman"/>
          <w:sz w:val="24"/>
          <w:szCs w:val="24"/>
        </w:rPr>
      </w:pPr>
    </w:p>
    <w:p w14:paraId="5CA7918F" w14:textId="3C616CC9" w:rsidR="003838F7" w:rsidRPr="003838F7" w:rsidRDefault="003838F7" w:rsidP="003838F7">
      <w:pPr>
        <w:pStyle w:val="ListParagraph"/>
        <w:numPr>
          <w:ilvl w:val="0"/>
          <w:numId w:val="1"/>
        </w:numPr>
        <w:spacing w:after="0" w:line="276" w:lineRule="auto"/>
        <w:ind w:left="284" w:hanging="284"/>
        <w:contextualSpacing w:val="0"/>
        <w:jc w:val="both"/>
        <w:rPr>
          <w:rFonts w:ascii="Times New Roman" w:hAnsi="Times New Roman" w:cs="Times New Roman"/>
        </w:rPr>
      </w:pPr>
      <w:bookmarkStart w:id="0" w:name="_Hlk208414229"/>
      <w:r w:rsidRPr="003838F7">
        <w:rPr>
          <w:rFonts w:ascii="Times New Roman" w:hAnsi="Times New Roman" w:cs="Times New Roman"/>
          <w:b/>
        </w:rPr>
        <w:t>Pirkimo objektas</w:t>
      </w:r>
      <w:r w:rsidRPr="003838F7">
        <w:rPr>
          <w:rFonts w:ascii="Times New Roman" w:hAnsi="Times New Roman" w:cs="Times New Roman"/>
        </w:rPr>
        <w:t xml:space="preserve"> </w:t>
      </w:r>
    </w:p>
    <w:p w14:paraId="23881190" w14:textId="77777777" w:rsidR="003838F7" w:rsidRPr="003838F7" w:rsidRDefault="003838F7" w:rsidP="003838F7">
      <w:pPr>
        <w:pStyle w:val="ListParagraph"/>
        <w:spacing w:line="276" w:lineRule="auto"/>
        <w:ind w:left="284"/>
        <w:jc w:val="both"/>
        <w:rPr>
          <w:rFonts w:ascii="Times New Roman" w:hAnsi="Times New Roman" w:cs="Times New Roman"/>
        </w:rPr>
      </w:pPr>
    </w:p>
    <w:p w14:paraId="36168965" w14:textId="6E4E5B52"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Pirkimo pavadinimas – Saugiojo tinklo papildomų elektroninių ryšių paslaugų atlyginimo dydžių audito paslaugų pirkimas.</w:t>
      </w:r>
    </w:p>
    <w:p w14:paraId="19A1B77E"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 xml:space="preserve">Pirkimo apimtis: </w:t>
      </w:r>
    </w:p>
    <w:p w14:paraId="6C092168" w14:textId="0FC4848C" w:rsidR="003838F7" w:rsidRPr="003838F7" w:rsidRDefault="003838F7" w:rsidP="003838F7">
      <w:pPr>
        <w:pStyle w:val="ListParagraph"/>
        <w:numPr>
          <w:ilvl w:val="2"/>
          <w:numId w:val="1"/>
        </w:numPr>
        <w:spacing w:after="0" w:line="240" w:lineRule="auto"/>
        <w:ind w:left="709" w:hanging="709"/>
        <w:contextualSpacing w:val="0"/>
        <w:jc w:val="both"/>
        <w:rPr>
          <w:rFonts w:ascii="Times New Roman" w:eastAsia="Times New Roman" w:hAnsi="Times New Roman" w:cs="Times New Roman"/>
        </w:rPr>
      </w:pPr>
      <w:r w:rsidRPr="003838F7">
        <w:rPr>
          <w:rFonts w:ascii="Times New Roman" w:hAnsi="Times New Roman" w:cs="Times New Roman"/>
          <w:color w:val="000000"/>
        </w:rPr>
        <w:t xml:space="preserve">vadovaujantis </w:t>
      </w:r>
      <w:r w:rsidRPr="003838F7">
        <w:rPr>
          <w:rFonts w:ascii="Times New Roman" w:hAnsi="Times New Roman" w:cs="Times New Roman"/>
        </w:rPr>
        <w:t>Lietuvos Respublikos Vyriausybės 2018 m. sausio 3 d. nutarimo Nr. 27</w:t>
      </w:r>
      <w:r w:rsidRPr="003838F7" w:rsidDel="00454015">
        <w:rPr>
          <w:rFonts w:ascii="Times New Roman" w:eastAsia="Times New Roman" w:hAnsi="Times New Roman" w:cs="Times New Roman"/>
        </w:rPr>
        <w:t xml:space="preserve"> </w:t>
      </w:r>
      <w:r w:rsidRPr="003838F7">
        <w:rPr>
          <w:rFonts w:ascii="Times New Roman" w:eastAsia="Times New Roman" w:hAnsi="Times New Roman" w:cs="Times New Roman"/>
        </w:rPr>
        <w:t>„</w:t>
      </w:r>
      <w:r w:rsidRPr="003838F7">
        <w:rPr>
          <w:rFonts w:ascii="Times New Roman" w:hAnsi="Times New Roman" w:cs="Times New Roman"/>
        </w:rPr>
        <w:t>Atlyginimo už naudojimąsi Saugiuoju valstybiniu duomenų perdavimo tinklu teikiamomis papildomomis elektroninių ryšių paslaugomis dydžių nustatymo tvarkos aprašo“</w:t>
      </w:r>
      <w:r w:rsidRPr="003838F7" w:rsidDel="00454015">
        <w:rPr>
          <w:rFonts w:ascii="Times New Roman" w:eastAsia="Times New Roman" w:hAnsi="Times New Roman" w:cs="Times New Roman"/>
        </w:rPr>
        <w:t xml:space="preserve"> </w:t>
      </w:r>
      <w:r w:rsidRPr="003838F7">
        <w:rPr>
          <w:rFonts w:ascii="Times New Roman" w:eastAsia="Times New Roman" w:hAnsi="Times New Roman" w:cs="Times New Roman"/>
        </w:rPr>
        <w:t>reikalavimais, kas metus įvertinti Kertinio valstybės telekomunikacijų centro (toliau – Perkančioji organizacija) papildomų elektroninių ryšių paslaugų atlyginimo dydžius, kuriuos sudaro:</w:t>
      </w:r>
    </w:p>
    <w:p w14:paraId="35537B4F" w14:textId="124EDAF8" w:rsidR="003838F7" w:rsidRPr="003838F7" w:rsidRDefault="003838F7" w:rsidP="003838F7">
      <w:pPr>
        <w:pStyle w:val="ListParagraph"/>
        <w:numPr>
          <w:ilvl w:val="3"/>
          <w:numId w:val="1"/>
        </w:numPr>
        <w:tabs>
          <w:tab w:val="left" w:pos="851"/>
        </w:tabs>
        <w:spacing w:after="0" w:line="240" w:lineRule="auto"/>
        <w:ind w:left="709" w:hanging="709"/>
        <w:contextualSpacing w:val="0"/>
        <w:jc w:val="both"/>
        <w:rPr>
          <w:rFonts w:ascii="Times New Roman" w:eastAsia="Times New Roman" w:hAnsi="Times New Roman" w:cs="Times New Roman"/>
        </w:rPr>
      </w:pPr>
      <w:r w:rsidRPr="003838F7">
        <w:rPr>
          <w:rFonts w:ascii="Times New Roman" w:eastAsia="Times New Roman" w:hAnsi="Times New Roman" w:cs="Times New Roman"/>
        </w:rPr>
        <w:t xml:space="preserve">perskaičiuoti Saugiojo tinklo papildomų elektroninių ryšių paslaugų </w:t>
      </w:r>
      <w:r w:rsidRPr="003838F7">
        <w:rPr>
          <w:rFonts w:ascii="Times New Roman" w:hAnsi="Times New Roman" w:cs="Times New Roman"/>
          <w:color w:val="000000"/>
        </w:rPr>
        <w:t>atlyginimo dydžiai, nurodyti Prisijungimo prie Saugiojo valstybinio duomenų perdavimo tinklo, atsijungimo nuo jo ir elektroninių ryšių paslaugų teikimo šiuo tinklu tvarkos aprašo, patvirtinto Lietuvos Respublikos krašto apsaugos ministro 2019 m. liepos 2 d. įsakymu Nr. V-583  „Dėl Saugiojo valstybinio duomenų perdavimo tinklo veiklą užtikrinančių dokumentų patvirtinimo, 4 priede</w:t>
      </w:r>
      <w:r w:rsidRPr="003838F7">
        <w:rPr>
          <w:rFonts w:ascii="Times New Roman" w:eastAsia="Times New Roman" w:hAnsi="Times New Roman" w:cs="Times New Roman"/>
        </w:rPr>
        <w:t>;</w:t>
      </w:r>
    </w:p>
    <w:p w14:paraId="5EAE4829" w14:textId="77777777" w:rsidR="003838F7" w:rsidRPr="003838F7" w:rsidRDefault="003838F7" w:rsidP="003838F7">
      <w:pPr>
        <w:pStyle w:val="ListParagraph"/>
        <w:numPr>
          <w:ilvl w:val="3"/>
          <w:numId w:val="1"/>
        </w:numPr>
        <w:tabs>
          <w:tab w:val="left" w:pos="851"/>
        </w:tabs>
        <w:spacing w:after="0" w:line="240" w:lineRule="auto"/>
        <w:ind w:left="709" w:hanging="709"/>
        <w:contextualSpacing w:val="0"/>
        <w:jc w:val="both"/>
        <w:rPr>
          <w:rFonts w:ascii="Times New Roman" w:hAnsi="Times New Roman" w:cs="Times New Roman"/>
          <w:color w:val="000000"/>
        </w:rPr>
      </w:pPr>
      <w:r w:rsidRPr="003838F7">
        <w:rPr>
          <w:rFonts w:ascii="Times New Roman" w:hAnsi="Times New Roman" w:cs="Times New Roman"/>
          <w:color w:val="000000"/>
        </w:rPr>
        <w:t>pagal poreikį apskaičiuoti naujai įtrauktų Saugiojo tinklo papildomų elektroninių ryšių paslaugų, atlyginimo dydžiai (ne daugiau nei dešimt per metus);</w:t>
      </w:r>
    </w:p>
    <w:p w14:paraId="5F132B27" w14:textId="77777777" w:rsidR="003838F7" w:rsidRPr="003838F7" w:rsidRDefault="003838F7" w:rsidP="003838F7">
      <w:pPr>
        <w:pStyle w:val="ListParagraph"/>
        <w:numPr>
          <w:ilvl w:val="2"/>
          <w:numId w:val="1"/>
        </w:numPr>
        <w:spacing w:after="0" w:line="240" w:lineRule="auto"/>
        <w:ind w:left="709" w:hanging="709"/>
        <w:contextualSpacing w:val="0"/>
        <w:jc w:val="both"/>
        <w:rPr>
          <w:rFonts w:ascii="Times New Roman" w:eastAsia="Times New Roman" w:hAnsi="Times New Roman" w:cs="Times New Roman"/>
        </w:rPr>
      </w:pPr>
      <w:r w:rsidRPr="003838F7">
        <w:rPr>
          <w:rFonts w:ascii="Times New Roman" w:eastAsia="Times New Roman" w:hAnsi="Times New Roman" w:cs="Times New Roman"/>
        </w:rPr>
        <w:t xml:space="preserve">parengti Saugiojo tinklo papildomų elektroninių ryšių paslaugų </w:t>
      </w:r>
      <w:r w:rsidRPr="003838F7">
        <w:rPr>
          <w:rFonts w:ascii="Times New Roman" w:hAnsi="Times New Roman" w:cs="Times New Roman"/>
          <w:color w:val="000000"/>
        </w:rPr>
        <w:t>atlyginimo dydžių patikrinimo ataskaitą</w:t>
      </w:r>
      <w:r w:rsidRPr="003838F7">
        <w:rPr>
          <w:rFonts w:ascii="Times New Roman" w:eastAsia="Times New Roman" w:hAnsi="Times New Roman" w:cs="Times New Roman"/>
        </w:rPr>
        <w:t>.</w:t>
      </w:r>
    </w:p>
    <w:p w14:paraId="7D6B6456"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Pirkimas neskaidomas į pirkimų dalis.</w:t>
      </w:r>
    </w:p>
    <w:p w14:paraId="1BF52A09" w14:textId="77777777" w:rsidR="003838F7" w:rsidRPr="003838F7" w:rsidRDefault="003838F7" w:rsidP="003838F7">
      <w:pPr>
        <w:spacing w:after="0" w:line="276" w:lineRule="auto"/>
        <w:rPr>
          <w:rFonts w:ascii="Times New Roman" w:hAnsi="Times New Roman" w:cs="Times New Roman"/>
          <w:sz w:val="24"/>
          <w:szCs w:val="24"/>
        </w:rPr>
      </w:pPr>
    </w:p>
    <w:p w14:paraId="275A593D" w14:textId="77777777" w:rsidR="003838F7" w:rsidRPr="003838F7" w:rsidRDefault="003838F7" w:rsidP="003838F7">
      <w:pPr>
        <w:pStyle w:val="ListParagraph"/>
        <w:numPr>
          <w:ilvl w:val="0"/>
          <w:numId w:val="1"/>
        </w:numPr>
        <w:spacing w:after="0" w:line="240" w:lineRule="auto"/>
        <w:ind w:left="284" w:hanging="284"/>
        <w:contextualSpacing w:val="0"/>
        <w:jc w:val="both"/>
        <w:rPr>
          <w:rFonts w:ascii="Times New Roman" w:hAnsi="Times New Roman" w:cs="Times New Roman"/>
          <w:b/>
        </w:rPr>
      </w:pPr>
      <w:r w:rsidRPr="003838F7">
        <w:rPr>
          <w:rFonts w:ascii="Times New Roman" w:hAnsi="Times New Roman" w:cs="Times New Roman"/>
          <w:b/>
        </w:rPr>
        <w:t>Bendrieji reikalavimai</w:t>
      </w:r>
    </w:p>
    <w:p w14:paraId="501E34F4" w14:textId="77777777" w:rsidR="003838F7" w:rsidRPr="003838F7" w:rsidRDefault="003838F7" w:rsidP="003838F7">
      <w:pPr>
        <w:pStyle w:val="ListParagraph"/>
        <w:ind w:left="284"/>
        <w:jc w:val="both"/>
        <w:rPr>
          <w:rFonts w:ascii="Times New Roman" w:hAnsi="Times New Roman" w:cs="Times New Roman"/>
          <w:b/>
        </w:rPr>
      </w:pPr>
    </w:p>
    <w:p w14:paraId="31E24C88"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Paslaugų teikėjas turi būti patvirtintas auditoriumi arba audito įmone Lietuvos Respublikos finansinių ataskaitų audito įstatyme numatyta tvarka.</w:t>
      </w:r>
    </w:p>
    <w:p w14:paraId="519ED9B8"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 xml:space="preserve">Saugiojo tinklo papildomų elektroninių ryšių </w:t>
      </w:r>
      <w:r w:rsidRPr="003838F7">
        <w:rPr>
          <w:rFonts w:ascii="Times New Roman" w:hAnsi="Times New Roman" w:cs="Times New Roman"/>
          <w:bCs/>
        </w:rPr>
        <w:t>paslaugų teikimo laikotarpis – 36 mėnesiai nuo sutarties įsigaliojimo datos.</w:t>
      </w:r>
    </w:p>
    <w:p w14:paraId="5613394A"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Saugiojo tinklo papildomų elektroninių ryšių paslaugų atlyginimo dydžių audito</w:t>
      </w:r>
      <w:r w:rsidRPr="003838F7" w:rsidDel="00454015">
        <w:rPr>
          <w:rFonts w:ascii="Times New Roman" w:eastAsia="Times New Roman" w:hAnsi="Times New Roman" w:cs="Times New Roman"/>
        </w:rPr>
        <w:t xml:space="preserve"> </w:t>
      </w:r>
      <w:r w:rsidRPr="003838F7">
        <w:rPr>
          <w:rFonts w:ascii="Times New Roman" w:eastAsia="Times New Roman" w:hAnsi="Times New Roman" w:cs="Times New Roman"/>
        </w:rPr>
        <w:t>paslaugų</w:t>
      </w:r>
      <w:r w:rsidRPr="003838F7">
        <w:rPr>
          <w:rFonts w:ascii="Times New Roman" w:hAnsi="Times New Roman" w:cs="Times New Roman"/>
          <w:bCs/>
        </w:rPr>
        <w:t xml:space="preserve"> užsakymą Perkančioji organizacija pateikia vieną kartą per metus. </w:t>
      </w:r>
    </w:p>
    <w:p w14:paraId="3A89B6BB"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 xml:space="preserve">Sutarties galiojimo laikotarpiu numatomas Saugiojo tinklo papildomų elektroninių ryšių paslaugų </w:t>
      </w:r>
      <w:r w:rsidRPr="003838F7">
        <w:rPr>
          <w:rFonts w:ascii="Times New Roman" w:hAnsi="Times New Roman" w:cs="Times New Roman"/>
          <w:color w:val="000000"/>
        </w:rPr>
        <w:t xml:space="preserve">atlyginimo dydžių auditas ir patikrinimo ataskaitos (išvados) rengimas </w:t>
      </w:r>
      <w:r w:rsidRPr="003838F7">
        <w:rPr>
          <w:rFonts w:ascii="Times New Roman" w:hAnsi="Times New Roman" w:cs="Times New Roman"/>
        </w:rPr>
        <w:t xml:space="preserve">per 3 mėnesius nuo </w:t>
      </w:r>
      <w:r w:rsidRPr="003838F7">
        <w:rPr>
          <w:rFonts w:ascii="Times New Roman" w:eastAsia="Times New Roman" w:hAnsi="Times New Roman" w:cs="Times New Roman"/>
        </w:rPr>
        <w:t>Perkančiosios organizacijos</w:t>
      </w:r>
      <w:r w:rsidRPr="003838F7">
        <w:rPr>
          <w:rFonts w:ascii="Times New Roman" w:hAnsi="Times New Roman" w:cs="Times New Roman"/>
        </w:rPr>
        <w:t xml:space="preserve"> užsakymo pateikimo dienos</w:t>
      </w:r>
      <w:r w:rsidRPr="003838F7">
        <w:rPr>
          <w:rFonts w:ascii="Times New Roman" w:eastAsia="Times New Roman" w:hAnsi="Times New Roman" w:cs="Times New Roman"/>
        </w:rPr>
        <w:t>.</w:t>
      </w:r>
    </w:p>
    <w:p w14:paraId="5033FE85"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Pagrindiniai auditui keliami tikslai ir uždaviniai:</w:t>
      </w:r>
    </w:p>
    <w:p w14:paraId="75B8254E" w14:textId="77777777" w:rsidR="003838F7" w:rsidRPr="003838F7" w:rsidRDefault="003838F7" w:rsidP="003838F7">
      <w:pPr>
        <w:pStyle w:val="ListParagraph"/>
        <w:numPr>
          <w:ilvl w:val="2"/>
          <w:numId w:val="1"/>
        </w:numPr>
        <w:spacing w:after="0" w:line="240" w:lineRule="auto"/>
        <w:ind w:left="709" w:hanging="709"/>
        <w:contextualSpacing w:val="0"/>
        <w:jc w:val="both"/>
        <w:rPr>
          <w:rFonts w:ascii="Times New Roman" w:eastAsia="Times New Roman" w:hAnsi="Times New Roman" w:cs="Times New Roman"/>
        </w:rPr>
      </w:pPr>
      <w:r w:rsidRPr="003838F7">
        <w:rPr>
          <w:rFonts w:ascii="Times New Roman" w:eastAsia="Times New Roman" w:hAnsi="Times New Roman" w:cs="Times New Roman"/>
        </w:rPr>
        <w:t>įvertinti Perkančiosios organizacijos jau teikiamų</w:t>
      </w:r>
      <w:r w:rsidRPr="003838F7">
        <w:rPr>
          <w:rFonts w:ascii="Times New Roman" w:hAnsi="Times New Roman" w:cs="Times New Roman"/>
          <w:color w:val="000000"/>
        </w:rPr>
        <w:t xml:space="preserve"> </w:t>
      </w:r>
      <w:r w:rsidRPr="003838F7">
        <w:rPr>
          <w:rFonts w:ascii="Times New Roman" w:eastAsia="Times New Roman" w:hAnsi="Times New Roman" w:cs="Times New Roman"/>
        </w:rPr>
        <w:t xml:space="preserve">Saugiojo tinklo papildomų elektroninių ryšių paslaugų  perskaičiuotus  </w:t>
      </w:r>
      <w:r w:rsidRPr="003838F7">
        <w:rPr>
          <w:rFonts w:ascii="Times New Roman" w:hAnsi="Times New Roman" w:cs="Times New Roman"/>
          <w:color w:val="000000"/>
        </w:rPr>
        <w:t>atlyginimo dydžius</w:t>
      </w:r>
      <w:r w:rsidRPr="003838F7">
        <w:rPr>
          <w:rFonts w:ascii="Times New Roman" w:eastAsia="Times New Roman" w:hAnsi="Times New Roman" w:cs="Times New Roman"/>
        </w:rPr>
        <w:t>;</w:t>
      </w:r>
    </w:p>
    <w:p w14:paraId="347C1E3E" w14:textId="77777777" w:rsidR="003838F7" w:rsidRPr="003838F7" w:rsidRDefault="003838F7" w:rsidP="003838F7">
      <w:pPr>
        <w:pStyle w:val="ListParagraph"/>
        <w:numPr>
          <w:ilvl w:val="2"/>
          <w:numId w:val="1"/>
        </w:numPr>
        <w:spacing w:after="0" w:line="240" w:lineRule="auto"/>
        <w:ind w:left="709" w:hanging="709"/>
        <w:contextualSpacing w:val="0"/>
        <w:jc w:val="both"/>
        <w:rPr>
          <w:rFonts w:ascii="Times New Roman" w:eastAsia="Times New Roman" w:hAnsi="Times New Roman" w:cs="Times New Roman"/>
        </w:rPr>
      </w:pPr>
      <w:r w:rsidRPr="003838F7">
        <w:rPr>
          <w:rFonts w:ascii="Times New Roman" w:eastAsia="Times New Roman" w:hAnsi="Times New Roman" w:cs="Times New Roman"/>
        </w:rPr>
        <w:t xml:space="preserve">įvertinti Perkančiosios organizacijos naujų Saugiojo tinklo papildomų elektroninių ryšių paslaugų  paskaičiuotus  </w:t>
      </w:r>
      <w:r w:rsidRPr="003838F7">
        <w:rPr>
          <w:rFonts w:ascii="Times New Roman" w:hAnsi="Times New Roman" w:cs="Times New Roman"/>
          <w:color w:val="000000"/>
        </w:rPr>
        <w:t>atlyginimo dydžius</w:t>
      </w:r>
      <w:r w:rsidRPr="003838F7">
        <w:rPr>
          <w:rFonts w:ascii="Times New Roman" w:eastAsia="Times New Roman" w:hAnsi="Times New Roman" w:cs="Times New Roman"/>
        </w:rPr>
        <w:t>;</w:t>
      </w:r>
    </w:p>
    <w:p w14:paraId="18A10293" w14:textId="77777777" w:rsidR="003838F7" w:rsidRPr="003838F7" w:rsidRDefault="003838F7" w:rsidP="003838F7">
      <w:pPr>
        <w:pStyle w:val="ListParagraph"/>
        <w:numPr>
          <w:ilvl w:val="2"/>
          <w:numId w:val="1"/>
        </w:numPr>
        <w:spacing w:after="0" w:line="240" w:lineRule="auto"/>
        <w:ind w:left="709" w:hanging="709"/>
        <w:contextualSpacing w:val="0"/>
        <w:jc w:val="both"/>
        <w:rPr>
          <w:rFonts w:ascii="Times New Roman" w:eastAsia="Times New Roman" w:hAnsi="Times New Roman" w:cs="Times New Roman"/>
        </w:rPr>
      </w:pPr>
      <w:r w:rsidRPr="003838F7">
        <w:rPr>
          <w:rFonts w:ascii="Times New Roman" w:eastAsia="Times New Roman" w:hAnsi="Times New Roman" w:cs="Times New Roman"/>
        </w:rPr>
        <w:t>atlikti apskaičiuotų atlyginimo dydžių vertinimą atsižvelgiant į teisės aktų nustatytus kriterijus;</w:t>
      </w:r>
    </w:p>
    <w:p w14:paraId="73EC70E7" w14:textId="77777777" w:rsidR="003838F7" w:rsidRPr="003838F7" w:rsidRDefault="003838F7" w:rsidP="003838F7">
      <w:pPr>
        <w:pStyle w:val="ListParagraph"/>
        <w:numPr>
          <w:ilvl w:val="2"/>
          <w:numId w:val="1"/>
        </w:numPr>
        <w:spacing w:after="0" w:line="240" w:lineRule="auto"/>
        <w:ind w:left="709" w:hanging="709"/>
        <w:contextualSpacing w:val="0"/>
        <w:jc w:val="both"/>
        <w:rPr>
          <w:rFonts w:ascii="Times New Roman" w:hAnsi="Times New Roman" w:cs="Times New Roman"/>
        </w:rPr>
      </w:pPr>
      <w:r w:rsidRPr="003838F7">
        <w:rPr>
          <w:rFonts w:ascii="Times New Roman" w:eastAsia="Times New Roman" w:hAnsi="Times New Roman" w:cs="Times New Roman"/>
        </w:rPr>
        <w:lastRenderedPageBreak/>
        <w:t>pateikti audito ataskaitą</w:t>
      </w:r>
      <w:r w:rsidRPr="003838F7">
        <w:rPr>
          <w:rFonts w:ascii="Times New Roman" w:hAnsi="Times New Roman" w:cs="Times New Roman"/>
        </w:rPr>
        <w:t>.</w:t>
      </w:r>
    </w:p>
    <w:p w14:paraId="50B45444"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Paslaugų teikėjas įsipareigoja užtikrinti konfidencialumą ir nešališkumą audito metu.</w:t>
      </w:r>
    </w:p>
    <w:p w14:paraId="31118268"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Paslaugų teikėjas privalo raštu nedelsiant informuoti Perkančiąją organizaciją apie objektyvias sąlygas, trukdančias suteikti paslaugas. Galutinis paslaugų suteikimo terminas negali būti keičiamas (koreguojamas).</w:t>
      </w:r>
    </w:p>
    <w:p w14:paraId="07C4911F" w14:textId="77777777" w:rsidR="003838F7" w:rsidRPr="003838F7" w:rsidRDefault="003838F7" w:rsidP="003838F7">
      <w:pPr>
        <w:pStyle w:val="ListParagraph"/>
        <w:numPr>
          <w:ilvl w:val="1"/>
          <w:numId w:val="1"/>
        </w:numPr>
        <w:spacing w:after="0" w:line="240" w:lineRule="auto"/>
        <w:ind w:hanging="720"/>
        <w:contextualSpacing w:val="0"/>
        <w:jc w:val="both"/>
        <w:rPr>
          <w:rFonts w:ascii="Times New Roman" w:eastAsia="Times New Roman" w:hAnsi="Times New Roman" w:cs="Times New Roman"/>
        </w:rPr>
      </w:pPr>
      <w:r w:rsidRPr="003838F7">
        <w:rPr>
          <w:rFonts w:ascii="Times New Roman" w:eastAsia="Times New Roman" w:hAnsi="Times New Roman" w:cs="Times New Roman"/>
        </w:rPr>
        <w:t>Perkančioji organizacija suteiks Paslaugų teikėjui informaciją, reikalingą šioje techninėje specifikacijoje numatytoms paslaugoms atlikti ir rezultatams pasiekti, ir suteiks patalpas teikėjo ekspertų susitikimams su Perkančiosios organizacijos darbuotojais.</w:t>
      </w:r>
    </w:p>
    <w:p w14:paraId="1B0014BA" w14:textId="77777777" w:rsidR="003838F7" w:rsidRPr="003838F7" w:rsidRDefault="003838F7" w:rsidP="003838F7">
      <w:pPr>
        <w:rPr>
          <w:rFonts w:ascii="Times New Roman" w:eastAsia="Times New Roman" w:hAnsi="Times New Roman" w:cs="Times New Roman"/>
          <w:b/>
          <w:sz w:val="24"/>
          <w:szCs w:val="24"/>
        </w:rPr>
      </w:pPr>
    </w:p>
    <w:p w14:paraId="6D27DB77" w14:textId="77777777" w:rsidR="003838F7" w:rsidRPr="003838F7" w:rsidRDefault="003838F7" w:rsidP="003838F7">
      <w:pPr>
        <w:pStyle w:val="ListParagraph"/>
        <w:numPr>
          <w:ilvl w:val="0"/>
          <w:numId w:val="1"/>
        </w:numPr>
        <w:spacing w:after="0" w:line="240" w:lineRule="auto"/>
        <w:ind w:left="284" w:hanging="284"/>
        <w:contextualSpacing w:val="0"/>
        <w:rPr>
          <w:rFonts w:ascii="Times New Roman" w:eastAsia="Times New Roman" w:hAnsi="Times New Roman" w:cs="Times New Roman"/>
          <w:b/>
        </w:rPr>
      </w:pPr>
      <w:r w:rsidRPr="003838F7">
        <w:rPr>
          <w:rFonts w:ascii="Times New Roman" w:eastAsia="Times New Roman" w:hAnsi="Times New Roman" w:cs="Times New Roman"/>
          <w:b/>
        </w:rPr>
        <w:t>Techniniai reikalavimai</w:t>
      </w:r>
    </w:p>
    <w:p w14:paraId="2D1B5167" w14:textId="77777777" w:rsidR="003838F7" w:rsidRPr="003838F7" w:rsidRDefault="003838F7" w:rsidP="003838F7">
      <w:pPr>
        <w:rPr>
          <w:rFonts w:ascii="Times New Roman" w:eastAsia="Times New Roman" w:hAnsi="Times New Roman" w:cs="Times New Roman"/>
          <w:b/>
        </w:rPr>
      </w:pPr>
    </w:p>
    <w:p w14:paraId="0C0EA8EC" w14:textId="77777777" w:rsidR="003838F7" w:rsidRPr="003838F7" w:rsidRDefault="003838F7" w:rsidP="003838F7">
      <w:pPr>
        <w:pStyle w:val="ListParagraph"/>
        <w:numPr>
          <w:ilvl w:val="1"/>
          <w:numId w:val="1"/>
        </w:numPr>
        <w:spacing w:after="0" w:line="240" w:lineRule="auto"/>
        <w:ind w:left="851" w:hanging="851"/>
        <w:contextualSpacing w:val="0"/>
        <w:jc w:val="both"/>
        <w:rPr>
          <w:rFonts w:ascii="Times New Roman" w:eastAsia="Times New Roman" w:hAnsi="Times New Roman" w:cs="Times New Roman"/>
        </w:rPr>
      </w:pPr>
      <w:r w:rsidRPr="003838F7">
        <w:rPr>
          <w:rFonts w:ascii="Times New Roman" w:eastAsia="Times New Roman" w:hAnsi="Times New Roman" w:cs="Times New Roman"/>
        </w:rPr>
        <w:t>Paslaugų teikėjas, atlikdamas šioje techninėje specifikacijoje numatytas veiklas, gavęs informaciją ir duomenis atlieka vertinimą bendradarbiaudamas su Perkančiosios organizacijos specialistais.</w:t>
      </w:r>
    </w:p>
    <w:p w14:paraId="29732AAC" w14:textId="77777777" w:rsidR="003838F7" w:rsidRPr="003838F7" w:rsidRDefault="003838F7" w:rsidP="003838F7">
      <w:pPr>
        <w:pStyle w:val="ListParagraph"/>
        <w:numPr>
          <w:ilvl w:val="1"/>
          <w:numId w:val="1"/>
        </w:numPr>
        <w:spacing w:after="0" w:line="240" w:lineRule="auto"/>
        <w:ind w:left="851" w:hanging="851"/>
        <w:contextualSpacing w:val="0"/>
        <w:jc w:val="both"/>
        <w:rPr>
          <w:rFonts w:ascii="Times New Roman" w:eastAsia="Times New Roman" w:hAnsi="Times New Roman" w:cs="Times New Roman"/>
        </w:rPr>
      </w:pPr>
      <w:r w:rsidRPr="003838F7">
        <w:rPr>
          <w:rFonts w:ascii="Times New Roman" w:eastAsia="Times New Roman" w:hAnsi="Times New Roman" w:cs="Times New Roman"/>
        </w:rPr>
        <w:t>Jei Paslaugų teikėjui iškiltų poreikis atlikti tam tikrus papildomus veiksmus (analizes, užduotis ir pan.), kurios nėra konkrečiai įvardintos šioje techninėje specifikacijoje, tačiau kurių atlikimas yra būtinas tinkamam paslaugos atlikimui, Paslaugų teikėjas privalo tęsti vykdymą, įskaitant bet kokios, papildomai reikalingos analizės atlikimą, visa tai laikoma esamos techninės specifikacijos dalimi.</w:t>
      </w:r>
    </w:p>
    <w:p w14:paraId="4238C028" w14:textId="77777777" w:rsidR="003838F7" w:rsidRPr="003838F7" w:rsidRDefault="003838F7" w:rsidP="003838F7">
      <w:pPr>
        <w:pStyle w:val="ListParagraph"/>
        <w:numPr>
          <w:ilvl w:val="1"/>
          <w:numId w:val="1"/>
        </w:numPr>
        <w:spacing w:after="0" w:line="240" w:lineRule="auto"/>
        <w:ind w:left="851" w:hanging="851"/>
        <w:contextualSpacing w:val="0"/>
        <w:jc w:val="both"/>
        <w:rPr>
          <w:rFonts w:ascii="Times New Roman" w:eastAsia="Times New Roman" w:hAnsi="Times New Roman" w:cs="Times New Roman"/>
        </w:rPr>
      </w:pPr>
      <w:r w:rsidRPr="003838F7">
        <w:rPr>
          <w:rFonts w:ascii="Times New Roman" w:eastAsia="Times New Roman" w:hAnsi="Times New Roman" w:cs="Times New Roman"/>
        </w:rPr>
        <w:t xml:space="preserve">Visi dokumentai: ataskaita ir su ja susiję dokumentai, įskaitant priedus, turi būti parengti aiškia ir taisyklinga lietuvių kalba. </w:t>
      </w:r>
    </w:p>
    <w:p w14:paraId="163096CD" w14:textId="202BF16C" w:rsidR="003838F7" w:rsidRPr="003838F7" w:rsidRDefault="003838F7" w:rsidP="003838F7">
      <w:pPr>
        <w:pStyle w:val="ListParagraph"/>
        <w:numPr>
          <w:ilvl w:val="1"/>
          <w:numId w:val="1"/>
        </w:numPr>
        <w:spacing w:after="0" w:line="240" w:lineRule="auto"/>
        <w:ind w:left="851" w:hanging="851"/>
        <w:contextualSpacing w:val="0"/>
        <w:jc w:val="both"/>
        <w:rPr>
          <w:rFonts w:ascii="Times New Roman" w:eastAsia="Times New Roman" w:hAnsi="Times New Roman" w:cs="Times New Roman"/>
        </w:rPr>
      </w:pPr>
      <w:r w:rsidRPr="003838F7">
        <w:rPr>
          <w:rFonts w:ascii="Times New Roman" w:eastAsia="Times New Roman" w:hAnsi="Times New Roman" w:cs="Times New Roman"/>
        </w:rPr>
        <w:t>Ataskaita ir visi su ja susiję dokumentai turi būti pateikiami Perkančiajai organizacijai elektronine forma pasirašyta el. parašu.</w:t>
      </w:r>
    </w:p>
    <w:bookmarkEnd w:id="0"/>
    <w:p w14:paraId="22D72A5E" w14:textId="77777777" w:rsidR="00DC203D" w:rsidRPr="003838F7" w:rsidRDefault="00DC203D">
      <w:pPr>
        <w:rPr>
          <w:rFonts w:ascii="Times New Roman" w:hAnsi="Times New Roman" w:cs="Times New Roman"/>
        </w:rPr>
      </w:pPr>
    </w:p>
    <w:sectPr w:rsidR="00DC203D" w:rsidRPr="003838F7" w:rsidSect="003838F7">
      <w:footerReference w:type="default" r:id="rId8"/>
      <w:headerReference w:type="first" r:id="rId9"/>
      <w:pgSz w:w="11906" w:h="16838"/>
      <w:pgMar w:top="993" w:right="567" w:bottom="1134" w:left="1701" w:header="226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B3F0" w14:textId="77777777" w:rsidR="00A86FDD" w:rsidRDefault="00A86FDD">
      <w:pPr>
        <w:spacing w:after="0" w:line="240" w:lineRule="auto"/>
      </w:pPr>
      <w:r>
        <w:separator/>
      </w:r>
    </w:p>
  </w:endnote>
  <w:endnote w:type="continuationSeparator" w:id="0">
    <w:p w14:paraId="77D4EA98" w14:textId="77777777" w:rsidR="00A86FDD" w:rsidRDefault="00A8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61BF" w14:textId="77777777" w:rsidR="003838F7" w:rsidRDefault="003838F7">
    <w:pPr>
      <w:pStyle w:val="Footer"/>
      <w:jc w:val="center"/>
    </w:pPr>
  </w:p>
  <w:p w14:paraId="6AE09B06" w14:textId="77777777" w:rsidR="003838F7" w:rsidRDefault="0038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9F81" w14:textId="77777777" w:rsidR="00A86FDD" w:rsidRDefault="00A86FDD">
      <w:pPr>
        <w:spacing w:after="0" w:line="240" w:lineRule="auto"/>
      </w:pPr>
      <w:r>
        <w:separator/>
      </w:r>
    </w:p>
  </w:footnote>
  <w:footnote w:type="continuationSeparator" w:id="0">
    <w:p w14:paraId="65FACF44" w14:textId="77777777" w:rsidR="00A86FDD" w:rsidRDefault="00A86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69764"/>
      <w:docPartObj>
        <w:docPartGallery w:val="Page Numbers (Top of Page)"/>
        <w:docPartUnique/>
      </w:docPartObj>
    </w:sdtPr>
    <w:sdtEndPr>
      <w:rPr>
        <w:noProof/>
      </w:rPr>
    </w:sdtEndPr>
    <w:sdtContent>
      <w:p w14:paraId="603A4C2D" w14:textId="77777777" w:rsidR="003838F7" w:rsidRDefault="003838F7">
        <w:pPr>
          <w:pStyle w:val="Header"/>
        </w:pPr>
        <w:r>
          <w:fldChar w:fldCharType="begin"/>
        </w:r>
        <w:r>
          <w:instrText xml:space="preserve"> PAGE   \* MERGEFORMAT </w:instrText>
        </w:r>
        <w:r>
          <w:fldChar w:fldCharType="separate"/>
        </w:r>
        <w:r>
          <w:rPr>
            <w:noProof/>
          </w:rPr>
          <w:t>1</w:t>
        </w:r>
        <w:r>
          <w:rPr>
            <w:noProof/>
          </w:rPr>
          <w:fldChar w:fldCharType="end"/>
        </w:r>
      </w:p>
    </w:sdtContent>
  </w:sdt>
  <w:p w14:paraId="37894100" w14:textId="77777777" w:rsidR="003838F7" w:rsidRDefault="00383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066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F7"/>
    <w:rsid w:val="00120B3A"/>
    <w:rsid w:val="003838F7"/>
    <w:rsid w:val="006715E8"/>
    <w:rsid w:val="0093260C"/>
    <w:rsid w:val="00942D69"/>
    <w:rsid w:val="00A86FDD"/>
    <w:rsid w:val="00B25825"/>
    <w:rsid w:val="00DC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5B2B"/>
  <w15:chartTrackingRefBased/>
  <w15:docId w15:val="{0F2B6012-5E69-4107-8BEF-130E4FEB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F7"/>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3838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838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838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838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838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83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8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838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838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838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838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83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8F7"/>
    <w:rPr>
      <w:rFonts w:eastAsiaTheme="majorEastAsia" w:cstheme="majorBidi"/>
      <w:color w:val="272727" w:themeColor="text1" w:themeTint="D8"/>
    </w:rPr>
  </w:style>
  <w:style w:type="paragraph" w:styleId="Title">
    <w:name w:val="Title"/>
    <w:basedOn w:val="Normal"/>
    <w:next w:val="Normal"/>
    <w:link w:val="TitleChar"/>
    <w:uiPriority w:val="10"/>
    <w:qFormat/>
    <w:rsid w:val="00383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8F7"/>
    <w:pPr>
      <w:spacing w:before="160"/>
      <w:jc w:val="center"/>
    </w:pPr>
    <w:rPr>
      <w:i/>
      <w:iCs/>
      <w:color w:val="404040" w:themeColor="text1" w:themeTint="BF"/>
    </w:rPr>
  </w:style>
  <w:style w:type="character" w:customStyle="1" w:styleId="QuoteChar">
    <w:name w:val="Quote Char"/>
    <w:basedOn w:val="DefaultParagraphFont"/>
    <w:link w:val="Quote"/>
    <w:uiPriority w:val="29"/>
    <w:rsid w:val="003838F7"/>
    <w:rPr>
      <w:i/>
      <w:iCs/>
      <w:color w:val="404040" w:themeColor="text1" w:themeTint="BF"/>
    </w:rPr>
  </w:style>
  <w:style w:type="paragraph" w:styleId="ListParagraph">
    <w:name w:val="List Paragraph"/>
    <w:basedOn w:val="Normal"/>
    <w:qFormat/>
    <w:rsid w:val="003838F7"/>
    <w:pPr>
      <w:ind w:left="720"/>
      <w:contextualSpacing/>
    </w:pPr>
  </w:style>
  <w:style w:type="character" w:styleId="IntenseEmphasis">
    <w:name w:val="Intense Emphasis"/>
    <w:basedOn w:val="DefaultParagraphFont"/>
    <w:uiPriority w:val="21"/>
    <w:qFormat/>
    <w:rsid w:val="003838F7"/>
    <w:rPr>
      <w:i/>
      <w:iCs/>
      <w:color w:val="2E74B5" w:themeColor="accent1" w:themeShade="BF"/>
    </w:rPr>
  </w:style>
  <w:style w:type="paragraph" w:styleId="IntenseQuote">
    <w:name w:val="Intense Quote"/>
    <w:basedOn w:val="Normal"/>
    <w:next w:val="Normal"/>
    <w:link w:val="IntenseQuoteChar"/>
    <w:uiPriority w:val="30"/>
    <w:qFormat/>
    <w:rsid w:val="003838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838F7"/>
    <w:rPr>
      <w:i/>
      <w:iCs/>
      <w:color w:val="2E74B5" w:themeColor="accent1" w:themeShade="BF"/>
    </w:rPr>
  </w:style>
  <w:style w:type="character" w:styleId="IntenseReference">
    <w:name w:val="Intense Reference"/>
    <w:basedOn w:val="DefaultParagraphFont"/>
    <w:uiPriority w:val="32"/>
    <w:qFormat/>
    <w:rsid w:val="003838F7"/>
    <w:rPr>
      <w:b/>
      <w:bCs/>
      <w:smallCaps/>
      <w:color w:val="2E74B5" w:themeColor="accent1" w:themeShade="BF"/>
      <w:spacing w:val="5"/>
    </w:rPr>
  </w:style>
  <w:style w:type="paragraph" w:styleId="Header">
    <w:name w:val="header"/>
    <w:basedOn w:val="Normal"/>
    <w:link w:val="HeaderChar"/>
    <w:uiPriority w:val="99"/>
    <w:unhideWhenUsed/>
    <w:rsid w:val="003838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8F7"/>
    <w:rPr>
      <w:kern w:val="0"/>
      <w:sz w:val="22"/>
      <w:szCs w:val="22"/>
      <w:lang w:val="lt-LT"/>
      <w14:ligatures w14:val="none"/>
    </w:rPr>
  </w:style>
  <w:style w:type="paragraph" w:styleId="Footer">
    <w:name w:val="footer"/>
    <w:basedOn w:val="Normal"/>
    <w:link w:val="FooterChar"/>
    <w:uiPriority w:val="99"/>
    <w:unhideWhenUsed/>
    <w:rsid w:val="003838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8F7"/>
    <w:rPr>
      <w:kern w:val="0"/>
      <w:sz w:val="22"/>
      <w:szCs w:val="22"/>
      <w:lang w:val="lt-LT"/>
      <w14:ligatures w14:val="none"/>
    </w:rPr>
  </w:style>
  <w:style w:type="character" w:styleId="Hyperlink">
    <w:name w:val="Hyperlink"/>
    <w:basedOn w:val="DefaultParagraphFont"/>
    <w:uiPriority w:val="99"/>
    <w:unhideWhenUsed/>
    <w:rsid w:val="003838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2</cp:revision>
  <dcterms:created xsi:type="dcterms:W3CDTF">2025-09-02T07:22:00Z</dcterms:created>
  <dcterms:modified xsi:type="dcterms:W3CDTF">2025-09-10T13:45:00Z</dcterms:modified>
</cp:coreProperties>
</file>