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jpg" ContentType="image/jpg"/>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Id2" /><Relationship Type="http://schemas.openxmlformats.org/package/2006/relationships/metadata/core-properties" Target="/docProps/core.xml" Id="rId6" /></Relationships>
</file>

<file path=word/document.xml><?xml version="1.0" encoding="utf-8"?>
<w:document xmlns:ve="http://schemas.openxmlformats.org/markup-compatibility/2006" xmlns:o="urn:schemas-microsoft-com:office:office"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r="http://schemas.openxmlformats.org/officeDocument/2006/relationships" xmlns:cp="http://schemas.openxmlformats.org/package/2006/metadata/core-properties" xmlns:dc="http://purl.org/dc/elements/1.1/" xmlns:a="http://schemas.openxmlformats.org/drawingml/2006/main" xmlns:pic="http://schemas.openxmlformats.org/drawingml/2006/picture" xmlns="http://www.w3.org/2001/XMLSchema">
  <w:body>
    <w:tbl>
      <w:tblPr>
        <w:tblCellMar>
          <w:top w:w="0" w:type="dxa"/>
          <w:left w:w="0" w:type="dxa"/>
          <w:bottom w:w="0" w:type="dxa"/>
          <w:right w:w="0" w:type="dxa"/>
        </w:tblCellMar>
      </w:tblPr>
      <w:tblGrid>
        <w:gridCol w:w="638"/>
        <w:gridCol w:w="9771"/>
        <w:gridCol w:w="614"/>
      </w:tblGrid>
      <w:tr>
        <w:trPr>
          <w:trHeight w:val="99" w:hRule="atLeast"/>
        </w:trPr>
        <w:tc>
          <w:tcPr>
            <w:tcW w:w="638" w:type="dxa"/>
          </w:tcPr>
          <w:p>
            <w:pPr>
              <w:pStyle w:val="EmptyCellLayoutStyle"/>
              <w:spacing w:after="0" w:line="240" w:lineRule="auto"/>
            </w:pPr>
          </w:p>
        </w:tc>
        <w:tc>
          <w:tcPr>
            <w:tcW w:w="9771" w:type="dxa"/>
          </w:tcPr>
          <w:p>
            <w:pPr>
              <w:pStyle w:val="EmptyCellLayoutStyle"/>
              <w:spacing w:after="0" w:line="240" w:lineRule="auto"/>
            </w:pPr>
          </w:p>
        </w:tc>
        <w:tc>
          <w:tcPr>
            <w:tcW w:w="614" w:type="dxa"/>
          </w:tcPr>
          <w:p>
            <w:pPr>
              <w:pStyle w:val="EmptyCellLayoutStyle"/>
              <w:spacing w:after="0" w:line="240" w:lineRule="auto"/>
            </w:pPr>
          </w:p>
        </w:tc>
      </w:tr>
      <w:tr>
        <w:trPr/>
        <w:tc>
          <w:tcPr>
            <w:tcW w:w="638" w:type="dxa"/>
          </w:tcPr>
          <w:p>
            <w:pPr>
              <w:pStyle w:val="EmptyCellLayoutStyle"/>
              <w:spacing w:after="0" w:line="240" w:lineRule="auto"/>
            </w:pPr>
          </w:p>
        </w:tc>
        <w:tc>
          <w:tcPr>
            <w:tcW w:w="9771" w:type="dxa"/>
          </w:tcPr>
          <w:tbl>
            <w:tblPr>
              <w:tblBorders>
                <w:top w:val="nil" w:color="000000" w:sz="7"/>
                <w:left w:val="nil" w:color="000000" w:sz="7"/>
                <w:bottom w:val="nil" w:color="000000" w:sz="7"/>
                <w:right w:val="nil" w:color="000000" w:sz="7"/>
              </w:tblBorders>
              <w:tblCellMar>
                <w:top w:w="0" w:type="dxa"/>
                <w:left w:w="0" w:type="dxa"/>
                <w:bottom w:w="0" w:type="dxa"/>
                <w:right w:w="0" w:type="dxa"/>
              </w:tblCellMar>
            </w:tblPr>
            <w:tblGrid>
              <w:gridCol w:w="9771"/>
            </w:tblGrid>
            <w:tr>
              <w:trPr>
                <w:trHeight w:val="12889" w:hRule="atLeast"/>
              </w:trPr>
              <w:tc>
                <w:tcPr>
                  <w:tcW w:w="9771" w:type="dxa"/>
                  <w:tcBorders>
                    <w:top w:val="nil" w:color="000000" w:sz="7"/>
                    <w:left w:val="nil" w:color="000000" w:sz="7"/>
                    <w:bottom w:val="nil" w:color="000000" w:sz="7"/>
                    <w:right w:val="nil" w:color="000000" w:sz="7"/>
                  </w:tcBorders>
                  <w:tcMar>
                    <w:top w:w="0" w:type="dxa"/>
                    <w:left w:w="0" w:type="dxa"/>
                    <w:bottom w:w="0" w:type="dxa"/>
                    <w:right w:w="0" w:type="dxa"/>
                  </w:tcMar>
                </w:tcPr>
                <w:tbl>
                  <w:tblPr>
                    <w:tblBorders>
                      <w:top w:val="nil" w:color="000000" w:sz="7"/>
                      <w:left w:val="nil" w:color="000000" w:sz="7"/>
                      <w:bottom w:val="nil" w:color="000000" w:sz="7"/>
                      <w:right w:val="nil" w:color="000000" w:sz="7"/>
                    </w:tblBorders>
                    <w:tblCellMar>
                      <w:top w:w="0" w:type="dxa"/>
                      <w:left w:w="0" w:type="dxa"/>
                      <w:bottom w:w="0" w:type="dxa"/>
                      <w:right w:w="0" w:type="dxa"/>
                    </w:tblCellMar>
                  </w:tblPr>
                  <w:tblGrid>
                    <w:gridCol w:w="3257"/>
                    <w:gridCol w:w="3257"/>
                    <w:gridCol w:w="3257"/>
                  </w:tblGrid>
                  <w:tr>
                    <w:trPr>
                      <w:trHeight w:val="986" w:hRule="atLeast"/>
                    </w:trPr>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tcBorders>
                          <w:top w:val="nil" w:color="000000" w:sz="7"/>
                          <w:left w:val="nil" w:color="000000" w:sz="7"/>
                          <w:bottom w:val="nil" w:color="000000" w:sz="7"/>
                          <w:right w:val="nil" w:color="000000" w:sz="7"/>
                        </w:tcBorders>
                        <w:tcMar>
                          <w:top w:w="0" w:type="dxa"/>
                          <w:left w:w="0" w:type="dxa"/>
                          <w:bottom w:w="0" w:type="dxa"/>
                          <w:right w:w="0" w:type="dxa"/>
                        </w:tcMar>
                      </w:tcPr>
                      <w:p>
                        <w:pPr>
                          <w:spacing w:after="0" w:line="240" w:lineRule="auto"/>
                        </w:pPr>
                        <w:r w:rsidRPr="" w:rsidDel="" w:rsidR="">
                          <w:drawing>
                            <wp:inline>
                              <wp:extent cx="2068344" cy="406073"/>
                              <wp:docPr id="0" name="img2.jpg"/>
                              <a:graphic>
                                <a:graphicData uri="http://schemas.openxmlformats.org/drawingml/2006/picture">
                                  <pic:pic>
                                    <pic:nvPicPr>
                                      <pic:cNvPr id="1" name="img2.jpg"/>
                                      <pic:cNvPicPr/>
                                    </pic:nvPicPr>
                                    <pic:blipFill>
                                      <a:blip r:embed="rId5" cstate="print"/>
                                      <a:stretch>
                                        <a:fillRect r="0" b="0"/>
                                      </a:stretch>
                                    </pic:blipFill>
                                    <pic:spPr>
                                      <a:xfrm>
                                        <a:off x="0" y="0"/>
                                        <a:ext cx="2068344" cy="406073"/>
                                      </a:xfrm>
                                      <a:prstGeom prst="rect">
                                        <a:avLst/>
                                      </a:prstGeom>
                                    </pic:spPr>
                                  </pic:pic>
                                </a:graphicData>
                              </a:graphic>
                            </wp:inline>
                          </w:drawing>
                        </w:r>
                      </w:p>
                    </w:tc>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1076"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1751" w:hRule="atLeast"/>
                    </w:trPr>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center"/>
                        </w:pPr>
                        <w:r>
                          <w:rPr>
                            <w:rFonts w:ascii="Times New Roman" w:hAnsi="Times New Roman" w:eastAsia="Times New Roman"/>
                            <w:color w:val="000000"/>
                            <w:sz w:val="24"/>
                          </w:rPr>
                          <w:t xml:space="preserve">TVIRTINU:</w:t>
                        </w:r>
                      </w:p>
                      <w:p>
                        <w:pPr>
                          <w:spacing w:after="0" w:line="240" w:lineRule="auto"/>
                          <w:jc w:val="center"/>
                        </w:pPr>
                        <w:r>
                          <w:rPr>
                            <w:rFonts w:ascii="Times New Roman" w:hAnsi="Times New Roman" w:eastAsia="Times New Roman"/>
                            <w:color w:val="000000"/>
                            <w:sz w:val="24"/>
                          </w:rPr>
                          <w:t xml:space="preserve">Justas Norbutas</w:t>
                        </w:r>
                      </w:p>
                      <w:p>
                        <w:pPr>
                          <w:spacing w:after="0" w:line="240" w:lineRule="auto"/>
                          <w:jc w:val="center"/>
                        </w:pPr>
                        <w:r>
                          <w:rPr>
                            <w:rFonts w:ascii="Times New Roman" w:hAnsi="Times New Roman" w:eastAsia="Times New Roman"/>
                            <w:color w:val="000000"/>
                            <w:sz w:val="18"/>
                          </w:rPr>
                          <w:t xml:space="preserve">(Vardo raidė, pavardė, parašas)</w:t>
                        </w:r>
                      </w:p>
                      <w:p>
                        <w:pPr>
                          <w:spacing w:after="0" w:line="240" w:lineRule="auto"/>
                          <w:jc w:val="center"/>
                        </w:pPr>
                        <w:r>
                          <w:rPr>
                            <w:rFonts w:ascii="Times New Roman" w:hAnsi="Times New Roman" w:eastAsia="Times New Roman"/>
                            <w:color w:val="000000"/>
                            <w:sz w:val="24"/>
                          </w:rPr>
                          <w:t xml:space="preserve">____________________</w:t>
                        </w:r>
                      </w:p>
                      <w:p>
                        <w:pPr>
                          <w:spacing w:after="0" w:line="240" w:lineRule="auto"/>
                          <w:jc w:val="center"/>
                        </w:pPr>
                        <w:r>
                          <w:rPr>
                            <w:rFonts w:ascii="Times New Roman" w:hAnsi="Times New Roman" w:eastAsia="Times New Roman"/>
                            <w:color w:val="000000"/>
                            <w:sz w:val="18"/>
                          </w:rPr>
                          <w:t xml:space="preserve">(data)</w:t>
                        </w:r>
                      </w:p>
                    </w:tc>
                  </w:tr>
                  <w:tr>
                    <w:trPr>
                      <w:trHeight w:val="1361"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center"/>
                        </w:pPr>
                        <w:r>
                          <w:rPr>
                            <w:rFonts w:ascii="Times New Roman" w:hAnsi="Times New Roman" w:eastAsia="Times New Roman"/>
                            <w:b/>
                            <w:color w:val="000000"/>
                            <w:sz w:val="28"/>
                          </w:rPr>
                          <w:t xml:space="preserve">TECHNINĖ UŽDUOTIS VALSTYBINĖS REIKŠMĖS KELIŲ IR</w:t>
                        </w:r>
                      </w:p>
                      <w:p>
                        <w:pPr>
                          <w:spacing w:after="0" w:line="240" w:lineRule="auto"/>
                          <w:jc w:val="center"/>
                        </w:pPr>
                        <w:r>
                          <w:rPr>
                            <w:rFonts w:ascii="Times New Roman" w:hAnsi="Times New Roman" w:eastAsia="Times New Roman"/>
                            <w:b/>
                            <w:color w:val="000000"/>
                            <w:sz w:val="28"/>
                          </w:rPr>
                          <w:t xml:space="preserve"> / ARBA JŲ ELEMENTŲ PROJEKTAVIMUI</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990" w:hRule="atLeast"/>
                    </w:trPr>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tcBorders>
                          <w:top w:val="nil" w:color="D3D3D3" w:sz="7"/>
                          <w:left w:val="nil" w:color="D3D3D3" w:sz="7"/>
                          <w:bottom w:val="nil" w:color="D3D3D3" w:sz="7"/>
                          <w:right w:val="nil" w:color="D3D3D3" w:sz="7"/>
                        </w:tcBorders>
                        <w:tcMar>
                          <w:top w:w="39" w:type="dxa"/>
                          <w:left w:w="39" w:type="dxa"/>
                          <w:bottom w:w="39" w:type="dxa"/>
                          <w:right w:w="39" w:type="dxa"/>
                        </w:tcMar>
                      </w:tcPr>
                      <w:p>
                        <w:pPr>
                          <w:spacing w:after="0" w:line="240" w:lineRule="auto"/>
                        </w:pPr>
                      </w:p>
                    </w:tc>
                    <w:tc>
                      <w:tcPr>
                        <w:tcW w:w="3257" w:type="dxa"/>
                        <w:tcBorders>
                          <w:top w:val="nil" w:color="D3D3D3" w:sz="7"/>
                          <w:left w:val="nil" w:color="D3D3D3" w:sz="7"/>
                          <w:bottom w:val="nil" w:color="D3D3D3" w:sz="7"/>
                          <w:right w:val="nil" w:color="D3D3D3" w:sz="7"/>
                        </w:tcBorders>
                        <w:tcMar>
                          <w:top w:w="39" w:type="dxa"/>
                          <w:left w:w="39" w:type="dxa"/>
                          <w:bottom w:w="39" w:type="dxa"/>
                          <w:right w:w="39" w:type="dxa"/>
                        </w:tcMar>
                      </w:tcPr>
                      <w:p>
                        <w:pPr>
                          <w:spacing w:after="0" w:line="240" w:lineRule="auto"/>
                        </w:pPr>
                      </w:p>
                    </w:tc>
                  </w:tr>
                  <w:tr>
                    <w:trPr>
                      <w:trHeight w:val="457"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left"/>
                        </w:pPr>
                        <w:r>
                          <w:rPr>
                            <w:rFonts w:ascii="Times New Roman" w:hAnsi="Times New Roman" w:eastAsia="Times New Roman"/>
                            <w:b/>
                            <w:color w:val="000000"/>
                            <w:sz w:val="24"/>
                          </w:rPr>
                          <w:t xml:space="preserve">1. Statytojas: </w:t>
                        </w:r>
                        <w:r>
                          <w:rPr>
                            <w:rFonts w:ascii="Times New Roman" w:hAnsi="Times New Roman" w:eastAsia="Times New Roman"/>
                            <w:color w:val="000000"/>
                            <w:sz w:val="24"/>
                          </w:rPr>
                          <w:t xml:space="preserve">Akcinė bendrovė Via Lietuva.</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2. Užsakovas: </w:t>
                        </w:r>
                        <w:r>
                          <w:rPr>
                            <w:rFonts w:ascii="Times New Roman" w:hAnsi="Times New Roman" w:eastAsia="Times New Roman"/>
                            <w:color w:val="000000"/>
                            <w:sz w:val="24"/>
                          </w:rPr>
                          <w:t xml:space="preserve">Akcinė bendrovė Via Lietuva.</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3. Komplekso pavadinimas: </w:t>
                        </w:r>
                        <w:r>
                          <w:rPr>
                            <w:rFonts w:ascii="Times New Roman" w:hAnsi="Times New Roman" w:eastAsia="Times New Roman"/>
                            <w:color w:val="000000"/>
                            <w:sz w:val="24"/>
                          </w:rPr>
                          <w:t xml:space="preserve">Valstybinės reikšmės krašto kelio Nr. 162 Laukuva–Šilalė ruožo nuo 14,735 iki 16,595 km rekonstravimas įrengiant pėsčiųjų-dviračių taką ir projekto vykdymo priežiūra.</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4. Projekto pavadinimas: </w:t>
                        </w:r>
                        <w:r>
                          <w:rPr>
                            <w:rFonts w:ascii="Times New Roman" w:hAnsi="Times New Roman" w:eastAsia="Times New Roman"/>
                            <w:color w:val="000000"/>
                            <w:sz w:val="24"/>
                          </w:rPr>
                          <w:t xml:space="preserve">Valstybinės reikšmės krašto kelio Nr. 162 Laukuva–Šilalė ruožo nuo 14,735 iki 16,595 km rekonstravimas įrengiant pėsčiųjų-dviračių taką.</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5. Statybos rūšis: </w:t>
                        </w:r>
                        <w:r>
                          <w:rPr>
                            <w:rFonts w:ascii="Times New Roman" w:hAnsi="Times New Roman" w:eastAsia="Times New Roman"/>
                            <w:color w:val="000000"/>
                            <w:sz w:val="24"/>
                          </w:rPr>
                          <w:t xml:space="preserve">rekonstravimas.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6. Etapas: </w:t>
                        </w:r>
                        <w:r>
                          <w:rPr>
                            <w:rFonts w:ascii="Times New Roman" w:hAnsi="Times New Roman" w:eastAsia="Times New Roman"/>
                            <w:color w:val="000000"/>
                            <w:sz w:val="24"/>
                          </w:rPr>
                          <w:t xml:space="preserve">techninis darbo projektas.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7. Statinio kategorija: </w:t>
                        </w:r>
                        <w:r>
                          <w:rPr>
                            <w:rFonts w:ascii="Times New Roman" w:hAnsi="Times New Roman" w:eastAsia="Times New Roman"/>
                            <w:color w:val="000000"/>
                            <w:sz w:val="24"/>
                          </w:rPr>
                          <w:t xml:space="preserve">ypatingasis statinys.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8. Statinio rūšis: </w:t>
                        </w:r>
                        <w:r>
                          <w:rPr>
                            <w:rFonts w:ascii="Times New Roman" w:hAnsi="Times New Roman" w:eastAsia="Times New Roman"/>
                            <w:color w:val="000000"/>
                            <w:sz w:val="24"/>
                          </w:rPr>
                          <w:t xml:space="preserve">inžinerinis statinys.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9. Inžinerinių statinių grupė: </w:t>
                        </w:r>
                        <w:r>
                          <w:rPr>
                            <w:rFonts w:ascii="Times New Roman" w:hAnsi="Times New Roman" w:eastAsia="Times New Roman"/>
                            <w:color w:val="000000"/>
                            <w:sz w:val="24"/>
                          </w:rPr>
                          <w:t xml:space="preserve">susisiekimo komunikacijos.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10. Inžinerinių statinių pogrupis: </w:t>
                        </w:r>
                        <w:r>
                          <w:rPr>
                            <w:rFonts w:ascii="Times New Roman" w:hAnsi="Times New Roman" w:eastAsia="Times New Roman"/>
                            <w:color w:val="000000"/>
                            <w:sz w:val="24"/>
                          </w:rPr>
                          <w:t xml:space="preserve">keliai.</w:t>
                        </w:r>
                        <w:r>
                          <w:rPr>
                            <w:rFonts w:ascii="Times New Roman" w:hAnsi="Times New Roman" w:eastAsia="Times New Roman"/>
                            <w:color w:val="000000"/>
                            <w:sz w:val="24"/>
                          </w:rPr>
                          <w:br/>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446"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left"/>
                        </w:pPr>
                        <w:r>
                          <w:rPr>
                            <w:rFonts w:ascii="Times New Roman" w:hAnsi="Times New Roman" w:eastAsia="Times New Roman"/>
                            <w:b/>
                            <w:color w:val="000000"/>
                            <w:sz w:val="24"/>
                          </w:rPr>
                          <w:t xml:space="preserve">11</w:t>
                        </w:r>
                        <w:r>
                          <w:rPr>
                            <w:rFonts w:ascii="Times New Roman" w:hAnsi="Times New Roman" w:eastAsia="Times New Roman"/>
                            <w:b/>
                            <w:color w:val="000000"/>
                            <w:sz w:val="24"/>
                          </w:rPr>
                          <w:t xml:space="preserve">. Nurodymai statinių ir / arba jų elementų projektavimui ir jų techniniai parametrai:</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431"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ind w:left="720" w:hanging="360"/>
                          <w:jc w:val="left"/>
                        </w:pPr>
                        <w:r>
                          <w:rPr>
                            <w:rFonts w:ascii="Times New Roman" w:hAnsi="Times New Roman" w:eastAsia="Times New Roman"/>
                            <w:i/>
                            <w:color w:val="000000"/>
                            <w:sz w:val="24"/>
                          </w:rPr>
                          <w:t xml:space="preserve">11.1. numatoma darbų vykdymo riba: </w:t>
                        </w:r>
                        <w:r>
                          <w:rPr>
                            <w:rFonts w:ascii="Times New Roman" w:hAnsi="Times New Roman" w:eastAsia="Times New Roman"/>
                            <w:color w:val="000000"/>
                            <w:sz w:val="24"/>
                          </w:rPr>
                          <w:t xml:space="preserve">Valstybinės reikšmės krašto kelio Nr. 162 Laukuva–Šilalė ruožo nuo 14,735 iki 16,595 km. (darbų ribas tikslinti projektavimo metu); ;</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11.2. kelio (gatvės) kategorija: </w:t>
                        </w:r>
                        <w:r>
                          <w:rPr>
                            <w:rFonts w:ascii="Times New Roman" w:hAnsi="Times New Roman" w:eastAsia="Times New Roman"/>
                            <w:color w:val="000000"/>
                            <w:sz w:val="24"/>
                          </w:rPr>
                          <w:t xml:space="preserve">IV; (gyvenvietėje projektuoti pagal STR 2.06.04:2014 „Gatvės ir vietinės reikšmės keliai. Bendrieji reikalavimai“, įvertinus esamą užstatymą, besiribojančius šalia kelio esančius sklypus, atstumus tarp jų ir kitą);</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11.3. projektavimo paslaugų apimtis: </w:t>
                        </w:r>
                        <w:r>
                          <w:rPr>
                            <w:rFonts w:ascii="Times New Roman" w:hAnsi="Times New Roman" w:eastAsia="Times New Roman"/>
                            <w:color w:val="000000"/>
                            <w:sz w:val="24"/>
                          </w:rPr>
                          <w:t xml:space="preserve">Nurodytame kelio ruože suprojektuoti pėsčiųjų-dviračių taką, nuovažas, sankryžų elementus. Pėsčiųjų-dviračių tako vieta (dešinė ir / ar kairė kelio pusė ir kita) nustatoma projektavimo metu pagal poreikį, vadovaujantis atliktais tyrimais ir analize. Pagal tyrimu metu nustatytą poreikį suprojektuoti saugaus eismo ir pėsčiųjų perėjimo per kelią organizavimo priemones ar numatyti jų sutvarkymą, taip pat numatyti nutiesti reikalingas pėsčiųjų-dviračių infrastruktūros jungtis (takus), kitus elementus; ;</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11.4. vieno lygio sankryžos: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11.5. pėstiesiems ir (arba) dviratininkams skirta infrastruktūra: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11.6. pėstiesiems ir (arba) dviratininkams skirtos infrastruktūros plotis: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11.7. pėstiesiems ir (arba) dviratininkams skirtos infrastruktūros dangos konstrukcija: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11.8. važiuojamosios dalies skersinis profilis: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11.9. dangos konstrukcijos klasė: </w:t>
                        </w:r>
                        <w:r>
                          <w:rPr>
                            <w:rFonts w:ascii="Times New Roman" w:hAnsi="Times New Roman" w:eastAsia="Times New Roman"/>
                            <w:color w:val="000000"/>
                            <w:sz w:val="24"/>
                          </w:rPr>
                          <w:t xml:space="preserve">Pagal Automobilių kelių standartizuotų dangų konstrukcijų projektavimo taisykles;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11.10. nuovažų skaičius: </w:t>
                        </w:r>
                        <w:r>
                          <w:rPr>
                            <w:rFonts w:ascii="Times New Roman" w:hAnsi="Times New Roman" w:eastAsia="Times New Roman"/>
                            <w:color w:val="000000"/>
                            <w:sz w:val="24"/>
                          </w:rPr>
                          <w:t xml:space="preserve">Nustatoma projektavimo metu;</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11.11. numatomi / rekonstruojami inžineriniai tinklai: </w:t>
                        </w:r>
                        <w:r>
                          <w:rPr>
                            <w:rFonts w:ascii="Times New Roman" w:hAnsi="Times New Roman" w:eastAsia="Times New Roman"/>
                            <w:color w:val="000000"/>
                            <w:sz w:val="24"/>
                          </w:rPr>
                          <w:t xml:space="preserve">Nustatoma projektavimo metu;</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11.12. vandens pralaidos: </w:t>
                        </w:r>
                        <w:r>
                          <w:rPr>
                            <w:rFonts w:ascii="Times New Roman" w:hAnsi="Times New Roman" w:eastAsia="Times New Roman"/>
                            <w:color w:val="000000"/>
                            <w:sz w:val="24"/>
                          </w:rPr>
                          <w:t xml:space="preserve">Esamų tvarkymas ar naujų įrengimas nustatomas projektavimo metu (neprojektuoti pralaidų už kelio sklypo / statinio ribos);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11.13. vandens nuleidimas nuo kelio: </w:t>
                        </w:r>
                        <w:r>
                          <w:rPr>
                            <w:rFonts w:ascii="Times New Roman" w:hAnsi="Times New Roman" w:eastAsia="Times New Roman"/>
                            <w:color w:val="000000"/>
                            <w:sz w:val="24"/>
                          </w:rPr>
                          <w:t xml:space="preserve">Kelio grioviais. Nesant galimybės nuvesti lietaus vandenį projektuojamais grioviais, suprojektuoti uždarą LVN sistemą, kuri po statybos darbų bus registruojama atskiru statiniu NTR;</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11.14. pėsčiųjų perėjimo per kelią organizavimo priemonės vieta: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11.15. pėsčiųjų perėjimo per kelią organizavimo priemonės tipas: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11.16. pėsčiųjų perėjimo per kelią organizavimo priemonės plotis, m: </w:t>
                        </w:r>
                        <w:r>
                          <w:rPr>
                            <w:rFonts w:ascii="Times New Roman" w:hAnsi="Times New Roman" w:eastAsia="Times New Roman"/>
                            <w:color w:val="000000"/>
                            <w:sz w:val="24"/>
                          </w:rPr>
                          <w:t xml:space="preserve">Pagal normatyvinių dokumentų reikalavimus;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11.17. pėsčiųjų perėjimo per kelią organizavimo priemonės kryptinis apšvietimas: </w:t>
                        </w:r>
                        <w:r>
                          <w:rPr>
                            <w:rFonts w:ascii="Times New Roman" w:hAnsi="Times New Roman" w:eastAsia="Times New Roman"/>
                            <w:color w:val="000000"/>
                            <w:sz w:val="24"/>
                          </w:rPr>
                          <w:t xml:space="preserve">nustatoma projektavimo metu;</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11.18. inžinerinės eismo saugos priemonės: </w:t>
                        </w:r>
                        <w:r>
                          <w:rPr>
                            <w:rFonts w:ascii="Times New Roman" w:hAnsi="Times New Roman" w:eastAsia="Times New Roman"/>
                            <w:color w:val="000000"/>
                            <w:sz w:val="24"/>
                          </w:rPr>
                          <w:t xml:space="preserve">Poreikį nustatyti projektavimo metu, vadovaujantis Inžinerinių eismo saugumo priemonių įgyvendinimo rekomendacijomis;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11.19. apšvietimas: </w:t>
                        </w:r>
                        <w:r>
                          <w:rPr>
                            <w:rFonts w:ascii="Times New Roman" w:hAnsi="Times New Roman" w:eastAsia="Times New Roman"/>
                            <w:color w:val="000000"/>
                            <w:sz w:val="24"/>
                          </w:rPr>
                          <w:t xml:space="preserve">Numatyti visame rekonstruojamame ruože.</w:t>
                        </w:r>
                        <w:r>
                          <w:rPr>
                            <w:rFonts w:ascii="Times New Roman" w:hAnsi="Times New Roman" w:eastAsia="Times New Roman"/>
                            <w:color w:val="000000"/>
                            <w:sz w:val="24"/>
                          </w:rPr>
                          <w:br/>
                        </w:r>
                        <w:r>
                          <w:rPr>
                            <w:rFonts w:ascii="Times New Roman" w:hAnsi="Times New Roman" w:eastAsia="Times New Roman"/>
                            <w:color w:val="000000"/>
                            <w:sz w:val="24"/>
                          </w:rPr>
                          <w:t xml:space="preserve"> </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481"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left"/>
                        </w:pPr>
                        <w:r>
                          <w:rPr>
                            <w:rFonts w:ascii="Times New Roman" w:hAnsi="Times New Roman" w:eastAsia="Times New Roman"/>
                            <w:b/>
                            <w:color w:val="000000"/>
                            <w:sz w:val="24"/>
                          </w:rPr>
                          <w:t xml:space="preserve">12</w:t>
                        </w:r>
                        <w:r>
                          <w:rPr>
                            <w:rFonts w:ascii="Times New Roman" w:hAnsi="Times New Roman" w:eastAsia="Times New Roman"/>
                            <w:b/>
                            <w:color w:val="000000"/>
                            <w:sz w:val="24"/>
                          </w:rPr>
                          <w:t xml:space="preserve">. Projektuojant vadovautis šiais dokumentais:</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581"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ind w:left="720" w:hanging="360"/>
                          <w:jc w:val="left"/>
                        </w:pPr>
                        <w:r>
                          <w:rPr>
                            <w:rFonts w:ascii="Times New Roman" w:hAnsi="Times New Roman" w:eastAsia="Times New Roman"/>
                            <w:i/>
                            <w:color w:val="000000"/>
                            <w:sz w:val="24"/>
                          </w:rPr>
                          <w:t xml:space="preserve">12.1. Lietuvos Respublikos kelių įstatymu, Lietuvos Respublikos statybos įstatymu, kelių techniniu reglamentu, statybos techniniais reglamentais, higienos normomis, kitais poįstatyminiais teisės aktais: </w:t>
                        </w:r>
                        <w:r>
                          <w:rPr>
                            <w:rFonts w:ascii="Times New Roman" w:hAnsi="Times New Roman" w:eastAsia="Times New Roman"/>
                            <w:color w:val="000000"/>
                            <w:sz w:val="24"/>
                          </w:rPr>
                          <w:t xml:space="preserve">Taip;</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12.2. kitais galiojančiais įstatymais, teisės aktais ir normatyviniais statybos techniniais dokumentais, įskaitant, bet neapsiribojant, nurodytais Akcinės bendrovės Lietuvos automobilių kelių direkcijos interneto svetainėje adresu http://lakd.lt/lt/paslaugos/normatyviniai-dokumentai : </w:t>
                        </w:r>
                        <w:r>
                          <w:rPr>
                            <w:rFonts w:ascii="Times New Roman" w:hAnsi="Times New Roman" w:eastAsia="Times New Roman"/>
                            <w:color w:val="000000"/>
                            <w:sz w:val="24"/>
                          </w:rPr>
                          <w:t xml:space="preserve">Taip;</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12.3. projekto rengimo dokumentais: </w:t>
                        </w:r>
                        <w:r>
                          <w:rPr>
                            <w:rFonts w:ascii="Times New Roman" w:hAnsi="Times New Roman" w:eastAsia="Times New Roman"/>
                            <w:color w:val="000000"/>
                            <w:sz w:val="24"/>
                          </w:rPr>
                          <w:t xml:space="preserve">Taip;</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i/>
                            <w:color w:val="000000"/>
                            <w:sz w:val="24"/>
                          </w:rPr>
                          <w:t xml:space="preserve">12.4. prisijungimo sąlygomis: </w:t>
                        </w:r>
                        <w:r>
                          <w:rPr>
                            <w:rFonts w:ascii="Times New Roman" w:hAnsi="Times New Roman" w:eastAsia="Times New Roman"/>
                            <w:color w:val="000000"/>
                            <w:sz w:val="24"/>
                          </w:rPr>
                          <w:t xml:space="preserve">Taip.</w:t>
                        </w:r>
                        <w:r>
                          <w:rPr>
                            <w:rFonts w:ascii="Times New Roman" w:hAnsi="Times New Roman" w:eastAsia="Times New Roman"/>
                            <w:color w:val="000000"/>
                            <w:sz w:val="24"/>
                          </w:rPr>
                          <w:br/>
                        </w:r>
                        <w:r>
                          <w:rPr>
                            <w:rFonts w:ascii="Times New Roman" w:hAnsi="Times New Roman" w:eastAsia="Times New Roman"/>
                            <w:color w:val="000000"/>
                            <w:sz w:val="24"/>
                          </w:rPr>
                          <w:t xml:space="preserve"> </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1135" w:hRule="atLeast"/>
                    </w:trPr>
                    <w:tc>
                      <w:tcPr>
                        <w:tcW w:w="3257" w:type="dxa"/>
                        <w:hMerge w:val="restart"/>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left"/>
                        </w:pPr>
                        <w:r>
                          <w:rPr>
                            <w:rFonts w:ascii="Times New Roman" w:hAnsi="Times New Roman" w:eastAsia="Times New Roman"/>
                            <w:b/>
                            <w:color w:val="000000"/>
                            <w:sz w:val="24"/>
                          </w:rPr>
                          <w:t xml:space="preserve">13. Finansavimo šaltinis: </w:t>
                        </w:r>
                        <w:r>
                          <w:rPr>
                            <w:rFonts w:ascii="Times New Roman" w:hAnsi="Times New Roman" w:eastAsia="Times New Roman"/>
                            <w:color w:val="000000"/>
                            <w:sz w:val="24"/>
                          </w:rPr>
                        </w:r>
                        <w:r>
                          <w:rPr>
                            <w:rFonts w:ascii="Times New Roman" w:hAnsi="Times New Roman" w:eastAsia="Times New Roman"/>
                            <w:color w:val="000000"/>
                            <w:sz w:val="24"/>
                          </w:rPr>
                          <w:br/>
                          <w:t xml:space="preserve">Kelių priežiūros ir plėtros programos lėšos.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14. Projekto apimtis: </w:t>
                        </w:r>
                        <w:r>
                          <w:rPr>
                            <w:rFonts w:ascii="Times New Roman" w:hAnsi="Times New Roman" w:eastAsia="Times New Roman"/>
                            <w:color w:val="000000"/>
                            <w:sz w:val="24"/>
                          </w:rPr>
                        </w:r>
                        <w:r>
                          <w:rPr>
                            <w:rFonts w:ascii="Times New Roman" w:hAnsi="Times New Roman" w:eastAsia="Times New Roman"/>
                            <w:color w:val="000000"/>
                            <w:sz w:val="24"/>
                          </w:rPr>
                          <w:br/>
                          <w:t xml:space="preserve">Pagal STR 1.04.04:2017 „Statinio projektavimas, projekto ekspertizė“. .</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15. Papildomos paslaugos (paslaugos, deleguotos Statytojo projektuotojui): </w:t>
                        </w:r>
                        <w:r>
                          <w:rPr>
                            <w:rFonts w:ascii="Times New Roman" w:hAnsi="Times New Roman" w:eastAsia="Times New Roman"/>
                            <w:color w:val="000000"/>
                            <w:sz w:val="24"/>
                          </w:rPr>
                        </w:r>
                        <w:r>
                          <w:rPr>
                            <w:rFonts w:ascii="Times New Roman" w:hAnsi="Times New Roman" w:eastAsia="Times New Roman"/>
                            <w:color w:val="000000"/>
                            <w:sz w:val="24"/>
                          </w:rPr>
                          <w:br/>
                          <w:t xml:space="preserve">Atlikti kitas papildomas paslaugas kaip tai numato Techninė specifikacija ir Sutarties sąlygos.</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16. Su šia užduotimi pateikiami Statytojo privalomieji ir kiti dokumentai projektui rengti bei šių dokumentų pateikimo laikotarpis: </w:t>
                        </w:r>
                        <w:r>
                          <w:rPr>
                            <w:rFonts w:ascii="Times New Roman" w:hAnsi="Times New Roman" w:eastAsia="Times New Roman"/>
                            <w:color w:val="000000"/>
                            <w:sz w:val="24"/>
                          </w:rPr>
                        </w:r>
                        <w:r>
                          <w:rPr>
                            <w:rFonts w:ascii="Times New Roman" w:hAnsi="Times New Roman" w:eastAsia="Times New Roman"/>
                            <w:color w:val="000000"/>
                            <w:sz w:val="24"/>
                          </w:rPr>
                          <w:br/>
                          <w:t xml:space="preserve">Priedas Nr. 1. Techninė specifikacija; Priedas Nr. 1.1 Prašymo forma „Dėl ekspertizės atlikimo“. Priedas Nr. 1.2. Prašymo forma „Dėl projekto perdavimo statytojo (užsakovo) tvirtinimui“. Priedas Nr. 1.3. Prašymo forma „Dėl projekto perdavimo po rangos darbų pirkimo“. Priedas Nr. 1.4. Bendrųjų statinio rodiklių forma. Priedas Nr. 1.5 Statinio fizinių rodiklių sąrašas. Priedas Nr. 1.6 Naujų projektų laidų parengimo gairės. Priedas Nr. 1.7. Reikalavimai žiniaraščiams. Priedas Nr. 1.8. Pridedama turima projektinė dokumentacija; Priedas Nr. 1.9. Kadastrinių matavimų bylos (pateikiama pasirašius paslaugų sutartį).</w:t>
                        </w:r>
                        <w:r>
                          <w:rPr>
                            <w:rFonts w:ascii="Times New Roman" w:hAnsi="Times New Roman" w:eastAsia="Times New Roman"/>
                            <w:color w:val="000000"/>
                            <w:sz w:val="24"/>
                          </w:rPr>
                          <w:br/>
                        </w:r>
                        <w:r>
                          <w:rPr>
                            <w:rFonts w:ascii="Times New Roman" w:hAnsi="Times New Roman" w:eastAsia="Times New Roman"/>
                            <w:color w:val="000000"/>
                            <w:sz w:val="24"/>
                          </w:rPr>
                          <w:br/>
                        </w:r>
                        <w:r>
                          <w:rPr>
                            <w:rFonts w:ascii="Times New Roman" w:hAnsi="Times New Roman" w:eastAsia="Times New Roman"/>
                            <w:b/>
                            <w:color w:val="000000"/>
                            <w:sz w:val="24"/>
                          </w:rPr>
                          <w:t xml:space="preserve">17. Žemės sklypo statinio teisinės registracijos Nekilnojamojo turto registre duomenys: </w:t>
                        </w:r>
                        <w:r>
                          <w:rPr>
                            <w:rFonts w:ascii="Times New Roman" w:hAnsi="Times New Roman" w:eastAsia="Times New Roman"/>
                            <w:color w:val="000000"/>
                            <w:sz w:val="24"/>
                          </w:rPr>
                        </w:r>
                        <w:r>
                          <w:rPr>
                            <w:rFonts w:ascii="Times New Roman" w:hAnsi="Times New Roman" w:eastAsia="Times New Roman"/>
                            <w:color w:val="000000"/>
                            <w:sz w:val="24"/>
                          </w:rPr>
                          <w:br/>
                          <w:t xml:space="preserve">Žemės sklypo unikalus numeriai: 4400-2778-7566, 4400-2608-6728, 4400-2651-8527. Inžinerinio statinio unikalus numeris: 4400-2696-8512.</w:t>
                        </w:r>
                        <w:r>
                          <w:rPr>
                            <w:rFonts w:ascii="Times New Roman" w:hAnsi="Times New Roman" w:eastAsia="Times New Roman"/>
                            <w:color w:val="000000"/>
                            <w:sz w:val="24"/>
                          </w:rPr>
                          <w:br/>
                        </w:r>
                        <w:r>
                          <w:rPr>
                            <w:rFonts w:ascii="Times New Roman" w:hAnsi="Times New Roman" w:eastAsia="Times New Roman"/>
                            <w:color w:val="000000"/>
                            <w:sz w:val="24"/>
                          </w:rPr>
                          <w:t xml:space="preserve"> </w:t>
                        </w: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c>
                      <w:tcPr>
                        <w:tcW w:w="3257" w:type="dxa"/>
                        <w:hMerge w:val="continue"/>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pPr>
                      </w:p>
                    </w:tc>
                  </w:tr>
                  <w:tr>
                    <w:trPr>
                      <w:trHeight w:val="2256" w:hRule="atLeast"/>
                    </w:trPr>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center"/>
                        </w:pPr>
                      </w:p>
                      <w:p>
                        <w:pPr>
                          <w:spacing w:after="0" w:line="240" w:lineRule="auto"/>
                          <w:jc w:val="center"/>
                        </w:pPr>
                        <w:r>
                          <w:rPr>
                            <w:rFonts w:ascii="Times New Roman" w:hAnsi="Times New Roman" w:eastAsia="Times New Roman"/>
                            <w:color w:val="000000"/>
                            <w:sz w:val="24"/>
                          </w:rPr>
                          <w:t xml:space="preserve">STATYTOJAS</w:t>
                        </w:r>
                      </w:p>
                      <w:p>
                        <w:pPr>
                          <w:spacing w:after="0" w:line="240" w:lineRule="auto"/>
                          <w:jc w:val="center"/>
                        </w:pPr>
                        <w:r>
                          <w:rPr>
                            <w:rFonts w:ascii="Times New Roman" w:hAnsi="Times New Roman" w:eastAsia="Times New Roman"/>
                            <w:color w:val="000000"/>
                            <w:sz w:val="24"/>
                          </w:rPr>
                          <w:t xml:space="preserve">Akcinė bendrovė Via Lietuva</w:t>
                        </w:r>
                      </w:p>
                      <w:p>
                        <w:pPr>
                          <w:spacing w:after="0" w:line="240" w:lineRule="auto"/>
                          <w:jc w:val="center"/>
                        </w:pPr>
                      </w:p>
                      <w:p>
                        <w:pPr>
                          <w:spacing w:after="0" w:line="240" w:lineRule="auto"/>
                          <w:jc w:val="center"/>
                        </w:pPr>
                        <w:r>
                          <w:rPr>
                            <w:rFonts w:ascii="Times New Roman" w:hAnsi="Times New Roman" w:eastAsia="Times New Roman"/>
                            <w:color w:val="000000"/>
                            <w:sz w:val="24"/>
                          </w:rPr>
                          <w:t xml:space="preserve">(vardas, pavardė, parašas, data)</w:t>
                        </w:r>
                      </w:p>
                    </w:tc>
                    <w:tc>
                      <w:tcPr>
                        <w:tcW w:w="3257" w:type="dxa"/>
                        <w:tcBorders>
                          <w:top w:val="nil" w:color="D3D3D3" w:sz="7"/>
                          <w:left w:val="nil" w:color="D3D3D3" w:sz="7"/>
                          <w:bottom w:val="nil" w:color="D3D3D3" w:sz="7"/>
                          <w:right w:val="nil" w:color="D3D3D3" w:sz="7"/>
                        </w:tcBorders>
                        <w:tcMar>
                          <w:top w:w="39" w:type="dxa"/>
                          <w:left w:w="39" w:type="dxa"/>
                          <w:bottom w:w="39" w:type="dxa"/>
                          <w:right w:w="39" w:type="dxa"/>
                        </w:tcMar>
                      </w:tcPr>
                      <w:p>
                        <w:pPr>
                          <w:spacing w:after="0" w:line="240" w:lineRule="auto"/>
                        </w:pPr>
                      </w:p>
                    </w:tc>
                    <w:tc>
                      <w:tcPr>
                        <w:tcW w:w="3257" w:type="dxa"/>
                        <w:tcBorders>
                          <w:top w:val="nil" w:color="000000" w:sz="7"/>
                          <w:left w:val="nil" w:color="000000" w:sz="7"/>
                          <w:bottom w:val="nil" w:color="000000" w:sz="7"/>
                          <w:right w:val="nil" w:color="000000" w:sz="7"/>
                        </w:tcBorders>
                        <w:tcMar>
                          <w:top w:w="39" w:type="dxa"/>
                          <w:left w:w="39" w:type="dxa"/>
                          <w:bottom w:w="39" w:type="dxa"/>
                          <w:right w:w="39" w:type="dxa"/>
                        </w:tcMar>
                      </w:tcPr>
                      <w:p>
                        <w:pPr>
                          <w:spacing w:after="0" w:line="240" w:lineRule="auto"/>
                          <w:jc w:val="center"/>
                        </w:pPr>
                      </w:p>
                      <w:p>
                        <w:pPr>
                          <w:spacing w:after="0" w:line="240" w:lineRule="auto"/>
                          <w:jc w:val="center"/>
                        </w:pPr>
                        <w:r>
                          <w:rPr>
                            <w:rFonts w:ascii="Times New Roman" w:hAnsi="Times New Roman" w:eastAsia="Times New Roman"/>
                            <w:color w:val="000000"/>
                            <w:sz w:val="24"/>
                          </w:rPr>
                          <w:t xml:space="preserve">PROJEKTUOTOJAS</w:t>
                        </w:r>
                      </w:p>
                      <w:p>
                        <w:pPr>
                          <w:spacing w:after="0" w:line="240" w:lineRule="auto"/>
                          <w:jc w:val="center"/>
                        </w:pPr>
                      </w:p>
                      <w:p>
                        <w:pPr>
                          <w:spacing w:after="0" w:line="240" w:lineRule="auto"/>
                          <w:jc w:val="center"/>
                        </w:pPr>
                      </w:p>
                      <w:p>
                        <w:pPr>
                          <w:spacing w:after="0" w:line="240" w:lineRule="auto"/>
                          <w:jc w:val="center"/>
                        </w:pPr>
                        <w:r>
                          <w:rPr>
                            <w:rFonts w:ascii="Times New Roman" w:hAnsi="Times New Roman" w:eastAsia="Times New Roman"/>
                            <w:color w:val="000000"/>
                            <w:sz w:val="24"/>
                          </w:rPr>
                          <w:t xml:space="preserve">(vardas, pavardė, parašas, data)</w:t>
                        </w:r>
                      </w:p>
                    </w:tc>
                  </w:tr>
                </w:tbl>
                <w:p>
                  <w:pPr>
                    <w:spacing w:after="0" w:line="240" w:lineRule="auto"/>
                  </w:pPr>
                </w:p>
              </w:tc>
            </w:tr>
          </w:tbl>
          <w:p>
            <w:pPr>
              <w:spacing w:after="0" w:line="240" w:lineRule="auto"/>
            </w:pPr>
          </w:p>
        </w:tc>
        <w:tc>
          <w:tcPr>
            <w:tcW w:w="614" w:type="dxa"/>
          </w:tcPr>
          <w:p>
            <w:pPr>
              <w:pStyle w:val="EmptyCellLayoutStyle"/>
              <w:spacing w:after="0" w:line="240" w:lineRule="auto"/>
            </w:pPr>
          </w:p>
        </w:tc>
      </w:tr>
      <w:tr>
        <w:trPr>
          <w:trHeight w:val="952" w:hRule="atLeast"/>
        </w:trPr>
        <w:tc>
          <w:tcPr>
            <w:tcW w:w="638" w:type="dxa"/>
          </w:tcPr>
          <w:p>
            <w:pPr>
              <w:pStyle w:val="EmptyCellLayoutStyle"/>
              <w:spacing w:after="0" w:line="240" w:lineRule="auto"/>
            </w:pPr>
          </w:p>
        </w:tc>
        <w:tc>
          <w:tcPr>
            <w:tcW w:w="9771" w:type="dxa"/>
          </w:tcPr>
          <w:p>
            <w:pPr>
              <w:pStyle w:val="EmptyCellLayoutStyle"/>
              <w:spacing w:after="0" w:line="240" w:lineRule="auto"/>
            </w:pPr>
          </w:p>
        </w:tc>
        <w:tc>
          <w:tcPr>
            <w:tcW w:w="614" w:type="dxa"/>
          </w:tcPr>
          <w:p>
            <w:pPr>
              <w:pStyle w:val="EmptyCellLayoutStyle"/>
              <w:spacing w:after="0" w:line="240" w:lineRule="auto"/>
            </w:pPr>
          </w:p>
        </w:tc>
      </w:tr>
    </w:tbl>
    <w:p>
      <w:pPr>
        <w:spacing w:after="0" w:line="240" w:lineRule="auto"/>
      </w:pPr>
    </w:p>
    <w:sectPr w:rsidRPr="" w:rsidDel="" w:rsidR="" w:rsidSect="">
      <w:pgSz w:w="12584" w:h="16837"/>
      <w:pgMar w:top="2125" w:right="566" w:bottom="2332" w:left="992" w:header="1559" w:footer="1133" w:gutter=""/>
    </w:sectPr>
  </w:body>
</w:document>
</file>

<file path=word/numbering.xml><?xml version="1.0" encoding="utf-8"?>
<w:numbering xmlns:ve="http://schemas.openxmlformats.org/markup-compatibility/2006" xmlns:o="urn:schemas-microsoft-com:office:office"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r="http://schemas.openxmlformats.org/officeDocument/2006/relationships" xmlns:cp="http://schemas.openxmlformats.org/package/2006/metadata/core-properties" xmlns:dc="http://purl.org/dc/elements/1.1/" xmlns:a="http://schemas.openxmlformats.org/drawingml/2006/main" xmlns:pic="http://schemas.openxmlformats.org/drawingml/2006/picture" xmlns="http://www.w3.org/2001/XMLSchema">
  <w:abstractNum w:abstractNumId="0">
    <w:nsid w:val="00000001"/>
    <w:multiLevelType w:val="multilevel"/>
    <w:tmpl w:val="00000001"/>
    <w:lvl w:ilvl="0">
      <w:start w:val="1"/>
      <w:numFmt w:val="bullet"/>
      <w:lvlText w:val="·"/>
      <w:lvlJc w:val="left"/>
      <w:rPr>
        <w:rFonts w:ascii="Symbol" w:hAnsi="Symbol" w:eastAsia="Symbol" w:cs="Symbol"/>
        <w:sz w:val="20"/>
      </w:rPr>
    </w:lvl>
    <w:lvl w:ilvl="1">
      <w:start w:val="1"/>
      <w:numFmt w:val="bullet"/>
      <w:lvlText w:val="o"/>
      <w:lvlJc w:val="left"/>
      <w:rPr>
        <w:rFonts w:ascii="Courier New" w:hAnsi="Courier New" w:eastAsia="Courier New" w:cs="Courier New"/>
        <w:sz w:val="20"/>
      </w:rPr>
    </w:lvl>
    <w:lvl w:ilvl="2">
      <w:start w:val="1"/>
      <w:numFmt w:val="bullet"/>
      <w:lvlText w:val="§"/>
      <w:lvlJc w:val="left"/>
      <w:rPr>
        <w:rFonts w:ascii="Wingdings" w:hAnsi="Wingdings" w:eastAsia="Wingdings" w:cs="Wingdings"/>
        <w:sz w:val="20"/>
      </w:rPr>
    </w:lvl>
    <w:lvl w:ilvl="3">
      <w:start w:val="1"/>
      <w:numFmt w:val="bullet"/>
      <w:lvlText w:val="·"/>
      <w:lvlJc w:val="left"/>
      <w:rPr>
        <w:rFonts w:ascii="Symbol" w:hAnsi="Symbol" w:eastAsia="Symbol" w:cs="Symbol"/>
        <w:sz w:val="20"/>
      </w:rPr>
    </w:lvl>
    <w:lvl w:ilvl="4">
      <w:start w:val="1"/>
      <w:numFmt w:val="bullet"/>
      <w:lvlText w:val="o"/>
      <w:lvlJc w:val="left"/>
      <w:rPr>
        <w:rFonts w:ascii="Courier New" w:hAnsi="Courier New" w:eastAsia="Courier New" w:cs="Courier New"/>
        <w:sz w:val="20"/>
      </w:rPr>
    </w:lvl>
    <w:lvl w:ilvl="5">
      <w:start w:val="1"/>
      <w:numFmt w:val="bullet"/>
      <w:lvlText w:val="§"/>
      <w:lvlJc w:val="left"/>
      <w:rPr>
        <w:rFonts w:ascii="Wingdings" w:hAnsi="Wingdings" w:eastAsia="Wingdings" w:cs="Wingdings"/>
        <w:sz w:val="20"/>
      </w:rPr>
    </w:lvl>
    <w:lvl w:ilvl="6">
      <w:start w:val="1"/>
      <w:numFmt w:val="bullet"/>
      <w:lvlText w:val="·"/>
      <w:lvlJc w:val="left"/>
      <w:rPr>
        <w:rFonts w:ascii="Symbol" w:hAnsi="Symbol" w:eastAsia="Symbol" w:cs="Symbol"/>
        <w:sz w:val="20"/>
      </w:rPr>
    </w:lvl>
    <w:lvl w:ilvl="7">
      <w:start w:val="1"/>
      <w:numFmt w:val="bullet"/>
      <w:lvlText w:val="o"/>
      <w:lvlJc w:val="left"/>
      <w:rPr>
        <w:rFonts w:ascii="Courier New" w:hAnsi="Courier New" w:eastAsia="Courier New" w:cs="Courier New"/>
        <w:sz w:val="20"/>
      </w:rPr>
    </w:lvl>
    <w:lvl w:ilvl="8">
      <w:start w:val="1"/>
      <w:numFmt w:val="bullet"/>
      <w:lvlText w:val="§"/>
      <w:lvlJc w:val="left"/>
      <w:rPr>
        <w:rFonts w:ascii="Wingdings" w:hAnsi="Wingdings" w:eastAsia="Wingdings" w:cs="Wingdings"/>
        <w:sz w:val="20"/>
      </w:rPr>
    </w:lvl>
  </w:abstractNum>
  <w:abstractNum w:abstractNumId="1">
    <w:nsid w:val="00000002"/>
    <w:multiLevelType w:val="multilevel"/>
    <w:tmpl w:val="00000002"/>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2">
    <w:nsid w:val="00000003"/>
    <w:multiLevelType w:val="multilevel"/>
    <w:tmpl w:val="00000003"/>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3">
    <w:nsid w:val="00000004"/>
    <w:multiLevelType w:val="multilevel"/>
    <w:tmpl w:val="00000004"/>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4">
    <w:nsid w:val="00000005"/>
    <w:multiLevelType w:val="multilevel"/>
    <w:tmpl w:val="00000005"/>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5">
    <w:nsid w:val="00000006"/>
    <w:multiLevelType w:val="multilevel"/>
    <w:tmpl w:val="00000006"/>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6">
    <w:nsid w:val="00000007"/>
    <w:multiLevelType w:val="multilevel"/>
    <w:tmpl w:val="00000007"/>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7">
    <w:nsid w:val="00000008"/>
    <w:multiLevelType w:val="multilevel"/>
    <w:tmpl w:val="00000008"/>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8">
    <w:nsid w:val="00000009"/>
    <w:multiLevelType w:val="multilevel"/>
    <w:tmpl w:val="00000009"/>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9">
    <w:nsid w:val="0000000A"/>
    <w:multiLevelType w:val="multilevel"/>
    <w:tmpl w:val="0000000A"/>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0">
    <w:nsid w:val="0000000B"/>
    <w:multiLevelType w:val="multilevel"/>
    <w:tmpl w:val="0000000B"/>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1">
    <w:nsid w:val="0000000C"/>
    <w:multiLevelType w:val="multilevel"/>
    <w:tmpl w:val="0000000C"/>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2">
    <w:nsid w:val="0000000D"/>
    <w:multiLevelType w:val="multilevel"/>
    <w:tmpl w:val="0000000D"/>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3">
    <w:nsid w:val="0000000E"/>
    <w:multiLevelType w:val="multilevel"/>
    <w:tmpl w:val="0000000E"/>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4">
    <w:nsid w:val="0000000F"/>
    <w:multiLevelType w:val="multilevel"/>
    <w:tmpl w:val="0000000F"/>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5">
    <w:nsid w:val="00000010"/>
    <w:multiLevelType w:val="multilevel"/>
    <w:tmpl w:val="00000010"/>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6">
    <w:nsid w:val="00000011"/>
    <w:multiLevelType w:val="multilevel"/>
    <w:tmpl w:val="00000011"/>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7">
    <w:nsid w:val="00000012"/>
    <w:multiLevelType w:val="multilevel"/>
    <w:tmpl w:val="00000012"/>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8">
    <w:nsid w:val="00000013"/>
    <w:multiLevelType w:val="multilevel"/>
    <w:tmpl w:val="00000013"/>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19">
    <w:nsid w:val="00000014"/>
    <w:multiLevelType w:val="multilevel"/>
    <w:tmpl w:val="00000014"/>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20">
    <w:nsid w:val="00000015"/>
    <w:multiLevelType w:val="multilevel"/>
    <w:tmpl w:val="00000015"/>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21">
    <w:nsid w:val="00000016"/>
    <w:multiLevelType w:val="multilevel"/>
    <w:tmpl w:val="00000016"/>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22">
    <w:nsid w:val="00000017"/>
    <w:multiLevelType w:val="multilevel"/>
    <w:tmpl w:val="00000017"/>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abstractNum w:abstractNumId="23">
    <w:nsid w:val="00000018"/>
    <w:multiLevelType w:val="multilevel"/>
    <w:tmpl w:val="00000018"/>
    <w:lvl w:ilvl="0">
      <w:start w:val="1"/>
      <w:numFmt w:val="decimal"/>
      <w:lvlText w:val="%1."/>
      <w:lvlJc w:val="left"/>
      <w:rPr>
        <w:rFonts w:ascii="Arial" w:hAnsi="Arial" w:eastAsia="Arial" w:cs="Arial"/>
        <w:sz w:val="20"/>
      </w:rPr>
    </w:lvl>
    <w:lvl w:ilvl="1">
      <w:start w:val="1"/>
      <w:numFmt w:val="lowerRoman"/>
      <w:lvlText w:val="%2."/>
      <w:lvlJc w:val="left"/>
      <w:rPr>
        <w:rFonts w:ascii="Arial" w:hAnsi="Arial" w:eastAsia="Arial" w:cs="Arial"/>
        <w:sz w:val="20"/>
      </w:rPr>
    </w:lvl>
    <w:lvl w:ilvl="2">
      <w:start w:val="1"/>
      <w:numFmt w:val="lowerLetter"/>
      <w:lvlText w:val="%3."/>
      <w:lvlJc w:val="left"/>
      <w:rPr>
        <w:rFonts w:ascii="Arial" w:hAnsi="Arial" w:eastAsia="Arial" w:cs="Arial"/>
        <w:sz w:val="20"/>
      </w:rPr>
    </w:lvl>
    <w:lvl w:ilvl="3">
      <w:start w:val="1"/>
      <w:numFmt w:val="decimal"/>
      <w:lvlText w:val="%4."/>
      <w:lvlJc w:val="left"/>
      <w:rPr>
        <w:rFonts w:ascii="Arial" w:hAnsi="Arial" w:eastAsia="Arial" w:cs="Arial"/>
        <w:sz w:val="20"/>
      </w:rPr>
    </w:lvl>
    <w:lvl w:ilvl="4">
      <w:start w:val="1"/>
      <w:numFmt w:val="lowerRoman"/>
      <w:lvlText w:val="%5."/>
      <w:lvlJc w:val="left"/>
      <w:rPr>
        <w:rFonts w:ascii="Arial" w:hAnsi="Arial" w:eastAsia="Arial" w:cs="Arial"/>
        <w:sz w:val="20"/>
      </w:rPr>
    </w:lvl>
    <w:lvl w:ilvl="5">
      <w:start w:val="1"/>
      <w:numFmt w:val="lowerLetter"/>
      <w:lvlText w:val="%6."/>
      <w:lvlJc w:val="left"/>
      <w:rPr>
        <w:rFonts w:ascii="Arial" w:hAnsi="Arial" w:eastAsia="Arial" w:cs="Arial"/>
        <w:sz w:val="20"/>
      </w:rPr>
    </w:lvl>
    <w:lvl w:ilvl="6">
      <w:start w:val="1"/>
      <w:numFmt w:val="decimal"/>
      <w:lvlText w:val="%7."/>
      <w:lvlJc w:val="left"/>
      <w:rPr>
        <w:rFonts w:ascii="Arial" w:hAnsi="Arial" w:eastAsia="Arial" w:cs="Arial"/>
        <w:sz w:val="20"/>
      </w:rPr>
    </w:lvl>
    <w:lvl w:ilvl="7">
      <w:start w:val="1"/>
      <w:numFmt w:val="lowerRoman"/>
      <w:lvlText w:val="%8."/>
      <w:lvlJc w:val="left"/>
      <w:rPr>
        <w:rFonts w:ascii="Arial" w:hAnsi="Arial" w:eastAsia="Arial" w:cs="Arial"/>
        <w:sz w:val="20"/>
      </w:rPr>
    </w:lvl>
    <w:lvl w:ilvl="8">
      <w:start w:val="1"/>
      <w:numFmt w:val="lowerLetter"/>
      <w:lvlText w:val="%9."/>
      <w:lvlJc w:val="left"/>
      <w:rPr>
        <w:rFonts w:ascii="Arial" w:hAnsi="Arial" w:eastAsia="Arial" w:cs="Arial"/>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ve="http://schemas.openxmlformats.org/markup-compatibility/2006" xmlns:o="urn:schemas-microsoft-com:office:office"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r="http://schemas.openxmlformats.org/officeDocument/2006/relationships" xmlns:cp="http://schemas.openxmlformats.org/package/2006/metadata/core-properties" xmlns:dc="http://purl.org/dc/elements/1.1/" xmlns:a="http://schemas.openxmlformats.org/drawingml/2006/main" xmlns:pic="http://schemas.openxmlformats.org/drawingml/2006/picture" xmlns="http://www.w3.org/2001/XMLSchema">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settings>
</file>

<file path=word/styles.xml><?xml version="1.0" encoding="utf-8"?>
<w:styles xmlns:ve="http://schemas.openxmlformats.org/markup-compatibility/2006" xmlns:o="urn:schemas-microsoft-com:office:office"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r="http://schemas.openxmlformats.org/officeDocument/2006/relationships" xmlns:cp="http://schemas.openxmlformats.org/package/2006/metadata/core-properties" xmlns:dc="http://purl.org/dc/elements/1.1/" xmlns:a="http://schemas.openxmlformats.org/drawingml/2006/main" xmlns:pic="http://schemas.openxmlformats.org/drawingml/2006/picture" xmlns="http://www.w3.org/2001/XMLSchema">
  <w:docDefaults>
    <w:rPrDefault>
      <w:rPr>
        <w:rFonts w:ascii="Times New Roman" w:hAnsi="Times New Roman" w:eastAsia="Times New Roman" w:cs="Times New Roman"/>
      </w:rPr>
    </w:rPrDefault>
  </w:docDefaults>
  <w:style>
    <w:name w:val="EmptyCellLayoutStyle"/>
    <w:basedOn w:val="Normal"/>
    <w:rPr>
      <w:sz w:val="2"/>
    </w:rPr>
  </w:style>
</w:styles>
</file>

<file path=word/_rels/document.xml.rels>&#65279;<?xml version="1.0" encoding="utf-8"?><Relationships xmlns="http://schemas.openxmlformats.org/package/2006/relationships"><Relationship Type="http://schemas.openxmlformats.org/officeDocument/2006/relationships/styles" Target="/word/styles.xml" Id="rId3" /><Relationship Type="http://schemas.openxmlformats.org/officeDocument/2006/relationships/settings" Target="/word/settings.xml" Id="rId4" /><Relationship Type="http://schemas.openxmlformats.org/officeDocument/2006/relationships/image" Target="/word/media/img2.jpg" Id="rId5" /><Relationship Type="http://schemas.openxmlformats.org/officeDocument/2006/relationships/numbering" Target="/word/numbering.xml" Id="rId7" /></Relationships>
</file>

<file path=docProps/core.xml><?xml version="1.0" encoding="utf-8"?>
<cp:coreProperties xmlns:ve="http://schemas.openxmlformats.org/markup-compatibility/2006" xmlns:o="urn:schemas-microsoft-com:office:office"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r="http://schemas.openxmlformats.org/officeDocument/2006/relationships" xmlns:cp="http://schemas.openxmlformats.org/package/2006/metadata/core-properties" xmlns:dc="http://purl.org/dc/elements/1.1/" xmlns:a="http://schemas.openxmlformats.org/drawingml/2006/main" xmlns:pic="http://schemas.openxmlformats.org/drawingml/2006/picture" xmlns="http://www.w3.org/2001/XMLSchema">
  <dc:creator/>
  <dc:description/>
  <dc:title>Technine uzduotis</dc:title>
</cp:coreProperties>
</file>