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 m. rugsėjo...-...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bookmarkStart w:id="1" w:name="_Hlk198122224"/>
          <w:bookmarkStart w:id="2" w:name="_Hlk202521243"/>
          <w:r>
            <w:rPr>
              <w:rFonts w:cs="Times New Roman" w:ascii="Times New Roman" w:hAnsi="Times New Roman"/>
              <w:b/>
              <w:bCs/>
              <w:sz w:val="28"/>
              <w:szCs w:val="28"/>
            </w:rPr>
            <w:t>MOKYMO PASLAUGOS</w:t>
          </w:r>
          <w:bookmarkEnd w:id="1"/>
          <w:bookmarkEnd w:id="2"/>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sz w:val="22"/>
                <w:szCs w:val="22"/>
              </w:rPr>
              <w:t>Bendra informacija</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Pr>
              <w:fldChar w:fldCharType="begin"/>
            </w:r>
            <w:r>
              <w:rPr>
                <w:webHidden/>
              </w:rPr>
              <w:instrText xml:space="preserve">PAGEREF _Toc196229580 \h</w:instrText>
            </w:r>
            <w:r>
              <w:rPr>
                <w:webHidden/>
              </w:rPr>
              <w:fldChar w:fldCharType="separate"/>
            </w:r>
            <w:r>
              <w:rPr>
                <w:webHidden/>
                <w:rStyle w:val="IndexLink"/>
                <w:rFonts w:cs="Times New Roman" w:ascii="Times New Roman" w:hAnsi="Times New Roman"/>
                <w:vanish w:val="false"/>
                <w:sz w:val="22"/>
                <w:szCs w:val="22"/>
              </w:rPr>
              <w:t>2. Pirkimo objektas</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Pr>
              <w:fldChar w:fldCharType="begin"/>
            </w:r>
            <w:r>
              <w:rPr>
                <w:webHidden/>
              </w:rPr>
              <w:instrText xml:space="preserve">PAGEREF _Toc196229581 \h</w:instrText>
            </w:r>
            <w:r>
              <w:rPr>
                <w:webHidden/>
              </w:rPr>
              <w:fldChar w:fldCharType="separate"/>
            </w:r>
            <w:r>
              <w:rPr>
                <w:webHidden/>
                <w:rStyle w:val="IndexLink"/>
                <w:rFonts w:cs="Times New Roman" w:ascii="Times New Roman" w:hAnsi="Times New Roman"/>
                <w:vanish w:val="false"/>
                <w:sz w:val="22"/>
                <w:szCs w:val="22"/>
              </w:rPr>
              <w:t>3. Susitikimai su tiekėjais ir pirkimo objekto apžiūra</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Pr>
              <w:fldChar w:fldCharType="begin"/>
            </w:r>
            <w:r>
              <w:rPr>
                <w:webHidden/>
              </w:rPr>
              <w:instrText xml:space="preserve">PAGEREF _Toc196229582 \h</w:instrText>
            </w:r>
            <w:r>
              <w:rPr>
                <w:webHidden/>
              </w:rPr>
              <w:fldChar w:fldCharType="separate"/>
            </w:r>
            <w:r>
              <w:rPr>
                <w:webHidden/>
                <w:rStyle w:val="IndexLink"/>
                <w:rFonts w:cs="Times New Roman" w:ascii="Times New Roman" w:hAnsi="Times New Roman"/>
                <w:vanish w:val="false"/>
                <w:sz w:val="22"/>
                <w:szCs w:val="22"/>
              </w:rPr>
              <w:t>4. Tiekėjų pašalinimo pagrindai ir kvalifikacijos reikalavimai</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Pr>
              <w:fldChar w:fldCharType="begin"/>
            </w:r>
            <w:r>
              <w:rPr>
                <w:webHidden/>
              </w:rPr>
              <w:instrText xml:space="preserve">PAGEREF _Toc196229583 \h</w:instrText>
            </w:r>
            <w:r>
              <w:rPr>
                <w:webHidden/>
              </w:rPr>
              <w:fldChar w:fldCharType="separate"/>
            </w:r>
            <w:r>
              <w:rPr>
                <w:webHidden/>
                <w:rStyle w:val="IndexLink"/>
                <w:rFonts w:cs="Times New Roman" w:ascii="Times New Roman" w:hAnsi="Times New Roman"/>
                <w:vanish w:val="false"/>
                <w:sz w:val="22"/>
                <w:szCs w:val="22"/>
              </w:rPr>
              <w:t>5. Reikalavimai, susiję su nacionaliniu saugumu</w:t>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Pr>
              <w:fldChar w:fldCharType="begin"/>
            </w:r>
            <w:r>
              <w:rPr>
                <w:webHidden/>
              </w:rPr>
              <w:instrText xml:space="preserve">PAGEREF _Toc196229584 \h</w:instrText>
            </w:r>
            <w:r>
              <w:rPr>
                <w:webHidden/>
              </w:rPr>
              <w:fldChar w:fldCharType="separate"/>
            </w:r>
            <w:r>
              <w:rPr>
                <w:webHidden/>
                <w:rStyle w:val="IndexLink"/>
                <w:rFonts w:cs="Times New Roman" w:ascii="Times New Roman" w:hAnsi="Times New Roman"/>
                <w:vanish w:val="false"/>
                <w:sz w:val="22"/>
                <w:szCs w:val="22"/>
              </w:rPr>
              <w:t>6. Specialieji reikalavimai pasiūlymų rengimui ir pateikimui</w:t>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sz w:val="22"/>
                <w:szCs w:val="22"/>
              </w:rPr>
              <w:t>Pasiūlymo galiojimo užtikrinimas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sz w:val="22"/>
                <w:szCs w:val="22"/>
              </w:rPr>
              <w:t>Elektroninis aukcionas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sz w:val="22"/>
                <w:szCs w:val="22"/>
              </w:rPr>
              <w:t>Pasiūlymų vertinimas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sz w:val="22"/>
                <w:szCs w:val="22"/>
              </w:rPr>
              <w:t>Sutarties sudarymas</w:t>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Pr>
              <w:fldChar w:fldCharType="begin"/>
            </w:r>
            <w:r>
              <w:rPr>
                <w:webHidden/>
              </w:rPr>
              <w:instrText xml:space="preserve">PAGEREF _Toc196229589 \h</w:instrText>
            </w:r>
            <w:r>
              <w:rPr>
                <w:webHidden/>
              </w:rPr>
              <w:fldChar w:fldCharType="separate"/>
            </w:r>
            <w:r>
              <w:rPr>
                <w:webHidden/>
                <w:rStyle w:val="IndexLink"/>
                <w:rFonts w:cs="Times New Roman" w:ascii="Times New Roman" w:hAnsi="Times New Roman"/>
                <w:vanish w:val="false"/>
                <w:sz w:val="22"/>
                <w:szCs w:val="22"/>
              </w:rPr>
              <w:t>Pirkimo sąlygų 1 priedas „Terminai“</w:t>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sz w:val="22"/>
                <w:szCs w:val="22"/>
              </w:rPr>
              <w:t>(XML formatu)</w:t>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sz w:val="22"/>
                <w:szCs w:val="22"/>
              </w:rPr>
              <w:tab/>
              <w:t>31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5">
            <w:r>
              <w:rPr>
                <w:webHidden/>
              </w:rPr>
              <w:fldChar w:fldCharType="begin"/>
            </w:r>
            <w:r>
              <w:rPr>
                <w:webHidden/>
              </w:rPr>
              <w:instrText xml:space="preserve">PAGEREF _Toc196229595 \h</w:instrText>
            </w:r>
            <w:r>
              <w:rPr>
                <w:webHidden/>
              </w:rPr>
              <w:fldChar w:fldCharType="separate"/>
            </w:r>
            <w:r>
              <w:rPr>
                <w:webHidden/>
                <w:rStyle w:val="IndexLink"/>
                <w:rFonts w:cs="Times New Roman" w:ascii="Times New Roman" w:hAnsi="Times New Roman"/>
                <w:vanish w:val="false"/>
                <w:sz w:val="22"/>
                <w:szCs w:val="22"/>
              </w:rPr>
              <w:t>Pirkimo sąlygų 8 priedas „Sutarties projektas“</w:t>
              <w:tab/>
              <w:t>32</w:t>
            </w:r>
            <w:r>
              <w:rPr>
                <w:webHidden/>
              </w:rPr>
              <w:fldChar w:fldCharType="end"/>
            </w:r>
          </w:hyperlink>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lang w:val="en-US"/>
              </w:rPr>
              <w:t xml:space="preserve">Pirkimo sąlygų </w:t>
            </w:r>
            <w:r>
              <w:rPr>
                <w:webHidden/>
              </w:rPr>
              <w:fldChar w:fldCharType="begin"/>
            </w:r>
            <w:r>
              <w:rPr>
                <w:webHidden/>
              </w:rPr>
              <w:instrText xml:space="preserve">PAGEREF _Toc196229597 \h</w:instrText>
            </w:r>
            <w:r>
              <w:rPr>
                <w:webHidden/>
              </w:rPr>
              <w:fldChar w:fldCharType="separate"/>
            </w:r>
            <w:r>
              <w:rPr>
                <w:rStyle w:val="IndexLink"/>
                <w:rFonts w:cs="Times New Roman" w:ascii="Times New Roman" w:hAnsi="Times New Roman"/>
                <w:sz w:val="22"/>
                <w:szCs w:val="22"/>
                <w:lang w:val="en-US"/>
              </w:rPr>
              <w:t>9 priedas „Deklaracijos dėl tiekėjo atsakingų asmenų forma“</w:t>
              <w:tab/>
              <w:t>34</w:t>
            </w:r>
            <w:r>
              <w:rPr>
                <w:webHidden/>
              </w:rPr>
              <w:fldChar w:fldCharType="end"/>
            </w:r>
          </w:hyperlink>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1296"/>
          <w:tab w:val="left" w:pos="284" w:leader="none"/>
        </w:tabs>
        <w:spacing w:before="0" w:after="0"/>
        <w:ind w:hanging="567" w:left="567"/>
        <w:contextualSpacing/>
        <w:rPr>
          <w:rFonts w:ascii="Times New Roman" w:hAnsi="Times New Roman"/>
          <w:b/>
          <w:bCs/>
          <w:sz w:val="28"/>
          <w:szCs w:val="28"/>
        </w:rPr>
      </w:pPr>
      <w:bookmarkStart w:id="3" w:name="_Toc196229579"/>
      <w:r>
        <w:rPr>
          <w:rFonts w:cs="Times New Roman" w:ascii="Times New Roman" w:hAnsi="Times New Roman"/>
          <w:b/>
          <w:bCs/>
          <w:color w:val="auto"/>
          <w:sz w:val="28"/>
          <w:szCs w:val="28"/>
        </w:rPr>
        <w:t>Bendra informacija</w:t>
      </w:r>
      <w:bookmarkEnd w:id="3"/>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w:t>
      </w:r>
    </w:p>
    <w:p>
      <w:pPr>
        <w:pStyle w:val="Normal"/>
        <w:tabs>
          <w:tab w:val="clear" w:pos="1296"/>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7"/>
        </w:numPr>
        <w:tabs>
          <w:tab w:val="clear" w:pos="1296"/>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ir 4.4.4.1. papunkčiuose nustatytas sąlygas:</w:t>
      </w:r>
    </w:p>
    <w:p>
      <w:pPr>
        <w:pStyle w:val="ListParagraph"/>
        <w:numPr>
          <w:ilvl w:val="2"/>
          <w:numId w:val="17"/>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2"/>
          <w:numId w:val="17"/>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1"/>
          <w:numId w:val="10"/>
        </w:numPr>
        <w:tabs>
          <w:tab w:val="clear" w:pos="1296"/>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0"/>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0"/>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0"/>
        </w:numPr>
        <w:tabs>
          <w:tab w:val="clear" w:pos="1296"/>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1296"/>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4" w:name="_Toc196229580"/>
      <w:bookmarkStart w:id="5" w:name="_Ref39426332"/>
      <w:bookmarkStart w:id="6" w:name="_Ref39426338"/>
      <w:bookmarkStart w:id="7" w:name="_Toc335201954"/>
      <w:bookmarkEnd w:id="7"/>
      <w:r>
        <w:rPr>
          <w:rFonts w:cs="Times New Roman" w:ascii="Times New Roman" w:hAnsi="Times New Roman"/>
          <w:b/>
          <w:bCs/>
          <w:color w:val="auto"/>
          <w:sz w:val="28"/>
          <w:szCs w:val="28"/>
        </w:rPr>
        <w:t>2. Pirkimo objektas</w:t>
      </w:r>
      <w:bookmarkEnd w:id="4"/>
      <w:bookmarkEnd w:id="5"/>
      <w:bookmarkEnd w:id="6"/>
    </w:p>
    <w:p>
      <w:pPr>
        <w:pStyle w:val="S3lygis"/>
        <w:numPr>
          <w:ilvl w:val="1"/>
          <w:numId w:val="11"/>
        </w:numPr>
        <w:tabs>
          <w:tab w:val="clear" w:pos="1296"/>
          <w:tab w:val="left" w:pos="993" w:leader="none"/>
        </w:tabs>
        <w:spacing w:before="0" w:after="0"/>
        <w:ind w:firstLine="567" w:left="0"/>
        <w:rPr/>
      </w:pPr>
      <w:r>
        <w:rPr>
          <w:rFonts w:eastAsia="Calibri"/>
        </w:rPr>
        <w:t xml:space="preserve"> </w:t>
      </w:r>
      <w:r>
        <w:rPr>
          <w:rFonts w:eastAsia="Calibri"/>
        </w:rPr>
        <w:t>Perkančioji organizacija numato įsigyti</w:t>
      </w:r>
      <w:r>
        <w:rPr/>
        <w:t xml:space="preserve"> Mokymo paslaugas</w:t>
      </w:r>
      <w:r>
        <w:rPr>
          <w:rFonts w:cs="" w:cstheme="majorBidi"/>
        </w:rPr>
        <w:t xml:space="preserve">. </w:t>
      </w:r>
      <w:r>
        <w:rPr/>
        <w:t>Reikalavimai pirkimo objektui nustatyti specialiųjų pirkimo sąlygų 2 priede.</w:t>
      </w:r>
    </w:p>
    <w:p>
      <w:pPr>
        <w:pStyle w:val="S3lygis"/>
        <w:numPr>
          <w:ilvl w:val="2"/>
          <w:numId w:val="11"/>
        </w:numPr>
        <w:tabs>
          <w:tab w:val="clear" w:pos="1296"/>
          <w:tab w:val="left" w:pos="993" w:leader="none"/>
        </w:tabs>
        <w:spacing w:before="0" w:after="0"/>
        <w:ind w:hanging="153" w:left="720"/>
        <w:rPr>
          <w:color w:val="000000"/>
        </w:rPr>
      </w:pPr>
      <w:r>
        <w:rPr/>
        <w:t xml:space="preserve">Pirkimo objektas </w:t>
      </w:r>
      <w:r>
        <w:rPr>
          <w:color w:val="000000"/>
        </w:rPr>
        <w:t>skaidomas į dalis:</w:t>
      </w:r>
    </w:p>
    <w:p>
      <w:pPr>
        <w:pStyle w:val="Normal"/>
        <w:spacing w:lineRule="auto" w:line="240"/>
        <w:ind w:firstLine="567"/>
        <w:jc w:val="both"/>
        <w:rPr>
          <w:rFonts w:ascii="Times New Roman" w:hAnsi="Times New Roman" w:cs="Times New Roman"/>
          <w:color w:val="000000"/>
          <w:sz w:val="24"/>
          <w:szCs w:val="24"/>
        </w:rPr>
      </w:pPr>
      <w:r>
        <w:rPr>
          <w:rFonts w:cs="Times New Roman" w:ascii="Times New Roman" w:hAnsi="Times New Roman"/>
          <w:sz w:val="24"/>
          <w:szCs w:val="24"/>
        </w:rPr>
        <w:t>2.1.1.1.</w:t>
      </w:r>
      <w:r>
        <w:rPr/>
        <w:t xml:space="preserve"> </w:t>
      </w:r>
      <w:r>
        <w:rPr>
          <w:rFonts w:eastAsia="Arial" w:cs="Times New Roman" w:ascii="Times New Roman" w:hAnsi="Times New Roman"/>
          <w:sz w:val="24"/>
          <w:szCs w:val="24"/>
          <w:u w:val="single"/>
        </w:rPr>
        <w:t>I pirkimo dalis. M</w:t>
      </w:r>
      <w:r>
        <w:rPr>
          <w:rFonts w:cs="Times New Roman" w:ascii="Times New Roman" w:hAnsi="Times New Roman"/>
          <w:color w:themeColor="text1" w:val="000000"/>
          <w:sz w:val="24"/>
          <w:szCs w:val="24"/>
        </w:rPr>
        <w:t>okymų visuomenės sveikatos specialistams tema „D</w:t>
      </w:r>
      <w:r>
        <w:rPr>
          <w:rFonts w:cs="Times New Roman" w:ascii="Times New Roman" w:hAnsi="Times New Roman"/>
          <w:sz w:val="24"/>
          <w:szCs w:val="24"/>
        </w:rPr>
        <w:t>arbas su specialiųjų ugdymosi poreikių turinčiais mokiniais ir jų integravimas į sveikatos ugdymą“</w:t>
      </w:r>
      <w:r>
        <w:rPr>
          <w:rFonts w:cs="Times New Roman" w:ascii="Times New Roman" w:hAnsi="Times New Roman"/>
          <w:color w:themeColor="text1" w:val="000000"/>
          <w:sz w:val="24"/>
          <w:szCs w:val="24"/>
        </w:rPr>
        <w:t xml:space="preserve"> </w:t>
      </w:r>
      <w:r>
        <w:rPr>
          <w:rFonts w:cs="Times New Roman" w:ascii="Times New Roman" w:hAnsi="Times New Roman"/>
          <w:sz w:val="24"/>
          <w:szCs w:val="24"/>
        </w:rPr>
        <w:t>organizavimo ir vykdymo paslaugos</w:t>
      </w:r>
    </w:p>
    <w:p>
      <w:pPr>
        <w:pStyle w:val="Normal"/>
        <w:widowControl w:val="false"/>
        <w:shd w:val="clear" w:color="auto" w:fill="FFFFFF" w:themeFill="background1"/>
        <w:tabs>
          <w:tab w:val="clear" w:pos="1296"/>
          <w:tab w:val="left" w:pos="426" w:leader="none"/>
        </w:tabs>
        <w:spacing w:lineRule="auto" w:line="240" w:before="0" w:after="0"/>
        <w:ind w:firstLine="567"/>
        <w:jc w:val="both"/>
        <w:rPr>
          <w:rFonts w:ascii="Times New Roman" w:hAnsi="Times New Roman" w:cs="Times New Roman"/>
          <w:sz w:val="24"/>
          <w:szCs w:val="24"/>
        </w:rPr>
      </w:pPr>
      <w:r>
        <w:rPr>
          <w:rFonts w:eastAsia="Arial" w:cs="Times New Roman" w:ascii="Times New Roman" w:hAnsi="Times New Roman"/>
          <w:sz w:val="24"/>
          <w:szCs w:val="24"/>
          <w:u w:val="single"/>
        </w:rPr>
        <w:t xml:space="preserve">2.1.1.2. II pirkimo dalis. </w:t>
      </w:r>
      <w:r>
        <w:rPr>
          <w:rFonts w:cs="Times New Roman" w:ascii="Times New Roman" w:hAnsi="Times New Roman"/>
          <w:color w:themeColor="text1" w:val="000000"/>
          <w:sz w:val="24"/>
          <w:szCs w:val="24"/>
        </w:rPr>
        <w:t xml:space="preserve">Mokymų visuomenės sveikatos </w:t>
      </w:r>
      <w:r>
        <w:rPr>
          <w:rFonts w:cs="Times New Roman" w:ascii="Times New Roman" w:hAnsi="Times New Roman"/>
          <w:sz w:val="24"/>
          <w:szCs w:val="24"/>
        </w:rPr>
        <w:t>specialistams tema „Paveikus sveikatos ugdymas suaugusiesiems ir senjorams“ organizavimo ir vykdymo paslaugos</w:t>
      </w:r>
    </w:p>
    <w:p>
      <w:pPr>
        <w:pStyle w:val="Normal"/>
        <w:widowControl w:val="false"/>
        <w:shd w:val="clear" w:color="auto" w:fill="FFFFFF" w:themeFill="background1"/>
        <w:tabs>
          <w:tab w:val="clear" w:pos="1296"/>
          <w:tab w:val="left" w:pos="426" w:leader="none"/>
        </w:tabs>
        <w:spacing w:lineRule="auto" w:line="240" w:before="0" w:after="0"/>
        <w:ind w:firstLine="567"/>
        <w:jc w:val="both"/>
        <w:rPr>
          <w:rFonts w:ascii="Times New Roman" w:hAnsi="Times New Roman" w:cs="Times New Roman"/>
          <w:sz w:val="24"/>
          <w:szCs w:val="24"/>
        </w:rPr>
      </w:pPr>
      <w:r>
        <w:rPr>
          <w:rFonts w:eastAsia="Arial" w:cs="Times New Roman" w:ascii="Times New Roman" w:hAnsi="Times New Roman"/>
          <w:sz w:val="24"/>
          <w:szCs w:val="24"/>
          <w:u w:val="single"/>
        </w:rPr>
        <w:t xml:space="preserve">2.1.1.3. III pirkimo dalis. </w:t>
      </w:r>
      <w:r>
        <w:rPr>
          <w:rFonts w:cs="Times New Roman" w:ascii="Times New Roman" w:hAnsi="Times New Roman"/>
          <w:sz w:val="24"/>
          <w:szCs w:val="24"/>
        </w:rPr>
        <w:t>Mokymų visuomenės sveikatos specialistams tema „Užkrečiamųjų ligų valdymas ugdymo įstaigoje: visuomenės sveikatos specialistų vaidmuo“ organizavimo ir vykdymo paslaugos</w:t>
      </w:r>
    </w:p>
    <w:p>
      <w:pPr>
        <w:pStyle w:val="Normal"/>
        <w:widowControl w:val="false"/>
        <w:shd w:val="clear" w:color="auto" w:fill="FFFFFF" w:themeFill="background1"/>
        <w:tabs>
          <w:tab w:val="clear" w:pos="1296"/>
          <w:tab w:val="left" w:pos="426"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u w:val="single"/>
        </w:rPr>
        <w:t xml:space="preserve">2.1.1.4. IV pirkimo dalis. </w:t>
      </w:r>
      <w:r>
        <w:rPr>
          <w:rFonts w:cs="Times New Roman" w:ascii="Times New Roman" w:hAnsi="Times New Roman"/>
          <w:sz w:val="24"/>
          <w:szCs w:val="24"/>
        </w:rPr>
        <w:t>Mokymų visuomenės sveikatos specialistams tema „Efektyvus viešasis kalbėjimas ir komunikacija: įgūdžių lavinimas praktikoje“ organizavimo ir vykdymo paslaugos</w:t>
      </w:r>
    </w:p>
    <w:p>
      <w:pPr>
        <w:pStyle w:val="Normal"/>
        <w:widowControl w:val="false"/>
        <w:shd w:val="clear" w:color="auto" w:fill="FFFFFF" w:themeFill="background1"/>
        <w:tabs>
          <w:tab w:val="clear" w:pos="1296"/>
          <w:tab w:val="left" w:pos="426" w:leader="none"/>
        </w:tabs>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u w:val="single"/>
        </w:rPr>
        <w:t>2.1.1.5. V pirkimo dalis. M</w:t>
      </w:r>
      <w:r>
        <w:rPr>
          <w:rFonts w:cs="Times New Roman" w:ascii="Times New Roman" w:hAnsi="Times New Roman"/>
          <w:color w:themeColor="text1" w:val="000000"/>
          <w:sz w:val="24"/>
          <w:szCs w:val="24"/>
        </w:rPr>
        <w:t xml:space="preserve">okymų visuomenės sveikatos specialistams </w:t>
      </w:r>
      <w:r>
        <w:rPr>
          <w:rFonts w:cs="Times New Roman" w:ascii="Times New Roman" w:hAnsi="Times New Roman"/>
          <w:sz w:val="24"/>
          <w:szCs w:val="24"/>
        </w:rPr>
        <w:t>tema „Komandinis darbas: nuo subūrimo iki efektyvaus veikimo“ organizavimo ir vykdymo paslaugos</w:t>
      </w:r>
    </w:p>
    <w:p>
      <w:pPr>
        <w:pStyle w:val="Normal"/>
        <w:widowControl w:val="false"/>
        <w:shd w:val="clear" w:color="auto" w:fill="FFFFFF" w:themeFill="background1"/>
        <w:tabs>
          <w:tab w:val="clear" w:pos="1296"/>
          <w:tab w:val="left" w:pos="426" w:leader="none"/>
        </w:tabs>
        <w:spacing w:lineRule="auto" w:line="240" w:before="0" w:after="0"/>
        <w:ind w:firstLine="567"/>
        <w:jc w:val="both"/>
        <w:rPr>
          <w:rFonts w:ascii="Times New Roman" w:hAnsi="Times New Roman" w:cs="Times New Roman"/>
          <w:color w:val="000000"/>
          <w:sz w:val="24"/>
          <w:szCs w:val="24"/>
        </w:rPr>
      </w:pPr>
      <w:r>
        <w:rPr>
          <w:rFonts w:cs="Times New Roman" w:ascii="Times New Roman" w:hAnsi="Times New Roman"/>
          <w:sz w:val="24"/>
          <w:szCs w:val="24"/>
          <w:u w:val="single"/>
        </w:rPr>
        <w:t>2.1.1.6. VI pirkimo dalis. M</w:t>
      </w:r>
      <w:r>
        <w:rPr>
          <w:rFonts w:cs="Times New Roman" w:ascii="Times New Roman" w:hAnsi="Times New Roman"/>
          <w:color w:themeColor="text1" w:val="000000"/>
          <w:sz w:val="24"/>
          <w:szCs w:val="24"/>
        </w:rPr>
        <w:t xml:space="preserve">okymų visuomenės sveikatos specialistams tema </w:t>
      </w:r>
      <w:r>
        <w:rPr>
          <w:rFonts w:cs="Times New Roman" w:ascii="Times New Roman" w:hAnsi="Times New Roman"/>
          <w:sz w:val="24"/>
          <w:szCs w:val="24"/>
        </w:rPr>
        <w:t>„Vizualizavimo ir analizės įrankiai šiuolaikiniam visuomenės sveikatos specialistui“</w:t>
      </w:r>
      <w:r>
        <w:rPr>
          <w:rFonts w:cs="Times New Roman" w:ascii="Times New Roman" w:hAnsi="Times New Roman"/>
          <w:color w:themeColor="text1" w:val="000000"/>
          <w:sz w:val="24"/>
          <w:szCs w:val="24"/>
        </w:rPr>
        <w:t xml:space="preserve"> </w:t>
      </w:r>
      <w:r>
        <w:rPr>
          <w:rFonts w:cs="Times New Roman" w:ascii="Times New Roman" w:hAnsi="Times New Roman"/>
          <w:sz w:val="24"/>
          <w:szCs w:val="24"/>
        </w:rPr>
        <w:t>organizavimo ir vykdymo paslaugos</w:t>
      </w:r>
    </w:p>
    <w:p>
      <w:pPr>
        <w:pStyle w:val="S3lygis"/>
        <w:numPr>
          <w:ilvl w:val="0"/>
          <w:numId w:val="0"/>
        </w:numPr>
        <w:tabs>
          <w:tab w:val="clear" w:pos="1296"/>
          <w:tab w:val="left" w:pos="993" w:leader="none"/>
        </w:tabs>
        <w:spacing w:before="0" w:after="0"/>
        <w:ind w:firstLine="567" w:left="0"/>
        <w:rPr/>
      </w:pPr>
      <w:r>
        <w:rPr/>
        <w:t xml:space="preserve">2.3. Pirkimo objekto apimtys ir dalykas, reikalavimai ir techninė specifikacija apibrėžti specialiųjų </w:t>
      </w:r>
      <w:bookmarkStart w:id="8" w:name="_Hlk91152632"/>
      <w:r>
        <w:rPr/>
        <w:t>pirkimo sąlygų 2 priede</w:t>
      </w:r>
      <w:bookmarkEnd w:id="8"/>
      <w:r>
        <w:rPr/>
        <w:t xml:space="preserve">. </w:t>
      </w:r>
    </w:p>
    <w:p>
      <w:pPr>
        <w:pStyle w:val="S3lygis"/>
        <w:numPr>
          <w:ilvl w:val="0"/>
          <w:numId w:val="0"/>
        </w:numPr>
        <w:tabs>
          <w:tab w:val="clear" w:pos="1296"/>
          <w:tab w:val="left" w:pos="993" w:leader="none"/>
        </w:tabs>
        <w:spacing w:before="0" w:after="0"/>
        <w:ind w:firstLine="567" w:left="0"/>
        <w:rPr/>
      </w:pPr>
      <w:r>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 xml:space="preserve">2.6. Perkančioji organizacija vykdė rinkos konsultaciją susijusią su šiuo pirkimu. Informacija apie vykdytą rinkos konsultaciją skelbiama: Pirkimo ID 3447843. </w:t>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9" w:name="_Toc196229581"/>
      <w:r>
        <w:rPr>
          <w:rFonts w:cs="Times New Roman" w:ascii="Times New Roman" w:hAnsi="Times New Roman"/>
          <w:b/>
          <w:bCs/>
          <w:color w:val="auto"/>
          <w:sz w:val="28"/>
          <w:szCs w:val="28"/>
        </w:rPr>
        <w:t xml:space="preserve">3. </w:t>
      </w:r>
      <w:bookmarkStart w:id="10" w:name="_Ref39740354"/>
      <w:bookmarkStart w:id="11" w:name="_Ref39427921"/>
      <w:bookmarkStart w:id="12" w:name="_Ref39427927"/>
      <w:r>
        <w:rPr>
          <w:rFonts w:cs="Times New Roman" w:ascii="Times New Roman" w:hAnsi="Times New Roman"/>
          <w:b/>
          <w:bCs/>
          <w:color w:val="auto"/>
          <w:sz w:val="28"/>
          <w:szCs w:val="28"/>
        </w:rPr>
        <w:t>Susitikimai su tiekėjais</w:t>
      </w:r>
      <w:bookmarkEnd w:id="11"/>
      <w:bookmarkEnd w:id="12"/>
      <w:r>
        <w:rPr>
          <w:rFonts w:cs="Times New Roman" w:ascii="Times New Roman" w:hAnsi="Times New Roman"/>
          <w:b/>
          <w:bCs/>
          <w:color w:val="auto"/>
          <w:sz w:val="28"/>
          <w:szCs w:val="28"/>
        </w:rPr>
        <w:t xml:space="preserve"> ir pirkimo objekto apžiūra</w:t>
      </w:r>
      <w:bookmarkEnd w:id="9"/>
      <w:bookmarkEnd w:id="10"/>
    </w:p>
    <w:p>
      <w:pPr>
        <w:pStyle w:val="Body2"/>
        <w:numPr>
          <w:ilvl w:val="1"/>
          <w:numId w:val="3"/>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3" w:name="_Toc196229582"/>
      <w:bookmarkStart w:id="14" w:name="_Ref39473754"/>
      <w:bookmarkStart w:id="15" w:name="_Ref39473761"/>
      <w:bookmarkStart w:id="16" w:name="_Ref39474188"/>
      <w:r>
        <w:rPr>
          <w:rFonts w:cs="Times New Roman" w:ascii="Times New Roman" w:hAnsi="Times New Roman"/>
          <w:b/>
          <w:bCs/>
          <w:color w:val="auto"/>
          <w:sz w:val="28"/>
          <w:szCs w:val="28"/>
        </w:rPr>
        <w:t>4. Tiekėjų pašalinimo pagrindai</w:t>
      </w:r>
      <w:bookmarkEnd w:id="14"/>
      <w:bookmarkEnd w:id="15"/>
      <w:bookmarkEnd w:id="16"/>
      <w:r>
        <w:rPr>
          <w:rFonts w:cs="Times New Roman" w:ascii="Times New Roman" w:hAnsi="Times New Roman"/>
          <w:b/>
          <w:bCs/>
          <w:color w:val="auto"/>
          <w:sz w:val="28"/>
          <w:szCs w:val="28"/>
        </w:rPr>
        <w:t xml:space="preserve"> ir kvalifikacijos reikalavimai</w:t>
      </w:r>
      <w:bookmarkEnd w:id="13"/>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7" w:name="_Hlk41039660"/>
      <w:r>
        <w:rPr>
          <w:rFonts w:cs="Times New Roman" w:ascii="Times New Roman" w:hAnsi="Times New Roman"/>
          <w:sz w:val="24"/>
          <w:szCs w:val="24"/>
        </w:rPr>
        <w:t xml:space="preserve"> subtiekėjų (jei taikoma) </w:t>
      </w:r>
      <w:bookmarkEnd w:id="17"/>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1296"/>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1296"/>
          <w:tab w:val="left" w:pos="567" w:leader="none"/>
        </w:tabs>
        <w:spacing w:before="0" w:after="0"/>
        <w:contextualSpacing/>
        <w:jc w:val="both"/>
        <w:rPr>
          <w:rFonts w:ascii="Times New Roman" w:hAnsi="Times New Roman"/>
          <w:b/>
          <w:bCs/>
          <w:sz w:val="28"/>
          <w:szCs w:val="28"/>
        </w:rPr>
      </w:pPr>
      <w:bookmarkStart w:id="18" w:name="_Toc196229583"/>
      <w:r>
        <w:rPr>
          <w:rFonts w:cs="Times New Roman" w:ascii="Times New Roman" w:hAnsi="Times New Roman"/>
          <w:b/>
          <w:bCs/>
          <w:color w:val="auto"/>
          <w:sz w:val="28"/>
          <w:szCs w:val="28"/>
        </w:rPr>
        <w:t>5. Reikalavimai, susiję su nacionaliniu saugumu</w:t>
      </w:r>
      <w:bookmarkEnd w:id="18"/>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en-US"/>
        </w:rPr>
        <w:t>ne</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19" w:name="_Toc196229584"/>
      <w:bookmarkStart w:id="20" w:name="_Ref39666794"/>
      <w:bookmarkStart w:id="21" w:name="_Ref39666796"/>
      <w:r>
        <w:rPr>
          <w:rFonts w:cs="Times New Roman" w:ascii="Times New Roman" w:hAnsi="Times New Roman"/>
          <w:b/>
          <w:bCs/>
          <w:color w:val="auto"/>
          <w:sz w:val="28"/>
          <w:szCs w:val="28"/>
        </w:rPr>
        <w:t>6. Specialieji reikalavimai pasiūlymų rengimui ir pateikimui</w:t>
      </w:r>
      <w:bookmarkEnd w:id="19"/>
      <w:bookmarkEnd w:id="20"/>
      <w:bookmarkEnd w:id="21"/>
    </w:p>
    <w:p>
      <w:pPr>
        <w:pStyle w:val="Normal"/>
        <w:tabs>
          <w:tab w:val="clear" w:pos="1296"/>
          <w:tab w:val="left" w:pos="851" w:leader="none"/>
        </w:tabs>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2"/>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2"/>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b/>
          <w:bCs/>
          <w:sz w:val="24"/>
          <w:szCs w:val="24"/>
        </w:rPr>
        <w:t xml:space="preserve">6.1.7. </w:t>
      </w:r>
      <w:bookmarkStart w:id="22"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2"/>
    </w:p>
    <w:p>
      <w:pPr>
        <w:pStyle w:val="Normal"/>
        <w:tabs>
          <w:tab w:val="clear" w:pos="1296"/>
          <w:tab w:val="left" w:pos="0" w:leader="none"/>
          <w:tab w:val="left" w:pos="9631" w:leader="none"/>
        </w:tabs>
        <w:spacing w:lineRule="auto" w:line="240" w:before="0" w:after="0"/>
        <w:ind w:firstLine="851"/>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sz w:val="24"/>
          <w:szCs w:val="24"/>
        </w:rPr>
      </w:pPr>
      <w:r>
        <w:rPr>
          <w:rFonts w:cs="Times New Roman" w:ascii="Times New Roman" w:hAnsi="Times New Roman"/>
          <w:bCs/>
          <w:iCs/>
          <w:sz w:val="24"/>
          <w:szCs w:val="24"/>
        </w:rPr>
        <w:t>6.1.8.</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b/>
          <w:i/>
          <w:i/>
          <w:color w:val="FF0000"/>
          <w:sz w:val="24"/>
          <w:szCs w:val="24"/>
        </w:rPr>
      </w:pPr>
      <w:r>
        <w:rPr>
          <w:rStyle w:val="C10"/>
          <w:rFonts w:cs="Times New Roman" w:ascii="Times New Roman" w:hAnsi="Times New Roman"/>
          <w:sz w:val="24"/>
          <w:szCs w:val="24"/>
        </w:rPr>
        <w:t xml:space="preserve">6.1.9.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10 priede pateiktą formą.</w:t>
      </w:r>
    </w:p>
    <w:p>
      <w:pPr>
        <w:pStyle w:val="Normal"/>
        <w:tabs>
          <w:tab w:val="clear" w:pos="1296"/>
          <w:tab w:val="left" w:pos="851" w:leader="none"/>
        </w:tabs>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1296"/>
          <w:tab w:val="left" w:pos="851" w:leader="none"/>
        </w:tabs>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3"/>
        </w:numPr>
        <w:tabs>
          <w:tab w:val="clear" w:pos="1296"/>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3"/>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3"/>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3"/>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3"/>
        </w:numPr>
        <w:tabs>
          <w:tab w:val="clear" w:pos="1296"/>
          <w:tab w:val="left" w:pos="284" w:leader="none"/>
        </w:tabs>
        <w:spacing w:before="0" w:after="0"/>
        <w:rPr>
          <w:rFonts w:ascii="Times New Roman" w:hAnsi="Times New Roman"/>
          <w:b/>
          <w:bCs/>
          <w:sz w:val="28"/>
          <w:szCs w:val="28"/>
        </w:rPr>
      </w:pPr>
      <w:bookmarkStart w:id="23" w:name="_Toc196229585"/>
      <w:bookmarkStart w:id="24" w:name="_Ref39430768"/>
      <w:bookmarkStart w:id="25" w:name="_Ref39430779"/>
      <w:bookmarkStart w:id="26" w:name="_Toc91497102"/>
      <w:bookmarkStart w:id="27" w:name="_Toc91497103"/>
      <w:bookmarkStart w:id="28" w:name="_Toc91497104"/>
      <w:bookmarkStart w:id="29" w:name="_Toc91497105"/>
      <w:bookmarkStart w:id="30" w:name="_Toc91497106"/>
      <w:bookmarkEnd w:id="26"/>
      <w:bookmarkEnd w:id="27"/>
      <w:bookmarkEnd w:id="28"/>
      <w:bookmarkEnd w:id="29"/>
      <w:bookmarkEnd w:id="30"/>
      <w:r>
        <w:rPr>
          <w:rFonts w:cs="Times New Roman" w:ascii="Times New Roman" w:hAnsi="Times New Roman"/>
          <w:b/>
          <w:bCs/>
          <w:color w:val="auto"/>
          <w:sz w:val="28"/>
          <w:szCs w:val="28"/>
        </w:rPr>
        <w:t>Pasiūlymo galiojimo užtikrinimas</w:t>
      </w:r>
      <w:bookmarkEnd w:id="23"/>
      <w:bookmarkEnd w:id="24"/>
      <w:bookmarkEnd w:id="25"/>
    </w:p>
    <w:p>
      <w:pPr>
        <w:pStyle w:val="ListParagraph"/>
        <w:numPr>
          <w:ilvl w:val="1"/>
          <w:numId w:val="14"/>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1296"/>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1296"/>
          <w:tab w:val="left" w:pos="284" w:leader="none"/>
          <w:tab w:val="left" w:pos="709" w:leader="none"/>
        </w:tabs>
        <w:spacing w:before="0" w:after="0"/>
        <w:contextualSpacing/>
        <w:rPr>
          <w:rFonts w:ascii="Times New Roman" w:hAnsi="Times New Roman"/>
          <w:b/>
          <w:bCs/>
          <w:sz w:val="28"/>
          <w:szCs w:val="28"/>
        </w:rPr>
      </w:pPr>
      <w:bookmarkStart w:id="31" w:name="_Toc196229586"/>
      <w:bookmarkStart w:id="32" w:name="_Ref39658218"/>
      <w:bookmarkStart w:id="33" w:name="_Ref39658226"/>
      <w:bookmarkStart w:id="34" w:name="_Ref39658248"/>
      <w:bookmarkStart w:id="35" w:name="_Ref39658251"/>
      <w:r>
        <w:rPr>
          <w:rFonts w:cs="Times New Roman" w:ascii="Times New Roman" w:hAnsi="Times New Roman"/>
          <w:b/>
          <w:bCs/>
          <w:color w:val="auto"/>
          <w:sz w:val="28"/>
          <w:szCs w:val="28"/>
        </w:rPr>
        <w:t>Elektroninis aukcionas</w:t>
      </w:r>
      <w:bookmarkEnd w:id="31"/>
      <w:bookmarkEnd w:id="32"/>
      <w:bookmarkEnd w:id="33"/>
      <w:bookmarkEnd w:id="34"/>
      <w:bookmarkEnd w:id="35"/>
    </w:p>
    <w:p>
      <w:pPr>
        <w:pStyle w:val="ListParagraph"/>
        <w:numPr>
          <w:ilvl w:val="1"/>
          <w:numId w:val="15"/>
        </w:numPr>
        <w:tabs>
          <w:tab w:val="clear" w:pos="1296"/>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1296"/>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5"/>
        </w:numPr>
        <w:tabs>
          <w:tab w:val="clear" w:pos="1296"/>
          <w:tab w:val="left" w:pos="709" w:leader="none"/>
        </w:tabs>
        <w:spacing w:before="0" w:after="0"/>
        <w:contextualSpacing/>
        <w:rPr>
          <w:rFonts w:ascii="Times New Roman" w:hAnsi="Times New Roman"/>
          <w:b/>
          <w:bCs/>
          <w:sz w:val="28"/>
          <w:szCs w:val="28"/>
        </w:rPr>
      </w:pPr>
      <w:bookmarkStart w:id="36" w:name="_Toc196229587"/>
      <w:bookmarkStart w:id="37" w:name="_Ref39667303"/>
      <w:bookmarkStart w:id="38" w:name="_Ref39667308"/>
      <w:bookmarkStart w:id="39" w:name="_Ref39485250"/>
      <w:bookmarkStart w:id="40" w:name="_Ref39485258"/>
      <w:r>
        <w:rPr>
          <w:rFonts w:cs="Times New Roman" w:ascii="Times New Roman" w:hAnsi="Times New Roman"/>
          <w:b/>
          <w:bCs/>
          <w:color w:val="auto"/>
          <w:sz w:val="28"/>
          <w:szCs w:val="28"/>
        </w:rPr>
        <w:t>Pasiūlymų vertinimas</w:t>
      </w:r>
      <w:bookmarkEnd w:id="36"/>
      <w:bookmarkEnd w:id="37"/>
      <w:bookmarkEnd w:id="38"/>
      <w:bookmarkEnd w:id="39"/>
      <w:bookmarkEnd w:id="40"/>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1296"/>
          <w:tab w:val="left" w:pos="993" w:leader="none"/>
        </w:tabs>
        <w:spacing w:lineRule="auto" w:line="240" w:before="0" w:after="0"/>
        <w:ind w:firstLine="567"/>
        <w:jc w:val="both"/>
        <w:rPr>
          <w:rFonts w:ascii="Times New Roman" w:hAnsi="Times New Roman" w:cs="Times New Roman"/>
          <w:bCs/>
          <w:iCs/>
          <w:sz w:val="24"/>
          <w:szCs w:val="24"/>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5"/>
        </w:numPr>
        <w:tabs>
          <w:tab w:val="clear" w:pos="1296"/>
          <w:tab w:val="left" w:pos="567" w:leader="none"/>
        </w:tabs>
        <w:spacing w:before="0" w:after="0"/>
        <w:contextualSpacing/>
        <w:rPr>
          <w:rFonts w:ascii="Times New Roman" w:hAnsi="Times New Roman"/>
          <w:b/>
          <w:bCs/>
          <w:sz w:val="28"/>
          <w:szCs w:val="28"/>
        </w:rPr>
      </w:pPr>
      <w:bookmarkStart w:id="41" w:name="_Ref39425999"/>
      <w:bookmarkStart w:id="42" w:name="_Ref39426005"/>
      <w:r>
        <w:rPr>
          <w:rFonts w:cs="Times New Roman" w:ascii="Times New Roman" w:hAnsi="Times New Roman"/>
          <w:b/>
          <w:bCs/>
          <w:color w:val="auto"/>
          <w:sz w:val="28"/>
          <w:szCs w:val="28"/>
        </w:rPr>
        <w:t xml:space="preserve"> </w:t>
      </w:r>
      <w:bookmarkStart w:id="43" w:name="_Toc196229588"/>
      <w:r>
        <w:rPr>
          <w:rFonts w:cs="Times New Roman" w:ascii="Times New Roman" w:hAnsi="Times New Roman"/>
          <w:b/>
          <w:bCs/>
          <w:color w:val="auto"/>
          <w:sz w:val="28"/>
          <w:szCs w:val="28"/>
        </w:rPr>
        <w:t>Sutarties sudarymas</w:t>
      </w:r>
      <w:bookmarkEnd w:id="41"/>
      <w:bookmarkEnd w:id="42"/>
      <w:bookmarkEnd w:id="43"/>
    </w:p>
    <w:p>
      <w:pPr>
        <w:pStyle w:val="ListParagraph"/>
        <w:numPr>
          <w:ilvl w:val="1"/>
          <w:numId w:val="15"/>
        </w:numPr>
        <w:tabs>
          <w:tab w:val="clear" w:pos="1296"/>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4" w:name="_Toc147739116"/>
      <w:bookmarkEnd w:id="44"/>
    </w:p>
    <w:p>
      <w:pPr>
        <w:pStyle w:val="ListParagraph"/>
        <w:tabs>
          <w:tab w:val="clear" w:pos="1296"/>
          <w:tab w:val="left" w:pos="6260" w:leader="none"/>
        </w:tabs>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sz w:val="20"/>
          <w:szCs w:val="20"/>
        </w:rPr>
      </w:pPr>
      <w:bookmarkStart w:id="45" w:name="_Toc196229589"/>
      <w:r>
        <w:rPr>
          <w:rFonts w:cs="Times New Roman" w:ascii="Times New Roman" w:hAnsi="Times New Roman"/>
          <w:color w:val="auto"/>
          <w:sz w:val="20"/>
          <w:szCs w:val="20"/>
        </w:rPr>
        <w:t>Pirkimo sąlygų 1 priedas „Terminai“</w:t>
      </w:r>
      <w:bookmarkEnd w:id="45"/>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6"/>
        <w:gridCol w:w="2713"/>
        <w:gridCol w:w="3491"/>
        <w:gridCol w:w="2835"/>
      </w:tblGrid>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1" w:type="dxa"/>
            <w:tcBorders>
              <w:top w:val="single" w:sz="4" w:space="0" w:color="000000"/>
              <w:left w:val="single" w:sz="4" w:space="0" w:color="000000"/>
              <w:bottom w:val="single" w:sz="4" w:space="0" w:color="000000"/>
              <w:right w:val="single" w:sz="4" w:space="0" w:color="000000"/>
            </w:tcBorders>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1" w:type="dxa"/>
            <w:tcBorders>
              <w:top w:val="single" w:sz="4" w:space="0" w:color="000000"/>
              <w:left w:val="single" w:sz="4" w:space="0" w:color="000000"/>
              <w:bottom w:val="single" w:sz="4" w:space="0" w:color="000000"/>
              <w:right w:val="single" w:sz="4" w:space="0" w:color="000000"/>
            </w:tcBorders>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Tajtip"/>
              <w:shd w:val="clear" w:color="auto" w:fill="FFFFFF"/>
              <w:spacing w:beforeAutospacing="0" w:before="0" w:afterAutospacing="0" w:after="0"/>
              <w:ind w:firstLine="313"/>
              <w:rPr/>
            </w:pPr>
            <w:r>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sz w:val="20"/>
          <w:szCs w:val="20"/>
        </w:rPr>
      </w:pPr>
      <w:bookmarkStart w:id="46" w:name="_Toc196229590"/>
      <w:bookmarkStart w:id="47" w:name="_Ref38539939"/>
      <w:bookmarkStart w:id="48" w:name="_Ref38541068"/>
      <w:bookmarkStart w:id="49" w:name="_Ref38885053"/>
      <w:bookmarkStart w:id="50" w:name="_Ref38899023"/>
      <w:r>
        <w:rPr>
          <w:rFonts w:eastAsia="Calibri" w:cs="Times New Roman" w:ascii="Times New Roman" w:hAnsi="Times New Roman"/>
          <w:color w:val="auto"/>
          <w:sz w:val="20"/>
          <w:szCs w:val="20"/>
        </w:rPr>
        <w:t>Pirkimo sąlygų 2 priedas „Techninė specifikacija“</w:t>
      </w:r>
      <w:bookmarkEnd w:id="46"/>
      <w:bookmarkEnd w:id="47"/>
      <w:bookmarkEnd w:id="48"/>
      <w:bookmarkEnd w:id="49"/>
      <w:bookmarkEnd w:id="50"/>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Techninės specifikacijos pateikiamos atskiruose dokumentuose.</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Heading2"/>
        <w:spacing w:before="0" w:after="0"/>
        <w:ind w:left="5103"/>
        <w:jc w:val="both"/>
        <w:rPr>
          <w:rFonts w:ascii="Times New Roman" w:hAnsi="Times New Roman"/>
          <w:sz w:val="20"/>
          <w:szCs w:val="20"/>
        </w:rPr>
      </w:pPr>
      <w:bookmarkStart w:id="51" w:name="_Toc196229591"/>
      <w:bookmarkStart w:id="52" w:name="_Ref38285444"/>
      <w:bookmarkStart w:id="53" w:name="_Ref38291496"/>
      <w:r>
        <w:rPr>
          <w:rFonts w:eastAsia="Calibri" w:cs="Times New Roman" w:ascii="Times New Roman" w:hAnsi="Times New Roman"/>
          <w:color w:val="auto"/>
          <w:sz w:val="20"/>
          <w:szCs w:val="20"/>
        </w:rPr>
        <w:t>Pirkimo sąlygų 3 priedas „Tiekėjų pašalinimo pagrindai“</w:t>
      </w:r>
      <w:bookmarkEnd w:id="51"/>
      <w:bookmarkEnd w:id="52"/>
      <w:bookmarkEnd w:id="53"/>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1296"/>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0"/>
        </w:numPr>
        <w:tabs>
          <w:tab w:val="clear" w:pos="1296"/>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0"/>
        </w:numPr>
        <w:tabs>
          <w:tab w:val="clear" w:pos="1296"/>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6"/>
        </w:numPr>
        <w:tabs>
          <w:tab w:val="clear" w:pos="1296"/>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6"/>
        </w:numPr>
        <w:tabs>
          <w:tab w:val="clear" w:pos="1296"/>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0"/>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8"/>
        <w:gridCol w:w="2892"/>
        <w:gridCol w:w="1599"/>
        <w:gridCol w:w="4784"/>
      </w:tblGrid>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8"/>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0"/>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8">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9">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0">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1">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2">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3">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1"/>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4">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4" w:name="_Toc196229592"/>
      <w:bookmarkStart w:id="55" w:name="_Ref38291223"/>
      <w:bookmarkStart w:id="56" w:name="_Ref38291334"/>
      <w:bookmarkStart w:id="57" w:name="_Ref3853341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4"/>
      <w:bookmarkEnd w:id="55"/>
      <w:bookmarkEnd w:id="56"/>
      <w:bookmarkEnd w:id="57"/>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lang w:eastAsia="en-US"/>
        </w:rPr>
      </w:pPr>
      <w:r>
        <w:rPr>
          <w:rFonts w:eastAsia="Calibri" w:cs="Times New Roman" w:ascii="Times New Roman" w:hAnsi="Times New Roman"/>
        </w:rPr>
        <w:t>Tiekėjų kvalifikacijos reikalavimai ir reikalaujami kokybės bei aplinkos apsaugos vadybos sistemų standartai pateikiami atskiru dokumentu.</w:t>
      </w:r>
    </w:p>
    <w:p>
      <w:pPr>
        <w:pStyle w:val="Normal"/>
        <w:rPr>
          <w:lang w:eastAsia="en-US"/>
        </w:rPr>
      </w:pPr>
      <w:r>
        <w:rPr>
          <w:lang w:eastAsia="en-US"/>
        </w:rPr>
      </w:r>
    </w:p>
    <w:p>
      <w:pPr>
        <w:pStyle w:val="Normal"/>
        <w:rPr>
          <w:lang w:eastAsia="en-US"/>
        </w:rPr>
      </w:pPr>
      <w:r>
        <w:rPr>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8" w:name="_Toc196229593"/>
      <w:bookmarkStart w:id="59" w:name="_Ref38291379"/>
      <w:bookmarkStart w:id="60" w:name="_Ref38291394"/>
      <w:bookmarkStart w:id="61" w:name="_Ref38898251"/>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58"/>
      <w:bookmarkEnd w:id="59"/>
      <w:bookmarkEnd w:id="60"/>
      <w:bookmarkEnd w:id="61"/>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1296"/>
          <w:tab w:val="left" w:pos="1860" w:leader="none"/>
        </w:tabs>
        <w:rPr>
          <w:rFonts w:ascii="Times New Roman" w:hAnsi="Times New Roman" w:cs="Times New Roman"/>
        </w:rPr>
      </w:pPr>
      <w:r>
        <w:rPr>
          <w:rFonts w:cs="Times New Roman" w:ascii="Times New Roman" w:hAnsi="Times New Roman"/>
        </w:rPr>
        <w:tab/>
      </w:r>
    </w:p>
    <w:p>
      <w:pPr>
        <w:pStyle w:val="Normal"/>
        <w:tabs>
          <w:tab w:val="clear" w:pos="1296"/>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2" w:name="_Toc196229594"/>
      <w:bookmarkStart w:id="63" w:name="_Ref38540913"/>
      <w:bookmarkStart w:id="64" w:name="_Ref38898051"/>
      <w:bookmarkStart w:id="65" w:name="_Ref38901392"/>
      <w:r>
        <w:rPr>
          <w:rFonts w:eastAsia="Calibri" w:cs="Times New Roman" w:ascii="Times New Roman" w:hAnsi="Times New Roman"/>
          <w:color w:val="auto"/>
          <w:sz w:val="20"/>
          <w:szCs w:val="20"/>
        </w:rPr>
        <w:t>Pirkimo sąlygų 6 priedas „Pasiūlymo forma“</w:t>
      </w:r>
      <w:bookmarkEnd w:id="62"/>
      <w:bookmarkEnd w:id="63"/>
      <w:bookmarkEnd w:id="64"/>
      <w:bookmarkEnd w:id="65"/>
    </w:p>
    <w:p>
      <w:pPr>
        <w:pStyle w:val="Normal"/>
        <w:rPr/>
      </w:pPr>
      <w:r>
        <w:rPr/>
      </w:r>
    </w:p>
    <w:p>
      <w:pPr>
        <w:pStyle w:val="Normal"/>
        <w:rPr/>
      </w:pPr>
      <w:r>
        <w:rPr/>
      </w:r>
    </w:p>
    <w:p>
      <w:pPr>
        <w:pStyle w:val="Normal"/>
        <w:rPr/>
      </w:pPr>
      <w:r>
        <w:rPr/>
        <w:t xml:space="preserve">Pasiūlymo forma </w:t>
      </w:r>
      <w:r>
        <w:rPr>
          <w:rFonts w:eastAsia="Calibri" w:cs="Times New Roman" w:ascii="Times New Roman" w:hAnsi="Times New Roman"/>
        </w:rPr>
        <w:t>pateikiama atskiru dokumentu.</w:t>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sz w:val="20"/>
          <w:szCs w:val="20"/>
        </w:rPr>
      </w:pPr>
      <w:bookmarkStart w:id="66" w:name="_Ref39484039"/>
      <w:bookmarkStart w:id="67" w:name="_Ref40278562"/>
      <w:r>
        <w:rPr>
          <w:rFonts w:eastAsia="Calibri" w:cs="Times New Roman" w:ascii="Times New Roman" w:hAnsi="Times New Roman"/>
          <w:sz w:val="20"/>
          <w:szCs w:val="20"/>
        </w:rPr>
        <w:t>Pirkimo sąlygų 7 priedas „Pasiūlymų vertinimo kriterijai ir sąlygos“</w:t>
      </w:r>
      <w:bookmarkEnd w:id="66"/>
      <w:bookmarkEnd w:id="67"/>
    </w:p>
    <w:p>
      <w:pPr>
        <w:pStyle w:val="Normal"/>
        <w:spacing w:lineRule="auto" w:line="240" w:before="0" w:after="0"/>
        <w:jc w:val="center"/>
        <w:rPr>
          <w:rFonts w:ascii="Times New Roman" w:hAnsi="Times New Roman" w:cs="Times New Roman"/>
          <w:b/>
          <w:strike/>
          <w:szCs w:val="24"/>
        </w:rPr>
      </w:pPr>
      <w:r>
        <w:rPr>
          <w:rFonts w:cs="Times New Roman" w:ascii="Times New Roman" w:hAnsi="Times New Roman"/>
          <w:b/>
          <w:strike/>
          <w:szCs w:val="24"/>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Subtitle"/>
        <w:spacing w:lineRule="auto" w:line="240" w:before="0" w:after="0"/>
        <w:jc w:val="center"/>
        <w:rPr>
          <w:shd w:fill="FFFFFF" w:val="clear"/>
        </w:rPr>
      </w:pPr>
      <w:r>
        <w:rPr>
          <w:rFonts w:cs="Times New Roman" w:ascii="Times New Roman" w:hAnsi="Times New Roman"/>
          <w:b/>
          <w:color w:val="000000"/>
          <w:spacing w:val="0"/>
          <w:sz w:val="24"/>
          <w:szCs w:val="24"/>
          <w:shd w:fill="FFFFFF" w:val="clear"/>
        </w:rPr>
        <w:t>PASIŪLYMŲ VERTINIMO KRITERIJAI ir Sąlygos</w:t>
      </w:r>
    </w:p>
    <w:p>
      <w:pPr>
        <w:pStyle w:val="Normal"/>
        <w:widowControl w:val="false"/>
        <w:shd w:val="clear" w:color="auto" w:fill="FFFFFF"/>
        <w:spacing w:lineRule="auto" w:line="240" w:before="235" w:after="0"/>
        <w:jc w:val="center"/>
        <w:rPr>
          <w:shd w:fill="FFFFFF" w:val="clear"/>
        </w:rPr>
      </w:pPr>
      <w:r>
        <w:rPr>
          <w:rFonts w:cs="Times New Roman" w:ascii="Times New Roman" w:hAnsi="Times New Roman"/>
          <w:b/>
          <w:bCs/>
          <w:sz w:val="22"/>
          <w:szCs w:val="22"/>
          <w:shd w:fill="FFFFFF" w:val="clear"/>
          <w:lang w:eastAsia="en-US"/>
        </w:rPr>
        <w:t>PAGAL EKONOMINĮ NAUDINGUMĄ METODIKA</w:t>
      </w:r>
    </w:p>
    <w:p>
      <w:pPr>
        <w:pStyle w:val="Normal"/>
        <w:widowControl w:val="false"/>
        <w:shd w:val="clear" w:color="auto" w:fill="FFFFFF"/>
        <w:spacing w:lineRule="auto" w:line="240" w:before="120" w:after="0"/>
        <w:jc w:val="both"/>
        <w:rPr>
          <w:shd w:fill="FFFFFF" w:val="clear"/>
        </w:rPr>
      </w:pPr>
      <w:r>
        <w:rPr>
          <w:rFonts w:cs="Times New Roman" w:ascii="Times New Roman" w:hAnsi="Times New Roman"/>
          <w:sz w:val="22"/>
          <w:szCs w:val="22"/>
          <w:shd w:fill="FFFFFF" w:val="clear"/>
          <w:lang w:eastAsia="en-US"/>
        </w:rPr>
        <w:t xml:space="preserve">1.1. Perkančiosios organizacijos neatmesti </w:t>
      </w:r>
      <w:r>
        <w:rPr>
          <w:rFonts w:cs="Times New Roman" w:ascii="Times New Roman" w:hAnsi="Times New Roman"/>
          <w:b/>
          <w:bCs/>
          <w:sz w:val="22"/>
          <w:szCs w:val="22"/>
          <w:shd w:fill="FFFFFF" w:val="clear"/>
          <w:lang w:eastAsia="en-US"/>
        </w:rPr>
        <w:t xml:space="preserve">pasiūlymai </w:t>
      </w:r>
      <w:r>
        <w:rPr>
          <w:rFonts w:cs="Times New Roman" w:ascii="Times New Roman" w:hAnsi="Times New Roman"/>
          <w:sz w:val="22"/>
          <w:szCs w:val="22"/>
          <w:shd w:fill="FFFFFF" w:val="clear"/>
          <w:lang w:eastAsia="en-US"/>
        </w:rPr>
        <w:t>vertinami pagal kainos ir kokybės santykį šiame priede nurodyta tvarka. Ekonomiškai naudingiausias pasiūlymas – tai pasiūlymas, kurio lyginamoji kaina būtų mažiausiai.</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Pasiūlymų vertinimo kriterijai</w:t>
      </w:r>
      <w:r>
        <w:rPr>
          <w:rFonts w:cs="Times New Roman" w:ascii="Times New Roman" w:hAnsi="Times New Roman"/>
          <w:sz w:val="22"/>
          <w:szCs w:val="22"/>
          <w:shd w:fill="FFFFFF" w:val="clear"/>
          <w:lang w:eastAsia="en-US"/>
        </w:rPr>
        <w:t>:</w:t>
      </w:r>
    </w:p>
    <w:p>
      <w:pPr>
        <w:pStyle w:val="Normal"/>
        <w:widowControl w:val="false"/>
        <w:shd w:val="clear" w:color="auto" w:fill="FFFFFF"/>
        <w:spacing w:lineRule="auto" w:line="240" w:before="326" w:after="0"/>
        <w:jc w:val="both"/>
        <w:rPr>
          <w:shd w:fill="FFFFFF" w:val="clear"/>
        </w:rPr>
      </w:pPr>
      <w:r>
        <w:rPr>
          <w:rFonts w:cs="Times New Roman" w:ascii="Times New Roman" w:hAnsi="Times New Roman"/>
          <w:b/>
          <w:bCs/>
          <w:sz w:val="22"/>
          <w:szCs w:val="22"/>
          <w:shd w:fill="FFFFFF" w:val="clear"/>
          <w:lang w:eastAsia="en-US"/>
        </w:rPr>
        <w:t>I – VI pirkimo dalims</w:t>
      </w:r>
    </w:p>
    <w:p>
      <w:pPr>
        <w:pStyle w:val="Normal"/>
        <w:widowControl w:val="false"/>
        <w:shd w:val="clear" w:color="auto" w:fill="D9D9D9" w:themeFill="background1" w:themeFillShade="d9"/>
        <w:spacing w:lineRule="exact" w:line="1" w:before="0" w:after="322"/>
        <w:rPr>
          <w:rFonts w:ascii="Times New Roman" w:hAnsi="Times New Roman" w:cs="Times New Roman"/>
          <w:b/>
          <w:sz w:val="2"/>
          <w:szCs w:val="2"/>
          <w:shd w:fill="FFFFFF" w:val="clear"/>
          <w:lang w:eastAsia="en-US"/>
        </w:rPr>
      </w:pPr>
      <w:r>
        <w:rPr>
          <w:rFonts w:cs="Times New Roman" w:ascii="Times New Roman" w:hAnsi="Times New Roman"/>
          <w:b/>
          <w:sz w:val="2"/>
          <w:szCs w:val="2"/>
          <w:shd w:fill="FFFFFF" w:val="clear"/>
          <w:lang w:eastAsia="en-US"/>
        </w:rPr>
      </w:r>
    </w:p>
    <w:tbl>
      <w:tblPr>
        <w:tblW w:w="9639" w:type="dxa"/>
        <w:jc w:val="left"/>
        <w:tblInd w:w="41" w:type="dxa"/>
        <w:tblLayout w:type="fixed"/>
        <w:tblCellMar>
          <w:top w:w="0" w:type="dxa"/>
          <w:left w:w="40" w:type="dxa"/>
          <w:bottom w:w="0" w:type="dxa"/>
          <w:right w:w="40" w:type="dxa"/>
        </w:tblCellMar>
        <w:tblLook w:firstRow="1" w:noVBand="1" w:lastRow="0" w:firstColumn="1" w:lastColumn="0" w:noHBand="0" w:val="04a0"/>
      </w:tblPr>
      <w:tblGrid>
        <w:gridCol w:w="9639"/>
      </w:tblGrid>
      <w:tr>
        <w:trPr/>
        <w:tc>
          <w:tcPr>
            <w:tcW w:w="9639" w:type="dxa"/>
            <w:tcBorders>
              <w:top w:val="single" w:sz="6" w:space="0" w:color="000000"/>
              <w:left w:val="single" w:sz="6" w:space="0" w:color="000000"/>
              <w:bottom w:val="single" w:sz="6" w:space="0" w:color="000000"/>
              <w:right w:val="single" w:sz="6" w:space="0" w:color="000000"/>
            </w:tcBorders>
            <w:shd w:color="auto" w:fill="D9D9D9" w:themeFill="background1" w:themeFillShade="d9" w:val="clear"/>
          </w:tcPr>
          <w:p>
            <w:pPr>
              <w:pStyle w:val="Normal"/>
              <w:widowControl w:val="false"/>
              <w:shd w:val="clear" w:color="auto" w:fill="D9D9D9" w:themeFill="background1" w:themeFillShade="d9"/>
              <w:spacing w:lineRule="auto" w:line="252" w:before="0" w:after="0"/>
              <w:jc w:val="center"/>
              <w:rPr>
                <w:shd w:fill="FFFFFF" w:val="clear"/>
              </w:rPr>
            </w:pPr>
            <w:r>
              <w:rPr>
                <w:rFonts w:cs="Times New Roman" w:ascii="Times New Roman" w:hAnsi="Times New Roman"/>
                <w:b/>
                <w:sz w:val="22"/>
                <w:szCs w:val="22"/>
                <w:shd w:fill="FFFFFF" w:val="clear"/>
                <w:lang w:eastAsia="en-US"/>
              </w:rPr>
              <w:t>Vertinimo kriterijai</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shd w:fill="FFFFFF" w:val="clear"/>
              </w:rPr>
            </w:pPr>
            <w:r>
              <w:rPr>
                <w:rFonts w:cs="Times New Roman" w:ascii="Times New Roman" w:hAnsi="Times New Roman"/>
                <w:b/>
                <w:bCs/>
                <w:sz w:val="22"/>
                <w:szCs w:val="22"/>
                <w:shd w:fill="FFFFFF" w:val="clear"/>
                <w:lang w:eastAsia="en-US"/>
              </w:rPr>
              <w:t xml:space="preserve">Pirmas kriterijus </w:t>
            </w:r>
            <w:r>
              <w:rPr>
                <w:rFonts w:eastAsia="Times New Roman" w:cs="Times New Roman" w:ascii="Times New Roman" w:hAnsi="Times New Roman"/>
                <w:sz w:val="22"/>
                <w:szCs w:val="22"/>
                <w:shd w:fill="FFFFFF" w:val="clear"/>
                <w:lang w:eastAsia="en-US"/>
              </w:rPr>
              <w:t>– Kaina (</w:t>
            </w: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w:t>
            </w:r>
          </w:p>
        </w:tc>
      </w:tr>
      <w:tr>
        <w:trPr/>
        <w:tc>
          <w:tcPr>
            <w:tcW w:w="963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lineRule="auto" w:line="252" w:before="0" w:after="0"/>
              <w:rPr>
                <w:rFonts w:ascii="Times New Roman" w:hAnsi="Times New Roman"/>
                <w:shd w:fill="FFFFFF" w:val="clear"/>
              </w:rPr>
            </w:pPr>
            <w:r>
              <w:rPr>
                <w:rFonts w:cs="Times New Roman" w:ascii="Times New Roman" w:hAnsi="Times New Roman"/>
                <w:b/>
                <w:bCs/>
                <w:sz w:val="22"/>
                <w:szCs w:val="22"/>
                <w:shd w:fill="FFFFFF" w:val="clear"/>
                <w:lang w:eastAsia="en-US"/>
              </w:rPr>
              <w:t xml:space="preserve">Antras kriterijus </w:t>
            </w:r>
            <w:r>
              <w:rPr>
                <w:rFonts w:eastAsia="Times New Roman" w:cs="Times New Roman" w:ascii="Times New Roman" w:hAnsi="Times New Roman"/>
                <w:b/>
                <w:bCs/>
                <w:sz w:val="22"/>
                <w:szCs w:val="22"/>
                <w:shd w:fill="FFFFFF" w:val="clear"/>
                <w:lang w:eastAsia="en-US"/>
              </w:rPr>
              <w:t>– lektoriaus Nr. 1</w:t>
            </w:r>
            <w:r>
              <w:rPr>
                <w:rFonts w:cs="Times New Roman" w:ascii="Times New Roman" w:hAnsi="Times New Roman"/>
                <w:sz w:val="22"/>
                <w:szCs w:val="22"/>
                <w:shd w:fill="FFFFFF" w:val="clear"/>
                <w:lang w:eastAsia="en-US"/>
              </w:rPr>
              <w:t xml:space="preserve"> </w:t>
            </w:r>
            <w:r>
              <w:rPr>
                <w:rFonts w:cs="Times New Roman" w:ascii="Times New Roman" w:hAnsi="Times New Roman"/>
                <w:b/>
                <w:bCs/>
                <w:sz w:val="22"/>
                <w:szCs w:val="22"/>
                <w:shd w:fill="FFFFFF" w:val="clear"/>
                <w:lang w:eastAsia="en-US"/>
              </w:rPr>
              <w:t>patirtis vedant mokymus</w:t>
            </w:r>
          </w:p>
        </w:tc>
      </w:tr>
    </w:tbl>
    <w:p>
      <w:pPr>
        <w:pStyle w:val="Normal"/>
        <w:widowControl w:val="false"/>
        <w:numPr>
          <w:ilvl w:val="1"/>
          <w:numId w:val="27"/>
        </w:numPr>
        <w:shd w:val="clear" w:color="auto" w:fill="FFFFFF"/>
        <w:spacing w:lineRule="auto" w:line="240" w:before="240" w:after="0"/>
        <w:ind w:firstLine="426" w:left="0"/>
        <w:rPr/>
      </w:pPr>
      <w:r>
        <w:rPr>
          <w:rFonts w:cs="Times New Roman" w:ascii="Times New Roman" w:hAnsi="Times New Roman"/>
          <w:sz w:val="22"/>
          <w:szCs w:val="22"/>
          <w:shd w:fill="FFFFFF" w:val="clear"/>
          <w:lang w:eastAsia="en-US"/>
        </w:rPr>
        <w:t xml:space="preserve">Laimėtojas nustatomas taikant ,, kokybė į kainą“ tipo formules. Daugiau informacijos apie skaičiavimą galima rasti </w:t>
      </w:r>
      <w:hyperlink r:id="rId15">
        <w:r>
          <w:rPr>
            <w:rFonts w:cs="Times New Roman" w:ascii="Times New Roman" w:hAnsi="Times New Roman"/>
            <w:color w:themeColor="accent2" w:val="ED7D31"/>
            <w:sz w:val="22"/>
            <w:szCs w:val="22"/>
            <w:u w:val="single"/>
            <w:shd w:fill="FFFFFF" w:val="clear"/>
            <w:lang w:eastAsia="en-US"/>
          </w:rPr>
          <w:t>Ekonomiškai naudingiausio pasiūlymo vertinimo gairėse</w:t>
        </w:r>
      </w:hyperlink>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Lyginamoji kaina apskaičiuojama pagal šią formulę:</w:t>
      </w:r>
    </w:p>
    <w:p>
      <w:pPr>
        <w:pStyle w:val="Normal"/>
        <w:widowControl w:val="false"/>
        <w:shd w:val="clear" w:color="auto" w:fill="FFFFFF"/>
        <w:spacing w:lineRule="auto" w:line="240" w:before="240" w:after="0"/>
        <w:rPr>
          <w:sz w:val="40"/>
          <w:szCs w:val="40"/>
          <w:shd w:fill="FFFFFF" w:val="clear"/>
        </w:rPr>
      </w:pPr>
      <w:r>
        <w:rPr>
          <w:rFonts w:cs="Times New Roman" w:ascii="Times New Roman" w:hAnsi="Times New Roman"/>
          <w:b/>
          <w:sz w:val="40"/>
          <w:szCs w:val="40"/>
          <w:shd w:fill="FFFFFF" w:val="clear"/>
          <w:lang w:eastAsia="en-US"/>
        </w:rPr>
        <w:t>EP</w:t>
      </w:r>
      <w:r>
        <w:rPr>
          <w:rFonts w:cs="Times New Roman" w:ascii="Times New Roman" w:hAnsi="Times New Roman"/>
          <w:b/>
          <w:sz w:val="40"/>
          <w:szCs w:val="40"/>
          <w:shd w:fill="FFFFFF" w:val="clear"/>
          <w:vertAlign w:val="subscript"/>
          <w:lang w:eastAsia="en-US"/>
        </w:rPr>
        <w:t>i</w:t>
      </w:r>
      <w:r>
        <w:rPr>
          <w:rFonts w:cs="Times New Roman" w:ascii="Times New Roman" w:hAnsi="Times New Roman"/>
          <w:b/>
          <w:sz w:val="40"/>
          <w:szCs w:val="40"/>
          <w:shd w:fill="FFFFFF" w:val="clear"/>
          <w:lang w:eastAsia="en-US"/>
        </w:rPr>
        <w:t>=P</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 (B</w:t>
      </w:r>
      <w:r>
        <w:rPr>
          <w:rFonts w:cs="Times New Roman" w:ascii="Times New Roman" w:hAnsi="Times New Roman"/>
          <w:b/>
          <w:sz w:val="40"/>
          <w:szCs w:val="40"/>
          <w:shd w:fill="FFFFFF" w:val="clear"/>
          <w:vertAlign w:val="subscript"/>
          <w:lang w:eastAsia="en-US"/>
        </w:rPr>
        <w:t xml:space="preserve">1 </w:t>
      </w:r>
      <w:r>
        <w:rPr>
          <w:rFonts w:cs="Times New Roman" w:ascii="Times New Roman" w:hAnsi="Times New Roman"/>
          <w:b/>
          <w:sz w:val="40"/>
          <w:szCs w:val="40"/>
          <w:shd w:fill="FFFFFF" w:val="clear"/>
          <w:lang w:eastAsia="en-US"/>
        </w:rPr>
        <w:t>x Q</w:t>
      </w:r>
      <w:r>
        <w:rPr>
          <w:rFonts w:cs="Times New Roman" w:ascii="Times New Roman" w:hAnsi="Times New Roman"/>
          <w:b/>
          <w:sz w:val="40"/>
          <w:szCs w:val="40"/>
          <w:shd w:fill="FFFFFF" w:val="clear"/>
          <w:vertAlign w:val="subscript"/>
          <w:lang w:eastAsia="en-US"/>
        </w:rPr>
        <w:t>1</w:t>
      </w:r>
      <w:r>
        <w:rPr>
          <w:rFonts w:cs="Times New Roman" w:ascii="Times New Roman" w:hAnsi="Times New Roman"/>
          <w:b/>
          <w:sz w:val="40"/>
          <w:szCs w:val="40"/>
          <w:shd w:fill="FFFFFF" w:val="clear"/>
          <w:lang w:eastAsia="en-US"/>
        </w:rPr>
        <w:t>)</w:t>
      </w:r>
      <w:r>
        <w:rPr>
          <w:rFonts w:cs="Times New Roman" w:ascii="Times New Roman" w:hAnsi="Times New Roman"/>
          <w:b/>
          <w:sz w:val="40"/>
          <w:szCs w:val="40"/>
          <w:shd w:fill="FFFFFF" w:val="clear"/>
          <w:vertAlign w:val="subscript"/>
          <w:lang w:eastAsia="en-US"/>
        </w:rPr>
        <w:t xml:space="preserve"> </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P</w:t>
      </w:r>
      <w:r>
        <w:rPr>
          <w:rFonts w:cs="Times New Roman" w:ascii="Times New Roman" w:hAnsi="Times New Roman"/>
          <w:sz w:val="22"/>
          <w:szCs w:val="22"/>
          <w:shd w:fill="FFFFFF" w:val="clear"/>
          <w:vertAlign w:val="subscript"/>
          <w:lang w:eastAsia="en-US"/>
        </w:rPr>
        <w:t>i</w:t>
      </w:r>
      <w:r>
        <w:rPr>
          <w:rFonts w:cs="Times New Roman" w:ascii="Times New Roman" w:hAnsi="Times New Roman"/>
          <w:sz w:val="22"/>
          <w:szCs w:val="22"/>
          <w:shd w:fill="FFFFFF" w:val="clear"/>
          <w:lang w:eastAsia="en-US"/>
        </w:rPr>
        <w:t xml:space="preserve"> – vertinamo pasiūlymo kaina su PVM;</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highlight w:val="yellow"/>
          <w:shd w:fill="FFFFFF" w:val="clear"/>
          <w:lang w:eastAsia="en-US"/>
        </w:rPr>
        <w:t>B</w:t>
      </w:r>
      <w:r>
        <w:rPr>
          <w:rFonts w:cs="Times New Roman" w:ascii="Times New Roman" w:hAnsi="Times New Roman"/>
          <w:sz w:val="22"/>
          <w:szCs w:val="22"/>
          <w:highlight w:val="yellow"/>
          <w:shd w:fill="FFFFFF" w:val="clear"/>
          <w:vertAlign w:val="subscript"/>
          <w:lang w:eastAsia="en-US"/>
        </w:rPr>
        <w:t>1</w:t>
      </w:r>
      <w:r>
        <w:rPr>
          <w:rFonts w:cs="Times New Roman" w:ascii="Times New Roman" w:hAnsi="Times New Roman"/>
          <w:sz w:val="22"/>
          <w:szCs w:val="22"/>
          <w:highlight w:val="yellow"/>
          <w:shd w:fill="FFFFFF" w:val="clear"/>
          <w:lang w:eastAsia="en-US"/>
        </w:rPr>
        <w:t xml:space="preserve"> – antro kriterijau lyginamoji kaina 10 000 eurų su PVM;</w:t>
      </w:r>
    </w:p>
    <w:p>
      <w:pPr>
        <w:pStyle w:val="Normal"/>
        <w:widowControl w:val="false"/>
        <w:shd w:val="clear" w:color="auto" w:fill="FFFFFF"/>
        <w:spacing w:lineRule="auto" w:line="240" w:before="240" w:after="0"/>
        <w:rPr>
          <w:shd w:fill="FFFFFF" w:val="clear"/>
        </w:rPr>
      </w:pPr>
      <w:r>
        <w:rPr>
          <w:rFonts w:cs="Times New Roman" w:ascii="Times New Roman" w:hAnsi="Times New Roman"/>
          <w:sz w:val="22"/>
          <w:szCs w:val="22"/>
          <w:shd w:fill="FFFFFF" w:val="clear"/>
          <w:lang w:eastAsia="en-US"/>
        </w:rPr>
        <w:t>Q</w:t>
      </w:r>
      <w:r>
        <w:rPr>
          <w:rFonts w:cs="Times New Roman" w:ascii="Times New Roman" w:hAnsi="Times New Roman"/>
          <w:sz w:val="22"/>
          <w:szCs w:val="22"/>
          <w:shd w:fill="FFFFFF" w:val="clear"/>
          <w:vertAlign w:val="subscript"/>
          <w:lang w:eastAsia="en-US"/>
        </w:rPr>
        <w:t>1</w:t>
      </w:r>
      <w:r>
        <w:rPr>
          <w:rFonts w:cs="Times New Roman" w:ascii="Times New Roman" w:hAnsi="Times New Roman"/>
          <w:sz w:val="22"/>
          <w:szCs w:val="22"/>
          <w:shd w:fill="FFFFFF" w:val="clear"/>
          <w:lang w:eastAsia="en-US"/>
        </w:rPr>
        <w:t xml:space="preserve"> – antro kriterijaus siūloma reikšmė.</w:t>
      </w:r>
    </w:p>
    <w:p>
      <w:pPr>
        <w:pStyle w:val="Normal"/>
        <w:widowControl w:val="false"/>
        <w:shd w:val="clear" w:color="auto" w:fill="FFFFFF"/>
        <w:spacing w:lineRule="auto" w:line="240" w:before="240" w:after="0"/>
        <w:ind w:firstLine="567"/>
        <w:rPr>
          <w:rFonts w:ascii="Times New Roman" w:hAnsi="Times New Roman" w:cs="Times New Roman"/>
          <w:sz w:val="24"/>
          <w:szCs w:val="24"/>
          <w:shd w:fill="FFFFFF" w:val="clear"/>
          <w:lang w:eastAsia="en-US"/>
        </w:rPr>
      </w:pPr>
      <w:r>
        <w:rPr>
          <w:rFonts w:cs="Times New Roman" w:ascii="Times New Roman" w:hAnsi="Times New Roman"/>
          <w:sz w:val="24"/>
          <w:szCs w:val="24"/>
          <w:shd w:fill="FFFFFF" w:val="clear"/>
          <w:lang w:eastAsia="en-US"/>
        </w:rPr>
        <w:t>I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 xml:space="preserve">darbo su specialiųjų ugdymosi poreikių turinčiais vaikais </w:t>
            </w:r>
            <w:r>
              <w:rPr>
                <w:rFonts w:eastAsia="Times New Roman" w:cs="Times New Roman" w:ascii="Times New Roman" w:hAnsi="Times New Roman"/>
                <w:kern w:val="0"/>
                <w:sz w:val="24"/>
                <w:szCs w:val="24"/>
                <w:shd w:fill="FFFFFF" w:val="clear"/>
                <w:lang w:val="lt-LT" w:bidi="ar-SA"/>
              </w:rPr>
              <w:t>temomis</w:t>
            </w:r>
            <w:bookmarkStart w:id="68" w:name="_GoBack_Copy_1_Copy_2"/>
            <w:bookmarkEnd w:id="68"/>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darbo su specialiųjų ugdymosi poreikių turinčiais vaikais</w:t>
            </w:r>
            <w:r>
              <w:rPr>
                <w:rFonts w:eastAsia="Times New Roman" w:cs="Times New Roman" w:ascii="Times New Roman" w:hAnsi="Times New Roman"/>
                <w:kern w:val="0"/>
                <w:sz w:val="24"/>
                <w:szCs w:val="24"/>
                <w:shd w:fill="FFFFFF" w:val="clear"/>
                <w:lang w:val="lt-LT" w:bidi="ar-SA"/>
              </w:rPr>
              <w:t xml:space="preserve"> temomis</w:t>
            </w:r>
            <w:bookmarkStart w:id="69" w:name="_GoBack_Copy_1_Copy_1"/>
            <w:bookmarkEnd w:id="69"/>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per 12 mėnesių turi ne mažiau kaip 40 val. mokymų vedimo patirtį specialistams, temomis</w:t>
            </w:r>
            <w:bookmarkStart w:id="70" w:name="_GoBack_Copy_1"/>
            <w:bookmarkEnd w:id="70"/>
            <w:r>
              <w:rPr>
                <w:rFonts w:eastAsia="Times New Roman" w:cs="Times New Roman" w:ascii="Times New Roman" w:hAnsi="Times New Roman"/>
                <w:kern w:val="0"/>
                <w:sz w:val="24"/>
                <w:szCs w:val="24"/>
                <w:shd w:fill="FFFFFF" w:val="clear"/>
                <w:lang w:val="lt-LT" w:bidi="ar-SA"/>
              </w:rPr>
              <w:t>.</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kern w:val="0"/>
                <w:sz w:val="22"/>
                <w:szCs w:val="22"/>
                <w:shd w:fill="FFFFFF" w:val="clear"/>
                <w:lang w:val="lt-LT" w:eastAsia="en-US" w:bidi="ar-SA"/>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spacing w:lineRule="auto" w:line="240" w:before="240" w:after="0"/>
        <w:rPr>
          <w:rFonts w:ascii="Times New Roman" w:hAnsi="Times New Roman" w:cs="Times New Roman"/>
          <w:sz w:val="20"/>
          <w:szCs w:val="20"/>
          <w:shd w:fill="FFFFFF" w:val="clear"/>
          <w:lang w:eastAsia="en-US"/>
        </w:rPr>
      </w:pPr>
      <w:r>
        <w:rPr>
          <w:rFonts w:cs="Times New Roman" w:ascii="Times New Roman" w:hAnsi="Times New Roman"/>
          <w:sz w:val="20"/>
          <w:szCs w:val="20"/>
          <w:shd w:fill="FFFFFF" w:val="clear"/>
          <w:lang w:eastAsia="en-US"/>
        </w:rPr>
      </w:r>
    </w:p>
    <w:p>
      <w:pPr>
        <w:pStyle w:val="Normal"/>
        <w:widowControl w:val="false"/>
        <w:shd w:val="clear" w:color="auto" w:fill="FFFFFF"/>
        <w:tabs>
          <w:tab w:val="clear" w:pos="1296"/>
          <w:tab w:val="left" w:pos="709" w:leader="none"/>
          <w:tab w:val="left" w:pos="851"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II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 xml:space="preserve">suaugusiųjų sveikatinimo veiklų organizavimo ir vykdymo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 xml:space="preserve">suaugusiųjų sveikatinimo veiklų organizavimo ir vykdymo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 xml:space="preserve">suaugusiųjų sveikatinimo veiklų organizavimo ir vykdymo </w:t>
            </w:r>
            <w:r>
              <w:rPr>
                <w:rFonts w:eastAsia="Times New Roman" w:cs="Times New Roman" w:ascii="Times New Roman" w:hAnsi="Times New Roman"/>
                <w:kern w:val="0"/>
                <w:sz w:val="24"/>
                <w:szCs w:val="24"/>
                <w:shd w:fill="FFFFFF" w:val="clear"/>
                <w:lang w:val="lt-LT" w:bidi="ar-SA"/>
              </w:rPr>
              <w:t>temomis.</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kern w:val="0"/>
                <w:sz w:val="22"/>
                <w:szCs w:val="22"/>
                <w:shd w:fill="FFFFFF" w:val="clear"/>
                <w:lang w:val="lt-LT" w:eastAsia="en-US" w:bidi="ar-SA"/>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t xml:space="preserve">III PIRKIMO DALIS </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 xml:space="preserve">užkrečiamųjų ligų profilaktikos ir (ar) kontrolės srityje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 xml:space="preserve">užkrečiamųjų ligų profilaktikos ir (ar) kontrolės srityje </w:t>
            </w:r>
            <w:r>
              <w:rPr>
                <w:rFonts w:eastAsia="Times New Roman" w:cs="Times New Roman" w:ascii="Times New Roman" w:hAnsi="Times New Roman"/>
                <w:kern w:val="0"/>
                <w:sz w:val="24"/>
                <w:szCs w:val="24"/>
                <w:shd w:fill="FFFFFF" w:val="clear"/>
                <w:lang w:val="lt-LT" w:bidi="ar-SA"/>
              </w:rPr>
              <w:t>temomis.</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 xml:space="preserve">užkrečiamųjų ligų profilaktikos ir (ar) kontrolės srityje </w:t>
            </w:r>
            <w:r>
              <w:rPr>
                <w:rFonts w:eastAsia="Times New Roman" w:cs="Times New Roman" w:ascii="Times New Roman" w:hAnsi="Times New Roman"/>
                <w:kern w:val="0"/>
                <w:sz w:val="24"/>
                <w:szCs w:val="24"/>
                <w:shd w:fill="FFFFFF" w:val="clear"/>
                <w:lang w:val="lt-LT" w:bidi="ar-SA"/>
              </w:rPr>
              <w:t>temomis.</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kern w:val="0"/>
                <w:sz w:val="22"/>
                <w:szCs w:val="22"/>
                <w:shd w:fill="FFFFFF" w:val="clear"/>
                <w:lang w:val="lt-LT" w:eastAsia="en-US" w:bidi="ar-SA"/>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tabs>
          <w:tab w:val="clear" w:pos="1296"/>
          <w:tab w:val="left" w:pos="1276" w:leader="none"/>
        </w:tabs>
        <w:jc w:val="both"/>
        <w:rPr>
          <w:rFonts w:ascii="Times New Roman" w:hAnsi="Times New Roman" w:eastAsia="Calibri"/>
          <w:sz w:val="24"/>
          <w:szCs w:val="24"/>
          <w:shd w:fill="FFFFFF" w:val="clear"/>
        </w:rPr>
      </w:pPr>
      <w:r>
        <w:rPr>
          <w:rFonts w:eastAsia="Calibri" w:ascii="Times New Roman" w:hAnsi="Times New Roman"/>
          <w:sz w:val="24"/>
          <w:szCs w:val="24"/>
          <w:shd w:fill="FFFFFF" w:val="clear"/>
        </w:rPr>
      </w:r>
    </w:p>
    <w:p>
      <w:pPr>
        <w:pStyle w:val="Normal"/>
        <w:ind w:firstLine="567"/>
        <w:rPr>
          <w:rFonts w:ascii="Times New Roman" w:hAnsi="Times New Roman"/>
          <w:sz w:val="24"/>
          <w:szCs w:val="24"/>
          <w:u w:val="single"/>
        </w:rPr>
      </w:pPr>
      <w:r>
        <w:rPr>
          <w:rFonts w:ascii="Times New Roman" w:hAnsi="Times New Roman"/>
          <w:sz w:val="24"/>
          <w:szCs w:val="24"/>
          <w:u w:val="single"/>
        </w:rPr>
        <w:t>IV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viešojo kalbėjimo, komunikacijos 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viešojo kalbėjimo, komunikacijos 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viešojo kalbėjimo, komunikacijos temomis</w:t>
            </w:r>
            <w:r>
              <w:rPr>
                <w:rFonts w:eastAsia="Times New Roman" w:cs="Times New Roman" w:ascii="Times New Roman" w:hAnsi="Times New Roman"/>
                <w:kern w:val="0"/>
                <w:sz w:val="24"/>
                <w:szCs w:val="24"/>
                <w:shd w:fill="FFFFFF" w:val="clear"/>
                <w:lang w:val="lt-LT" w:bidi="ar-SA"/>
              </w:rPr>
              <w:t>.</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kern w:val="0"/>
                <w:sz w:val="22"/>
                <w:szCs w:val="22"/>
                <w:shd w:fill="FFFFFF" w:val="clear"/>
                <w:lang w:val="lt-LT" w:eastAsia="en-US" w:bidi="ar-SA"/>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spacing w:lineRule="auto" w:line="240" w:before="0" w:after="0"/>
        <w:ind w:left="743"/>
        <w:jc w:val="both"/>
        <w:rPr>
          <w:rFonts w:ascii="Times New Roman" w:hAnsi="Times New Roman" w:cs="Times New Roman"/>
          <w:sz w:val="22"/>
          <w:szCs w:val="22"/>
          <w:shd w:fill="FFFFFF" w:val="clear"/>
          <w:lang w:eastAsia="en-US"/>
        </w:rPr>
      </w:pPr>
      <w:r>
        <w:rPr>
          <w:rFonts w:cs="Times New Roman" w:ascii="Times New Roman" w:hAnsi="Times New Roman"/>
          <w:sz w:val="22"/>
          <w:szCs w:val="22"/>
          <w:shd w:fill="FFFFFF" w:val="clear"/>
          <w:lang w:eastAsia="en-US"/>
        </w:rPr>
      </w:r>
    </w:p>
    <w:p>
      <w:pPr>
        <w:pStyle w:val="Normal"/>
        <w:rPr>
          <w:rFonts w:ascii="Times New Roman" w:hAnsi="Times New Roman"/>
          <w:sz w:val="24"/>
          <w:szCs w:val="24"/>
          <w:u w:val="single"/>
        </w:rPr>
      </w:pPr>
      <w:r>
        <w:rPr>
          <w:rFonts w:ascii="Times New Roman" w:hAnsi="Times New Roman"/>
          <w:sz w:val="24"/>
          <w:szCs w:val="24"/>
          <w:u w:val="single"/>
        </w:rPr>
      </w:r>
    </w:p>
    <w:p>
      <w:pPr>
        <w:pStyle w:val="Normal"/>
        <w:tabs>
          <w:tab w:val="clear" w:pos="1296"/>
          <w:tab w:val="left" w:pos="1276" w:leader="none"/>
        </w:tabs>
        <w:ind w:firstLine="567"/>
        <w:jc w:val="both"/>
        <w:rPr>
          <w:rFonts w:ascii="Times New Roman" w:hAnsi="Times New Roman"/>
          <w:sz w:val="24"/>
          <w:szCs w:val="24"/>
          <w:u w:val="single"/>
        </w:rPr>
      </w:pPr>
      <w:r>
        <w:rPr>
          <w:rFonts w:ascii="Times New Roman" w:hAnsi="Times New Roman"/>
          <w:sz w:val="24"/>
          <w:szCs w:val="24"/>
          <w:u w:val="single"/>
        </w:rPr>
        <w:t>V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komandinio darbo 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komandinio darbo tema 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komandinio darbo temomis</w:t>
            </w:r>
            <w:r>
              <w:rPr>
                <w:rFonts w:eastAsia="Times New Roman" w:cs="Times New Roman" w:ascii="Times New Roman" w:hAnsi="Times New Roman"/>
                <w:kern w:val="0"/>
                <w:sz w:val="24"/>
                <w:szCs w:val="24"/>
                <w:shd w:fill="FFFFFF" w:val="clear"/>
                <w:lang w:val="lt-LT" w:bidi="ar-SA"/>
              </w:rPr>
              <w:t>.</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kern w:val="0"/>
                <w:sz w:val="22"/>
                <w:szCs w:val="22"/>
                <w:shd w:fill="FFFFFF" w:val="clear"/>
                <w:lang w:val="lt-LT" w:eastAsia="en-US" w:bidi="ar-SA"/>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widowControl w:val="false"/>
        <w:shd w:val="clear" w:color="auto" w:fill="FFFFFF"/>
        <w:spacing w:lineRule="auto" w:line="240" w:before="0" w:after="0"/>
        <w:ind w:left="743"/>
        <w:jc w:val="both"/>
        <w:rPr>
          <w:rFonts w:ascii="Times New Roman" w:hAnsi="Times New Roman" w:cs="Times New Roman"/>
          <w:sz w:val="22"/>
          <w:szCs w:val="22"/>
          <w:shd w:fill="FFFFFF" w:val="clear"/>
          <w:lang w:eastAsia="en-US"/>
        </w:rPr>
      </w:pPr>
      <w:r>
        <w:rPr>
          <w:rFonts w:cs="Times New Roman" w:ascii="Times New Roman" w:hAnsi="Times New Roman"/>
          <w:sz w:val="22"/>
          <w:szCs w:val="22"/>
          <w:shd w:fill="FFFFFF" w:val="clear"/>
          <w:lang w:eastAsia="en-US"/>
        </w:rPr>
      </w:r>
    </w:p>
    <w:p>
      <w:pPr>
        <w:pStyle w:val="Normal"/>
        <w:tabs>
          <w:tab w:val="clear" w:pos="1296"/>
          <w:tab w:val="left" w:pos="1276" w:leader="none"/>
        </w:tabs>
        <w:jc w:val="both"/>
        <w:rPr>
          <w:rFonts w:ascii="Times New Roman" w:hAnsi="Times New Roman"/>
          <w:sz w:val="24"/>
          <w:szCs w:val="24"/>
          <w:u w:val="single"/>
        </w:rPr>
      </w:pPr>
      <w:r>
        <w:rPr>
          <w:rFonts w:ascii="Times New Roman" w:hAnsi="Times New Roman"/>
          <w:sz w:val="24"/>
          <w:szCs w:val="24"/>
          <w:u w:val="single"/>
        </w:rPr>
      </w:r>
    </w:p>
    <w:p>
      <w:pPr>
        <w:pStyle w:val="Normal"/>
        <w:ind w:firstLine="709"/>
        <w:jc w:val="both"/>
        <w:rPr>
          <w:rFonts w:ascii="Times New Roman" w:hAnsi="Times New Roman"/>
          <w:sz w:val="24"/>
          <w:szCs w:val="24"/>
          <w:u w:val="single"/>
        </w:rPr>
      </w:pPr>
      <w:r>
        <w:rPr>
          <w:rFonts w:ascii="Times New Roman" w:hAnsi="Times New Roman"/>
          <w:sz w:val="24"/>
          <w:szCs w:val="24"/>
          <w:u w:val="single"/>
        </w:rPr>
        <w:t>VI PIRKIMO DALIS</w:t>
      </w:r>
    </w:p>
    <w:p>
      <w:pPr>
        <w:pStyle w:val="Normal"/>
        <w:widowControl w:val="false"/>
        <w:spacing w:lineRule="auto" w:line="240" w:before="0" w:after="0"/>
        <w:ind w:left="744"/>
        <w:rPr>
          <w:shd w:fill="FFFFFF" w:val="clear"/>
        </w:rPr>
      </w:pPr>
      <w:r>
        <w:rPr>
          <w:rFonts w:cs="Times New Roman" w:ascii="Times New Roman" w:hAnsi="Times New Roman"/>
          <w:b/>
          <w:bCs/>
          <w:sz w:val="22"/>
          <w:szCs w:val="22"/>
          <w:shd w:fill="FFFFFF" w:val="clear"/>
          <w:lang w:eastAsia="en-US"/>
        </w:rPr>
        <w:t xml:space="preserve">Antras kriterijus </w:t>
      </w:r>
      <w:r>
        <w:rPr>
          <w:rFonts w:cs="Times New Roman" w:ascii="Times New Roman" w:hAnsi="Times New Roman"/>
          <w:sz w:val="22"/>
          <w:szCs w:val="22"/>
          <w:shd w:fill="FFFFFF" w:val="clear"/>
          <w:lang w:eastAsia="en-US"/>
        </w:rPr>
        <w:t>( Lektoriaus patirtis). Balai suteikiami pagal tokią lentelę:</w:t>
      </w:r>
    </w:p>
    <w:tbl>
      <w:tblPr>
        <w:tblStyle w:val="SmartTextTable1"/>
        <w:tblW w:w="8273" w:type="dxa"/>
        <w:jc w:val="left"/>
        <w:tblInd w:w="743" w:type="dxa"/>
        <w:tblLayout w:type="fixed"/>
        <w:tblCellMar>
          <w:top w:w="0" w:type="dxa"/>
          <w:left w:w="108" w:type="dxa"/>
          <w:bottom w:w="0" w:type="dxa"/>
          <w:right w:w="108" w:type="dxa"/>
        </w:tblCellMar>
        <w:tblLook w:firstRow="1" w:noVBand="1" w:lastRow="0" w:firstColumn="1" w:lastColumn="0" w:noHBand="0" w:val="04a0"/>
      </w:tblPr>
      <w:tblGrid>
        <w:gridCol w:w="6510"/>
        <w:gridCol w:w="1762"/>
      </w:tblGrid>
      <w:tr>
        <w:trPr/>
        <w:tc>
          <w:tcPr>
            <w:tcW w:w="6510"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Antras kriterijus – Lektoriaus Nr. 1 patirtis</w:t>
            </w:r>
          </w:p>
        </w:tc>
        <w:tc>
          <w:tcPr>
            <w:tcW w:w="1762" w:type="dxa"/>
            <w:tcBorders/>
          </w:tcPr>
          <w:p>
            <w:pPr>
              <w:pStyle w:val="Normal"/>
              <w:widowControl w:val="false"/>
              <w:shd w:val="clear" w:color="auto" w:fill="FFFFFF"/>
              <w:suppressAutoHyphens w:val="true"/>
              <w:spacing w:lineRule="auto" w:line="240" w:before="0" w:after="0"/>
              <w:jc w:val="center"/>
              <w:rPr>
                <w:rFonts w:cs="Times New Roman"/>
                <w:shd w:fill="FFFFFF" w:val="clear"/>
              </w:rPr>
            </w:pPr>
            <w:r>
              <w:rPr>
                <w:rFonts w:cs="Times New Roman" w:ascii="Times New Roman" w:hAnsi="Times New Roman"/>
                <w:b/>
                <w:kern w:val="0"/>
                <w:sz w:val="20"/>
                <w:szCs w:val="20"/>
                <w:shd w:fill="FFFFFF" w:val="clear"/>
                <w:lang w:val="lt-LT" w:eastAsia="en-US" w:bidi="ar-SA"/>
              </w:rPr>
              <w:t>Kriterijaus reikšmė (Q</w:t>
            </w:r>
            <w:r>
              <w:rPr>
                <w:rFonts w:cs="Times New Roman" w:ascii="Times New Roman" w:hAnsi="Times New Roman"/>
                <w:b/>
                <w:kern w:val="0"/>
                <w:sz w:val="20"/>
                <w:szCs w:val="20"/>
                <w:shd w:fill="FFFFFF" w:val="clear"/>
                <w:vertAlign w:val="subscript"/>
                <w:lang w:val="lt-LT" w:eastAsia="en-US" w:bidi="ar-SA"/>
              </w:rPr>
              <w:t>1</w:t>
            </w:r>
            <w:r>
              <w:rPr>
                <w:rFonts w:cs="Times New Roman" w:ascii="Times New Roman" w:hAnsi="Times New Roman"/>
                <w:b/>
                <w:kern w:val="0"/>
                <w:sz w:val="20"/>
                <w:szCs w:val="20"/>
                <w:shd w:fill="FFFFFF" w:val="clear"/>
                <w:lang w:val="lt-LT" w:eastAsia="en-US" w:bidi="ar-SA"/>
              </w:rPr>
              <w:t>)</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120 val. mokymų vedimo patirtį specialistams, </w:t>
            </w:r>
            <w:r>
              <w:rPr>
                <w:rFonts w:eastAsia="Calibri" w:ascii="Times New Roman" w:hAnsi="Times New Roman"/>
                <w:kern w:val="0"/>
                <w:sz w:val="24"/>
                <w:szCs w:val="24"/>
                <w:shd w:fill="FFFFFF" w:val="clear"/>
                <w:lang w:val="lt-LT" w:bidi="ar-SA"/>
              </w:rPr>
              <w:t>dirbtinio intelekto ar duomenų analizės sprendimų taikymo 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1</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80 val. mokymų vedimo patirtį specialistams, </w:t>
            </w:r>
            <w:r>
              <w:rPr>
                <w:rFonts w:eastAsia="Calibri" w:ascii="Times New Roman" w:hAnsi="Times New Roman"/>
                <w:kern w:val="0"/>
                <w:sz w:val="24"/>
                <w:szCs w:val="24"/>
                <w:shd w:fill="FFFFFF" w:val="clear"/>
                <w:lang w:val="lt-LT" w:bidi="ar-SA"/>
              </w:rPr>
              <w:t>dirbtinio intelekto ar duomenų analizės sprendimų taikymo temomis</w:t>
            </w:r>
            <w:r>
              <w:rPr>
                <w:rFonts w:eastAsia="Times New Roman" w:cs="Times New Roman" w:ascii="Times New Roman" w:hAnsi="Times New Roman"/>
                <w:kern w:val="0"/>
                <w:sz w:val="24"/>
                <w:szCs w:val="24"/>
                <w:shd w:fill="FFFFFF" w:val="clear"/>
                <w:lang w:val="lt-LT" w:bidi="ar-SA"/>
              </w:rPr>
              <w:t>.</w:t>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0,5</w:t>
            </w:r>
          </w:p>
        </w:tc>
      </w:tr>
      <w:tr>
        <w:trPr/>
        <w:tc>
          <w:tcPr>
            <w:tcW w:w="6510" w:type="dxa"/>
            <w:tcBorders/>
          </w:tcPr>
          <w:p>
            <w:pPr>
              <w:pStyle w:val="Normal"/>
              <w:widowControl/>
              <w:tabs>
                <w:tab w:val="clear" w:pos="1296"/>
                <w:tab w:val="left" w:pos="1276" w:leader="none"/>
              </w:tabs>
              <w:suppressAutoHyphens w:val="true"/>
              <w:spacing w:lineRule="auto" w:line="240" w:before="0" w:after="0"/>
              <w:jc w:val="both"/>
              <w:rPr>
                <w:rFonts w:ascii="Times New Roman" w:hAnsi="Times New Roman" w:cs="Times New Roman"/>
                <w:shd w:fill="FFFFFF" w:val="clear"/>
                <w:lang w:val="lt-LT"/>
              </w:rPr>
            </w:pPr>
            <w:r>
              <w:rPr>
                <w:rFonts w:eastAsia="Times New Roman" w:cs="Times New Roman" w:ascii="Times New Roman" w:hAnsi="Times New Roman"/>
                <w:b/>
                <w:bCs/>
                <w:kern w:val="0"/>
                <w:sz w:val="24"/>
                <w:szCs w:val="24"/>
                <w:shd w:fill="FFFFFF" w:val="clear"/>
                <w:lang w:val="lt-LT" w:bidi="ar-SA"/>
              </w:rPr>
              <w:t xml:space="preserve">Lektorius Nr. 1 </w:t>
            </w:r>
            <w:r>
              <w:rPr>
                <w:rFonts w:eastAsia="Times New Roman" w:cs="Times New Roman" w:ascii="Times New Roman" w:hAnsi="Times New Roman"/>
                <w:kern w:val="0"/>
                <w:sz w:val="24"/>
                <w:szCs w:val="24"/>
                <w:shd w:fill="FFFFFF" w:val="clear"/>
                <w:lang w:val="lt-LT" w:bidi="ar-SA"/>
              </w:rPr>
              <w:t xml:space="preserve">per 12 mėnesių turi ne mažiau kaip 40 val. mokymų vedimo patirtį specialistams, </w:t>
            </w:r>
            <w:r>
              <w:rPr>
                <w:rFonts w:eastAsia="Calibri" w:ascii="Times New Roman" w:hAnsi="Times New Roman"/>
                <w:kern w:val="0"/>
                <w:sz w:val="24"/>
                <w:szCs w:val="24"/>
                <w:shd w:fill="FFFFFF" w:val="clear"/>
                <w:lang w:val="lt-LT" w:bidi="ar-SA"/>
              </w:rPr>
              <w:t>dirbtinio intelekto ar duomenų analizės sprendimų taikymo temomis</w:t>
            </w:r>
            <w:r>
              <w:rPr>
                <w:rFonts w:eastAsia="Times New Roman" w:cs="Times New Roman" w:ascii="Times New Roman" w:hAnsi="Times New Roman"/>
                <w:kern w:val="0"/>
                <w:sz w:val="24"/>
                <w:szCs w:val="24"/>
                <w:shd w:fill="FFFFFF" w:val="clear"/>
                <w:lang w:val="lt-LT" w:bidi="ar-SA"/>
              </w:rPr>
              <w:t>.</w:t>
            </w:r>
          </w:p>
          <w:p>
            <w:pPr>
              <w:pStyle w:val="Normal"/>
              <w:widowControl w:val="false"/>
              <w:suppressAutoHyphens w:val="true"/>
              <w:spacing w:lineRule="auto" w:line="240" w:before="0" w:after="0"/>
              <w:jc w:val="both"/>
              <w:rPr>
                <w:rFonts w:ascii="Times New Roman" w:hAnsi="Times New Roman" w:cs="Times New Roman"/>
                <w:sz w:val="22"/>
                <w:szCs w:val="22"/>
                <w:shd w:fill="FFFFFF" w:val="clear"/>
                <w:lang w:val="lt-LT" w:eastAsia="en-US"/>
              </w:rPr>
            </w:pPr>
            <w:r>
              <w:rPr>
                <w:rFonts w:cs="Times New Roman" w:ascii="Times New Roman" w:hAnsi="Times New Roman"/>
                <w:kern w:val="0"/>
                <w:sz w:val="22"/>
                <w:szCs w:val="22"/>
                <w:shd w:fill="FFFFFF" w:val="clear"/>
                <w:lang w:val="lt-LT" w:eastAsia="en-US" w:bidi="ar-SA"/>
              </w:rPr>
            </w:r>
          </w:p>
        </w:tc>
        <w:tc>
          <w:tcPr>
            <w:tcW w:w="1762" w:type="dxa"/>
            <w:tcBorders/>
          </w:tcPr>
          <w:p>
            <w:pPr>
              <w:pStyle w:val="Normal"/>
              <w:widowControl w:val="false"/>
              <w:suppressAutoHyphens w:val="true"/>
              <w:spacing w:lineRule="auto" w:line="240" w:before="0" w:after="0"/>
              <w:jc w:val="center"/>
              <w:rPr>
                <w:rFonts w:cs="Times New Roman"/>
                <w:shd w:fill="FFFFFF" w:val="clear"/>
              </w:rPr>
            </w:pPr>
            <w:r>
              <w:rPr>
                <w:rFonts w:cs="Times New Roman" w:ascii="Times New Roman" w:hAnsi="Times New Roman"/>
                <w:kern w:val="0"/>
                <w:sz w:val="20"/>
                <w:szCs w:val="20"/>
                <w:shd w:fill="FFFFFF" w:val="clear"/>
                <w:lang w:val="lt-LT" w:eastAsia="en-US" w:bidi="ar-SA"/>
              </w:rPr>
              <w:t>0</w:t>
            </w:r>
          </w:p>
        </w:tc>
      </w:tr>
    </w:tbl>
    <w:p>
      <w:pPr>
        <w:pStyle w:val="Normal"/>
        <w:jc w:val="both"/>
        <w:rPr>
          <w:rFonts w:ascii="Times New Roman" w:hAnsi="Times New Roman"/>
          <w:sz w:val="24"/>
          <w:szCs w:val="24"/>
          <w:u w:val="single"/>
        </w:rPr>
      </w:pPr>
      <w:r>
        <w:rPr>
          <w:rFonts w:ascii="Times New Roman" w:hAnsi="Times New Roman"/>
          <w:sz w:val="24"/>
          <w:szCs w:val="24"/>
          <w:u w:val="single"/>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Heading2"/>
        <w:spacing w:before="0" w:after="0"/>
        <w:ind w:left="5103"/>
        <w:rPr>
          <w:rFonts w:ascii="Times New Roman" w:hAnsi="Times New Roman"/>
          <w:sz w:val="20"/>
          <w:szCs w:val="20"/>
        </w:rPr>
      </w:pPr>
      <w:bookmarkStart w:id="71" w:name="_Toc196229595"/>
      <w:bookmarkStart w:id="72" w:name="_Hlk151126637_Copy_2"/>
      <w:bookmarkEnd w:id="72"/>
      <w:r>
        <w:rPr>
          <w:rFonts w:cs="Times New Roman" w:ascii="Times New Roman" w:hAnsi="Times New Roman"/>
          <w:color w:val="auto"/>
          <w:sz w:val="20"/>
          <w:szCs w:val="20"/>
        </w:rPr>
        <w:t>Pirkimo sąlygų 8 priedas „Sutarties projektas“</w:t>
      </w:r>
      <w:bookmarkEnd w:id="71"/>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cs="Times New Roman"/>
          <w:color w:val="auto"/>
          <w:sz w:val="20"/>
          <w:szCs w:val="20"/>
        </w:rPr>
      </w:pPr>
      <w:bookmarkStart w:id="73" w:name="_Toc196229597"/>
      <w:r>
        <w:rPr>
          <w:rFonts w:cs="Times New Roman" w:ascii="Times New Roman" w:hAnsi="Times New Roman"/>
          <w:color w:val="auto"/>
          <w:sz w:val="20"/>
          <w:szCs w:val="20"/>
        </w:rPr>
        <w:t>Pirkimo sąlygų 9 priedas „Deklaracijos dėl tiekėjo atsakingų asmenų forma“</w:t>
      </w:r>
      <w:bookmarkEnd w:id="73"/>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cs="Times New Roman"/>
          <w:b/>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cs="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cs="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6"/>
      <w:headerReference w:type="first" r:id="rId17"/>
      <w:footerReference w:type="default" r:id="rId18"/>
      <w:footerReference w:type="first" r:id="rId19"/>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29</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2"/>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2"/>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3"/>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1">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2">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3">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4">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5">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6">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7">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2">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1777" w:hanging="360"/>
      </w:pPr>
      <w:rPr>
        <w:sz w:val="18"/>
        <w:i/>
        <w:szCs w:val="18"/>
        <w:iCs/>
        <w:rFonts w:ascii="Times New Roman" w:hAnsi="Times New Roman" w:cs="Times New Roman"/>
      </w:rPr>
    </w:lvl>
    <w:lvl w:ilvl="1">
      <w:start w:val="1"/>
      <w:numFmt w:val="lowerLetter"/>
      <w:lvlText w:val="%2."/>
      <w:lvlJc w:val="left"/>
      <w:pPr>
        <w:tabs>
          <w:tab w:val="num" w:pos="0"/>
        </w:tabs>
        <w:ind w:left="2497" w:hanging="360"/>
      </w:pPr>
      <w:rPr/>
    </w:lvl>
    <w:lvl w:ilvl="2">
      <w:start w:val="1"/>
      <w:numFmt w:val="lowerRoman"/>
      <w:lvlText w:val="%3."/>
      <w:lvlJc w:val="right"/>
      <w:pPr>
        <w:tabs>
          <w:tab w:val="num" w:pos="0"/>
        </w:tabs>
        <w:ind w:left="3217" w:hanging="180"/>
      </w:pPr>
      <w:rPr/>
    </w:lvl>
    <w:lvl w:ilvl="3">
      <w:start w:val="1"/>
      <w:numFmt w:val="decimal"/>
      <w:lvlText w:val="%4."/>
      <w:lvlJc w:val="left"/>
      <w:pPr>
        <w:tabs>
          <w:tab w:val="num" w:pos="0"/>
        </w:tabs>
        <w:ind w:left="3937" w:hanging="360"/>
      </w:pPr>
      <w:rPr/>
    </w:lvl>
    <w:lvl w:ilvl="4">
      <w:start w:val="1"/>
      <w:numFmt w:val="lowerLetter"/>
      <w:lvlText w:val="%5."/>
      <w:lvlJc w:val="left"/>
      <w:pPr>
        <w:tabs>
          <w:tab w:val="num" w:pos="0"/>
        </w:tabs>
        <w:ind w:left="4657" w:hanging="360"/>
      </w:pPr>
      <w:rPr/>
    </w:lvl>
    <w:lvl w:ilvl="5">
      <w:start w:val="1"/>
      <w:numFmt w:val="lowerRoman"/>
      <w:lvlText w:val="%6."/>
      <w:lvlJc w:val="right"/>
      <w:pPr>
        <w:tabs>
          <w:tab w:val="num" w:pos="0"/>
        </w:tabs>
        <w:ind w:left="5377" w:hanging="180"/>
      </w:pPr>
      <w:rPr/>
    </w:lvl>
    <w:lvl w:ilvl="6">
      <w:start w:val="1"/>
      <w:numFmt w:val="decimal"/>
      <w:lvlText w:val="%7."/>
      <w:lvlJc w:val="left"/>
      <w:pPr>
        <w:tabs>
          <w:tab w:val="num" w:pos="0"/>
        </w:tabs>
        <w:ind w:left="6097" w:hanging="360"/>
      </w:pPr>
      <w:rPr/>
    </w:lvl>
    <w:lvl w:ilvl="7">
      <w:start w:val="1"/>
      <w:numFmt w:val="lowerLetter"/>
      <w:lvlText w:val="%8."/>
      <w:lvlJc w:val="left"/>
      <w:pPr>
        <w:tabs>
          <w:tab w:val="num" w:pos="0"/>
        </w:tabs>
        <w:ind w:left="6817" w:hanging="360"/>
      </w:pPr>
      <w:rPr/>
    </w:lvl>
    <w:lvl w:ilvl="8">
      <w:start w:val="1"/>
      <w:numFmt w:val="lowerRoman"/>
      <w:lvlText w:val="%9."/>
      <w:lvlJc w:val="right"/>
      <w:pPr>
        <w:tabs>
          <w:tab w:val="num" w:pos="0"/>
        </w:tabs>
        <w:ind w:left="7537" w:hanging="180"/>
      </w:pPr>
      <w:rPr/>
    </w:lvl>
  </w:abstractNum>
  <w:abstractNum w:abstractNumId="25">
    <w:lvl w:ilvl="0">
      <w:start w:val="1"/>
      <w:numFmt w:val="upperRoman"/>
      <w:lvlText w:val="%1."/>
      <w:lvlJc w:val="left"/>
      <w:pPr>
        <w:tabs>
          <w:tab w:val="num" w:pos="0"/>
        </w:tabs>
        <w:ind w:left="-2541" w:hanging="720"/>
      </w:pPr>
      <w:rPr>
        <w:rFonts w:cs="Times New Roman"/>
      </w:rPr>
    </w:lvl>
    <w:lvl w:ilvl="1">
      <w:start w:val="2"/>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3981" w:hanging="720"/>
      </w:pPr>
      <w:rPr>
        <w:rFonts w:cs="Times New Roman"/>
      </w:rPr>
    </w:lvl>
    <w:lvl w:ilvl="3">
      <w:start w:val="1"/>
      <w:numFmt w:val="decimal"/>
      <w:lvlText w:val="%1.%2.%3.%4."/>
      <w:lvlJc w:val="left"/>
      <w:pPr>
        <w:tabs>
          <w:tab w:val="num" w:pos="0"/>
        </w:tabs>
        <w:ind w:left="7242" w:hanging="720"/>
      </w:pPr>
      <w:rPr>
        <w:rFonts w:cs="Times New Roman"/>
      </w:rPr>
    </w:lvl>
    <w:lvl w:ilvl="4">
      <w:start w:val="1"/>
      <w:numFmt w:val="decimal"/>
      <w:lvlText w:val="%1.%2.%3.%4.%5."/>
      <w:lvlJc w:val="left"/>
      <w:pPr>
        <w:tabs>
          <w:tab w:val="num" w:pos="0"/>
        </w:tabs>
        <w:ind w:left="10863" w:hanging="1080"/>
      </w:pPr>
      <w:rPr>
        <w:rFonts w:cs="Times New Roman"/>
      </w:rPr>
    </w:lvl>
    <w:lvl w:ilvl="5">
      <w:start w:val="1"/>
      <w:numFmt w:val="decimal"/>
      <w:lvlText w:val="%1.%2.%3.%4.%5.%6."/>
      <w:lvlJc w:val="left"/>
      <w:pPr>
        <w:tabs>
          <w:tab w:val="num" w:pos="0"/>
        </w:tabs>
        <w:ind w:left="14124" w:hanging="1080"/>
      </w:pPr>
      <w:rPr>
        <w:rFonts w:cs="Times New Roman"/>
      </w:rPr>
    </w:lvl>
    <w:lvl w:ilvl="6">
      <w:start w:val="1"/>
      <w:numFmt w:val="decimal"/>
      <w:lvlText w:val="%1.%2.%3.%4.%5.%6.%7."/>
      <w:lvlJc w:val="left"/>
      <w:pPr>
        <w:tabs>
          <w:tab w:val="num" w:pos="0"/>
        </w:tabs>
        <w:ind w:left="17745" w:hanging="1440"/>
      </w:pPr>
      <w:rPr>
        <w:rFonts w:cs="Times New Roman"/>
      </w:rPr>
    </w:lvl>
    <w:lvl w:ilvl="7">
      <w:start w:val="1"/>
      <w:numFmt w:val="decimal"/>
      <w:lvlText w:val="%1.%2.%3.%4.%5.%6.%7.%8."/>
      <w:lvlJc w:val="left"/>
      <w:pPr>
        <w:tabs>
          <w:tab w:val="num" w:pos="0"/>
        </w:tabs>
        <w:ind w:left="21006" w:hanging="1440"/>
      </w:pPr>
      <w:rPr>
        <w:rFonts w:cs="Times New Roman"/>
      </w:rPr>
    </w:lvl>
    <w:lvl w:ilvl="8">
      <w:start w:val="1"/>
      <w:numFmt w:val="decimal"/>
      <w:lvlText w:val="%1.%2.%3.%4.%5.%6.%7.%8.%9."/>
      <w:lvlJc w:val="left"/>
      <w:pPr>
        <w:tabs>
          <w:tab w:val="num" w:pos="0"/>
        </w:tabs>
        <w:ind w:left="24627" w:hanging="1800"/>
      </w:pPr>
      <w:rPr>
        <w:rFonts w:cs="Times New Roman"/>
      </w:rPr>
    </w:lvl>
  </w:abstractNum>
  <w:abstractNum w:abstractNumId="2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5"/>
    <w:lvlOverride w:ilvl="0">
      <w:startOverride w:val="1"/>
    </w:lvlOverride>
    <w:lvlOverride w:ilvl="1">
      <w:startOverride w:val="2"/>
    </w:lvlOverride>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1" w:customStyle="1">
    <w:name w:val="caption1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name w:val="index heading5"/>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melaginga-informacija-pateikusiu-tiekeju-sarasas-3" TargetMode="External"/><Relationship Id="rId9" Type="http://schemas.openxmlformats.org/officeDocument/2006/relationships/hyperlink" Target="https://vpt.lrv.lt/lt/pasalinimo-pagrindai-1/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yperlink" Target="https://vpt.lrv.lt/uploads/vpt/documents/files/mp/ENPV_gaires.pdf"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Application>LibreOffice/7.6.4.1$Windows_X86_64 LibreOffice_project/e19e193f88cd6c0525a17fb7a176ed8e6a3e2aa1</Application>
  <AppVersion>15.0000</AppVersion>
  <Pages>22</Pages>
  <Words>6296</Words>
  <Characters>44470</Characters>
  <CharactersWithSpaces>50541</CharactersWithSpaces>
  <Paragraphs>421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Juratė Miceikienė</cp:lastModifiedBy>
  <dcterms:modified xsi:type="dcterms:W3CDTF">2025-09-23T06:39:00Z</dcterms:modified>
  <cp:revision>365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